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0000"/>
          <w:sz w:val="46"/>
        </w:rPr>
        <w:t>PONTE A GRATICCIO IABSE EVANSTON I-80 - REPORT FEM</w:t>
      </w:r>
    </w:p>
    <w:p>
      <w:pPr>
        <w:jc w:val="center"/>
      </w:pPr>
      <w:r>
        <w:rPr>
          <w:color w:val="464646"/>
          <w:sz w:val="28"/>
        </w:rPr>
        <w:t>Ricostruzione beamfeapy del modello a graticcio equivalente</w:t>
      </w:r>
    </w:p>
    <w:p/>
    <w:p>
      <w:pPr>
        <w:jc w:val="center"/>
      </w:pPr>
      <w:r>
        <w:rPr>
          <w:b/>
        </w:rPr>
        <w:t xml:space="preserve">Committente: </w:t>
      </w:r>
      <w:r>
        <w:t>Dimostratore beamfeapy</w:t>
      </w:r>
    </w:p>
    <w:p>
      <w:pPr>
        <w:jc w:val="center"/>
      </w:pPr>
      <w:r>
        <w:rPr>
          <w:b/>
        </w:rPr>
        <w:t xml:space="preserve">Commessa: </w:t>
      </w:r>
      <w:r>
        <w:t>Esempio 30 - ponte a graticcio da caso IABSE-JSCE</w:t>
      </w:r>
    </w:p>
    <w:p>
      <w:pPr>
        <w:jc w:val="center"/>
      </w:pPr>
      <w:r>
        <w:rPr>
          <w:b/>
        </w:rPr>
        <w:t xml:space="preserve">Normativa di riferimento: </w:t>
      </w:r>
      <w:r>
        <w:t>IABSE-JSCE 2020 / schema a graticcio con carichi statici</w:t>
      </w:r>
    </w:p>
    <w:p>
      <w:pPr>
        <w:jc w:val="center"/>
      </w:pPr>
      <w:r>
        <w:rPr>
          <w:b/>
        </w:rPr>
        <w:t xml:space="preserve">Data: </w:t>
      </w:r>
      <w:r>
        <w:t>02/06/2026</w:t>
      </w:r>
    </w:p>
    <w:p>
      <w:r>
        <w:br w:type="page"/>
      </w:r>
    </w:p>
    <w:p>
      <w:pPr>
        <w:spacing w:before="200" w:after="120"/>
        <w:shd w:fill="3A3A3A" w:val="clear"/>
      </w:pPr>
      <w:r>
        <w:rPr>
          <w:b/>
          <w:color w:val="FFFFFF"/>
          <w:sz w:val="24"/>
        </w:rPr>
        <w:t>Modellazione ed Analisi</w:t>
      </w:r>
    </w:p>
    <w:p>
      <w:pPr>
        <w:spacing w:before="160" w:after="60"/>
      </w:pPr>
      <w:r>
        <w:rPr>
          <w:b/>
          <w:color w:val="000000"/>
          <w:sz w:val="21"/>
        </w:rPr>
        <w:t>1.1 Modellazione</w:t>
      </w:r>
    </w:p>
    <w:p>
      <w:pPr>
        <w:spacing w:before="40" w:after="80"/>
      </w:pPr>
      <w:r>
        <w:rPr>
          <w:b w:val="0"/>
          <w:sz w:val="20"/>
        </w:rPr>
        <w:t>La presente sezione riepiloga la discretizzazione adottata per il modello agli elementi finiti, i vincoli applicati e i casi di carico disponibili.</w:t>
      </w:r>
    </w:p>
    <w:p>
      <w:pPr>
        <w:spacing w:before="40" w:after="80"/>
      </w:pPr>
      <w:r>
        <w:rPr>
          <w:b w:val="0"/>
          <w:sz w:val="20"/>
        </w:rPr>
        <w:t>Il modello FEM e' composto da 85 nodi e 148 elementi trave. I vincoli applicati interessano 32 gradi di liberta'. I load case disponibili sono: DEAD, LANE_EQ, SDL, SHR, THERM.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vAlign w:val="center"/>
            <w:shd w:fill="3A3A3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Parametro</w:t>
            </w:r>
          </w:p>
        </w:tc>
        <w:tc>
          <w:tcPr>
            <w:tcW w:type="dxa" w:w="2268"/>
            <w:vAlign w:val="center"/>
            <w:shd w:fill="3A3A3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Valore</w:t>
            </w:r>
          </w:p>
        </w:tc>
        <w:tc>
          <w:tcPr>
            <w:tcW w:type="dxa" w:w="4819"/>
            <w:vAlign w:val="center"/>
            <w:shd w:fill="3A3A3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Descrizione</w:t>
            </w:r>
          </w:p>
        </w:tc>
      </w:tr>
      <w:tr>
        <w:tc>
          <w:tcPr>
            <w:tcW w:type="dxa" w:w="2268"/>
            <w:vAlign w:val="center"/>
            <w:shd w:fill="E6E6E6" w:val="clear"/>
          </w:tcPr>
          <w:p>
            <w:pPr>
              <w:jc w:val="center"/>
            </w:pPr>
            <w:r/>
            <w:r>
              <w:rPr>
                <w:b/>
                <w:sz w:val="16"/>
              </w:rPr>
              <w:t>Nodi</w:t>
            </w:r>
          </w:p>
        </w:tc>
        <w:tc>
          <w:tcPr>
            <w:tcW w:type="dxa" w:w="2268"/>
            <w:vAlign w:val="center"/>
            <w:shd w:fill="F0F0F0" w:val="clear"/>
          </w:tcPr>
          <w:p>
            <w:pPr>
              <w:jc w:val="center"/>
            </w:pPr>
            <w:r/>
            <w:r>
              <w:rPr>
                <w:sz w:val="16"/>
              </w:rPr>
              <w:t>85</w:t>
            </w:r>
          </w:p>
        </w:tc>
        <w:tc>
          <w:tcPr>
            <w:tcW w:type="dxa" w:w="4819"/>
            <w:vAlign w:val="center"/>
            <w:shd w:fill="F0F0F0" w:val="clear"/>
          </w:tcPr>
          <w:p>
            <w:pPr>
              <w:jc w:val="center"/>
            </w:pPr>
            <w:r/>
            <w:r>
              <w:rPr>
                <w:sz w:val="16"/>
              </w:rPr>
              <w:t>Punti di connessione del modello</w:t>
            </w:r>
          </w:p>
        </w:tc>
      </w:tr>
      <w:tr>
        <w:tc>
          <w:tcPr>
            <w:tcW w:type="dxa" w:w="2268"/>
            <w:vAlign w:val="center"/>
            <w:shd w:fill="E6E6E6" w:val="clear"/>
          </w:tcPr>
          <w:p>
            <w:pPr>
              <w:jc w:val="center"/>
            </w:pPr>
            <w:r/>
            <w:r>
              <w:rPr>
                <w:b/>
                <w:sz w:val="16"/>
              </w:rPr>
              <w:t>Elementi</w:t>
            </w:r>
          </w:p>
        </w:tc>
        <w:tc>
          <w:tcPr>
            <w:tcW w:type="dxa" w:w="2268"/>
            <w:vAlign w:val="center"/>
            <w:shd w:fill="FAFAFA" w:val="clear"/>
          </w:tcPr>
          <w:p>
            <w:pPr>
              <w:jc w:val="center"/>
            </w:pPr>
            <w:r/>
            <w:r>
              <w:rPr>
                <w:sz w:val="16"/>
              </w:rPr>
              <w:t>148</w:t>
            </w:r>
          </w:p>
        </w:tc>
        <w:tc>
          <w:tcPr>
            <w:tcW w:type="dxa" w:w="4819"/>
            <w:vAlign w:val="center"/>
            <w:shd w:fill="FAFAFA" w:val="clear"/>
          </w:tcPr>
          <w:p>
            <w:pPr>
              <w:jc w:val="center"/>
            </w:pPr>
            <w:r/>
            <w:r>
              <w:rPr>
                <w:sz w:val="16"/>
              </w:rPr>
              <w:t>Elementi trave 3D utilizzati nella discretizzazione</w:t>
            </w:r>
          </w:p>
        </w:tc>
      </w:tr>
      <w:tr>
        <w:tc>
          <w:tcPr>
            <w:tcW w:type="dxa" w:w="2268"/>
            <w:vAlign w:val="center"/>
            <w:shd w:fill="E6E6E6" w:val="clear"/>
          </w:tcPr>
          <w:p>
            <w:pPr>
              <w:jc w:val="center"/>
            </w:pPr>
            <w:r/>
            <w:r>
              <w:rPr>
                <w:b/>
                <w:sz w:val="16"/>
              </w:rPr>
              <w:t>Vincoli</w:t>
            </w:r>
          </w:p>
        </w:tc>
        <w:tc>
          <w:tcPr>
            <w:tcW w:type="dxa" w:w="2268"/>
            <w:vAlign w:val="center"/>
            <w:shd w:fill="F0F0F0" w:val="clear"/>
          </w:tcPr>
          <w:p>
            <w:pPr>
              <w:jc w:val="center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4819"/>
            <w:vAlign w:val="center"/>
            <w:shd w:fill="F0F0F0" w:val="clear"/>
          </w:tcPr>
          <w:p>
            <w:pPr>
              <w:jc w:val="center"/>
            </w:pPr>
            <w:r/>
            <w:r>
              <w:rPr>
                <w:sz w:val="16"/>
              </w:rPr>
              <w:t>Gradi di liberta' prescritti</w:t>
            </w:r>
          </w:p>
        </w:tc>
      </w:tr>
      <w:tr>
        <w:tc>
          <w:tcPr>
            <w:tcW w:type="dxa" w:w="2268"/>
            <w:vAlign w:val="center"/>
            <w:shd w:fill="E6E6E6" w:val="clear"/>
          </w:tcPr>
          <w:p>
            <w:pPr>
              <w:jc w:val="center"/>
            </w:pPr>
            <w:r/>
            <w:r>
              <w:rPr>
                <w:b/>
                <w:sz w:val="16"/>
              </w:rPr>
              <w:t>Tipi elemento</w:t>
            </w:r>
          </w:p>
        </w:tc>
        <w:tc>
          <w:tcPr>
            <w:tcW w:type="dxa" w:w="2268"/>
            <w:vAlign w:val="center"/>
            <w:shd w:fill="FAFAFA" w:val="clear"/>
          </w:tcPr>
          <w:p>
            <w:pPr>
              <w:jc w:val="center"/>
            </w:pPr>
            <w:r/>
            <w:r>
              <w:rPr>
                <w:sz w:val="16"/>
              </w:rPr>
              <w:t>BeamElement3D: 148</w:t>
            </w:r>
          </w:p>
        </w:tc>
        <w:tc>
          <w:tcPr>
            <w:tcW w:type="dxa" w:w="4819"/>
            <w:vAlign w:val="center"/>
            <w:shd w:fill="FAFAFA" w:val="clear"/>
          </w:tcPr>
          <w:p>
            <w:pPr>
              <w:jc w:val="center"/>
            </w:pPr>
            <w:r/>
            <w:r>
              <w:rPr>
                <w:sz w:val="16"/>
              </w:rPr>
              <w:t>Famiglie FEM presenti</w:t>
            </w:r>
          </w:p>
        </w:tc>
      </w:tr>
      <w:tr>
        <w:tc>
          <w:tcPr>
            <w:tcW w:type="dxa" w:w="2268"/>
            <w:vAlign w:val="center"/>
            <w:shd w:fill="E6E6E6" w:val="clear"/>
          </w:tcPr>
          <w:p>
            <w:pPr>
              <w:jc w:val="center"/>
            </w:pPr>
            <w:r/>
            <w:r>
              <w:rPr>
                <w:b/>
                <w:sz w:val="16"/>
              </w:rPr>
              <w:t>Load case</w:t>
            </w:r>
          </w:p>
        </w:tc>
        <w:tc>
          <w:tcPr>
            <w:tcW w:type="dxa" w:w="2268"/>
            <w:vAlign w:val="center"/>
            <w:shd w:fill="F0F0F0" w:val="clear"/>
          </w:tcPr>
          <w:p>
            <w:pPr>
              <w:jc w:val="center"/>
            </w:pPr>
            <w:r/>
            <w:r>
              <w:rPr>
                <w:sz w:val="16"/>
              </w:rPr>
              <w:t>DEAD, LANE_EQ, SDL, SHR, THERM</w:t>
            </w:r>
          </w:p>
        </w:tc>
        <w:tc>
          <w:tcPr>
            <w:tcW w:type="dxa" w:w="4819"/>
            <w:vAlign w:val="center"/>
            <w:shd w:fill="F0F0F0" w:val="clear"/>
          </w:tcPr>
          <w:p>
            <w:pPr>
              <w:jc w:val="center"/>
            </w:pPr>
            <w:r/>
            <w:r>
              <w:rPr>
                <w:sz w:val="16"/>
              </w:rPr>
              <w:t>Casi di carico definiti</w:t>
            </w:r>
          </w:p>
        </w:tc>
      </w:tr>
    </w:tbl>
    <w:p/>
    <w:p>
      <w:pPr>
        <w:spacing w:before="40" w:after="80"/>
      </w:pPr>
      <w:r>
        <w:rPr>
          <w:b w:val="0"/>
          <w:sz w:val="20"/>
        </w:rPr>
        <w:t>Il modello riprende il caso Evanston I-80 pubblicato da Lu, Barker e Judd negli atti IABSE-JSCE 2020. Il paper descrive un ponte a quattro campate, soletta in calcestruzzo su travi d'acciaio e un modello teorico a graticcio equivalente in SAP2000. I truck load del paper non sono riprodotti perche' beamfeapy non espone ancora carichi mobili; il report usa quindi carichi statici equivalenti, termico e ritiro.</w:t>
      </w:r>
    </w:p>
    <w:p>
      <w:pPr>
        <w:spacing w:before="160" w:after="60"/>
      </w:pPr>
      <w:r>
        <w:rPr>
          <w:b/>
          <w:color w:val="000000"/>
          <w:sz w:val="21"/>
        </w:rPr>
        <w:t>1.1.1 Schema del modello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896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9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1.1.1 - Modello FEM con nodi, elementi, numerazioni e vincoli. Nelle viste tridimensionali l'asse Z e' mantenuto verticale.</w:t>
      </w:r>
    </w:p>
    <w:p>
      <w:pPr>
        <w:spacing w:before="160" w:after="60"/>
      </w:pPr>
      <w:r>
        <w:rPr>
          <w:b/>
          <w:color w:val="000000"/>
          <w:sz w:val="21"/>
        </w:rPr>
        <w:t>1.2 Analisi dei carichi</w:t>
      </w:r>
    </w:p>
    <w:p>
      <w:pPr>
        <w:spacing w:before="160" w:after="60"/>
      </w:pPr>
      <w:r>
        <w:rPr>
          <w:b/>
          <w:color w:val="000000"/>
          <w:sz w:val="21"/>
        </w:rPr>
        <w:t>1.2.1 Load case DEAD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8963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9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1.2.1 - Modello caricato per il load case DEAD.</w:t>
      </w:r>
    </w:p>
    <w:p>
      <w:pPr>
        <w:spacing w:before="160" w:after="60"/>
      </w:pPr>
      <w:r>
        <w:rPr>
          <w:b/>
          <w:color w:val="000000"/>
          <w:sz w:val="21"/>
        </w:rPr>
        <w:t>1.2.2 Load case SDL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8963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9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1.2.2 - Modello caricato per il load case SDL.</w:t>
      </w:r>
    </w:p>
    <w:p>
      <w:pPr>
        <w:spacing w:before="160" w:after="60"/>
      </w:pPr>
      <w:r>
        <w:rPr>
          <w:b/>
          <w:color w:val="000000"/>
          <w:sz w:val="21"/>
        </w:rPr>
        <w:t>1.2.3 Load case LANE_EQ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8963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9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1.2.3 - Modello caricato per il load case LANE_EQ.</w:t>
      </w:r>
    </w:p>
    <w:p>
      <w:pPr>
        <w:spacing w:before="160" w:after="60"/>
      </w:pPr>
      <w:r>
        <w:rPr>
          <w:b/>
          <w:color w:val="000000"/>
          <w:sz w:val="21"/>
        </w:rPr>
        <w:t>1.2.4 Load case THERM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8963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9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1.2.4 - Modello caricato per il load case THERM.</w:t>
      </w:r>
    </w:p>
    <w:p>
      <w:pPr>
        <w:spacing w:before="160" w:after="60"/>
      </w:pPr>
      <w:r>
        <w:rPr>
          <w:b/>
          <w:color w:val="000000"/>
          <w:sz w:val="21"/>
        </w:rPr>
        <w:t>1.2.5 Load case SHR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8963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9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1.2.5 - Modello caricato per il load case SHR.</w:t>
      </w:r>
    </w:p>
    <w:p>
      <w:pPr>
        <w:spacing w:before="160" w:after="60"/>
      </w:pPr>
      <w:r>
        <w:rPr>
          <w:b/>
          <w:color w:val="000000"/>
          <w:sz w:val="21"/>
        </w:rPr>
        <w:t>1.3 Sollecitazioni e reazioni per load pattern</w:t>
      </w:r>
    </w:p>
    <w:p>
      <w:pPr>
        <w:spacing w:before="160" w:after="60"/>
      </w:pPr>
      <w:r>
        <w:rPr>
          <w:b/>
          <w:color w:val="000000"/>
          <w:sz w:val="21"/>
        </w:rPr>
        <w:t>1.3.1 Load pattern DEAD</w:t>
      </w:r>
    </w:p>
    <w:p>
      <w:pPr>
        <w:spacing w:before="160" w:after="60"/>
      </w:pPr>
      <w:r>
        <w:rPr>
          <w:b/>
          <w:color w:val="000000"/>
          <w:sz w:val="21"/>
        </w:rPr>
        <w:t>1.3.1.1 Deformata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963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9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1.3.1.1 - Deformata del caso Load pattern DEAD; e' evidenziato lo spostamento massimo.</w:t>
      </w:r>
    </w:p>
    <w:p>
      <w:pPr>
        <w:spacing w:before="160" w:after="60"/>
      </w:pPr>
      <w:r>
        <w:rPr>
          <w:b/>
          <w:color w:val="000000"/>
          <w:sz w:val="21"/>
        </w:rPr>
        <w:t>1.3.1.2 Sollecitazione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3082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08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1.3.1.2 - Diagramma della sollecitazione Mz per Load pattern DEAD.</w:t>
      </w:r>
    </w:p>
    <w:p>
      <w:pPr>
        <w:spacing w:before="160" w:after="60"/>
      </w:pPr>
      <w:r>
        <w:rPr>
          <w:b/>
          <w:color w:val="000000"/>
          <w:sz w:val="21"/>
        </w:rPr>
        <w:t>1.3.1.3 Sollecitazione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142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14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1.3.1.3 - Diagramma della sollecitazione Vy per Load pattern DEAD.</w:t>
      </w:r>
    </w:p>
    <w:p>
      <w:pPr>
        <w:spacing w:before="160" w:after="60"/>
      </w:pPr>
      <w:r>
        <w:rPr>
          <w:b/>
          <w:color w:val="000000"/>
          <w:sz w:val="21"/>
        </w:rPr>
        <w:t>1.3.1.4 Sollecitazione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963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9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1.3.1.4 - Diagramma della sollecitazione N per Load pattern DEAD.</w:t>
      </w:r>
    </w:p>
    <w:p>
      <w:pPr>
        <w:spacing w:before="160" w:after="60"/>
      </w:pPr>
      <w:r>
        <w:rPr>
          <w:b/>
          <w:color w:val="000000"/>
          <w:sz w:val="21"/>
        </w:rPr>
        <w:t>1.3.1.5 Reazioni vincolari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963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9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1.3.1.5 - Reazioni vincolari per Load pattern DEAD.</w:t>
      </w:r>
    </w:p>
    <w:p>
      <w:pPr>
        <w:spacing w:before="160" w:after="60"/>
      </w:pPr>
      <w:r>
        <w:rPr>
          <w:b/>
          <w:color w:val="000000"/>
          <w:sz w:val="21"/>
        </w:rPr>
        <w:t>1.3.2 Load pattern SDL</w:t>
      </w:r>
    </w:p>
    <w:p>
      <w:pPr>
        <w:spacing w:before="160" w:after="60"/>
      </w:pPr>
      <w:r>
        <w:rPr>
          <w:b/>
          <w:color w:val="000000"/>
          <w:sz w:val="21"/>
        </w:rPr>
        <w:t>1.3.2.1 Deformata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963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9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1.3.2.1 - Deformata del caso Load pattern SDL; e' evidenziato lo spostamento massimo.</w:t>
      </w:r>
    </w:p>
    <w:p>
      <w:pPr>
        <w:spacing w:before="160" w:after="60"/>
      </w:pPr>
      <w:r>
        <w:rPr>
          <w:b/>
          <w:color w:val="000000"/>
          <w:sz w:val="21"/>
        </w:rPr>
        <w:t>1.3.2.2 Sollecitazione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3667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6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1.3.2.2 - Diagramma della sollecitazione Mz per Load pattern SDL.</w:t>
      </w:r>
    </w:p>
    <w:p>
      <w:pPr>
        <w:spacing w:before="160" w:after="60"/>
      </w:pPr>
      <w:r>
        <w:rPr>
          <w:b/>
          <w:color w:val="000000"/>
          <w:sz w:val="21"/>
        </w:rPr>
        <w:t>1.3.2.3 Sollecitazione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59007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590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1.3.2.3 - Diagramma della sollecitazione Vy per Load pattern SDL.</w:t>
      </w:r>
    </w:p>
    <w:p>
      <w:pPr>
        <w:spacing w:before="160" w:after="60"/>
      </w:pPr>
      <w:r>
        <w:rPr>
          <w:b/>
          <w:color w:val="000000"/>
          <w:sz w:val="21"/>
        </w:rPr>
        <w:t>1.3.2.4 Sollecitazione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9631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9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1.3.2.4 - Diagramma della sollecitazione N per Load pattern SDL.</w:t>
      </w:r>
    </w:p>
    <w:p>
      <w:pPr>
        <w:spacing w:before="160" w:after="60"/>
      </w:pPr>
      <w:r>
        <w:rPr>
          <w:b/>
          <w:color w:val="000000"/>
          <w:sz w:val="21"/>
        </w:rPr>
        <w:t>1.3.2.5 Reazioni vincolari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9631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9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1.3.2.5 - Reazioni vincolari per Load pattern SDL.</w:t>
      </w:r>
    </w:p>
    <w:p>
      <w:pPr>
        <w:spacing w:before="160" w:after="60"/>
      </w:pPr>
      <w:r>
        <w:rPr>
          <w:b/>
          <w:color w:val="000000"/>
          <w:sz w:val="21"/>
        </w:rPr>
        <w:t>1.3.3 Load pattern LANE_EQ</w:t>
      </w:r>
    </w:p>
    <w:p>
      <w:pPr>
        <w:spacing w:before="160" w:after="60"/>
      </w:pPr>
      <w:r>
        <w:rPr>
          <w:b/>
          <w:color w:val="000000"/>
          <w:sz w:val="21"/>
        </w:rPr>
        <w:t>1.3.3.1 Deformata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9631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9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1.3.3.1 - Deformata del caso Load pattern LANE_EQ; e' evidenziato lo spostamento massimo.</w:t>
      </w:r>
    </w:p>
    <w:p>
      <w:pPr>
        <w:spacing w:before="160" w:after="60"/>
      </w:pPr>
      <w:r>
        <w:rPr>
          <w:b/>
          <w:color w:val="000000"/>
          <w:sz w:val="21"/>
        </w:rPr>
        <w:t>1.3.3.2 Sollecitazione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30828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08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1.3.3.2 - Diagramma della sollecitazione Mz per Load pattern LANE_EQ.</w:t>
      </w:r>
    </w:p>
    <w:p>
      <w:pPr>
        <w:spacing w:before="160" w:after="60"/>
      </w:pPr>
      <w:r>
        <w:rPr>
          <w:b/>
          <w:color w:val="000000"/>
          <w:sz w:val="21"/>
        </w:rPr>
        <w:t>1.3.3.3 Sollecitazione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59007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590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1.3.3.3 - Diagramma della sollecitazione Vy per Load pattern LANE_EQ.</w:t>
      </w:r>
    </w:p>
    <w:p>
      <w:pPr>
        <w:spacing w:before="160" w:after="60"/>
      </w:pPr>
      <w:r>
        <w:rPr>
          <w:b/>
          <w:color w:val="000000"/>
          <w:sz w:val="21"/>
        </w:rPr>
        <w:t>1.3.3.4 Sollecitazione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9631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9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1.3.3.4 - Diagramma della sollecitazione N per Load pattern LANE_EQ.</w:t>
      </w:r>
    </w:p>
    <w:p>
      <w:pPr>
        <w:spacing w:before="160" w:after="60"/>
      </w:pPr>
      <w:r>
        <w:rPr>
          <w:b/>
          <w:color w:val="000000"/>
          <w:sz w:val="21"/>
        </w:rPr>
        <w:t>1.3.3.5 Reazioni vincolari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9631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9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1.3.3.5 - Reazioni vincolari per Load pattern LANE_EQ.</w:t>
      </w:r>
    </w:p>
    <w:p>
      <w:pPr>
        <w:spacing w:before="160" w:after="60"/>
      </w:pPr>
      <w:r>
        <w:rPr>
          <w:b/>
          <w:color w:val="000000"/>
          <w:sz w:val="21"/>
        </w:rPr>
        <w:t>1.3.4 Load pattern THERM</w:t>
      </w:r>
    </w:p>
    <w:p>
      <w:pPr>
        <w:spacing w:before="160" w:after="60"/>
      </w:pPr>
      <w:r>
        <w:rPr>
          <w:b/>
          <w:color w:val="000000"/>
          <w:sz w:val="21"/>
        </w:rPr>
        <w:t>1.3.4.1 Deformata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9631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9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1.3.4.1 - Deformata del caso Load pattern THERM; e' evidenziato lo spostamento massimo.</w:t>
      </w:r>
    </w:p>
    <w:p>
      <w:pPr>
        <w:spacing w:before="160" w:after="60"/>
      </w:pPr>
      <w:r>
        <w:rPr>
          <w:b/>
          <w:color w:val="000000"/>
          <w:sz w:val="21"/>
        </w:rPr>
        <w:t>1.3.4.2 Sollecitazione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36677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6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1.3.4.2 - Diagramma della sollecitazione Mz per Load pattern THERM.</w:t>
      </w:r>
    </w:p>
    <w:p>
      <w:pPr>
        <w:spacing w:before="160" w:after="60"/>
      </w:pPr>
      <w:r>
        <w:rPr>
          <w:b/>
          <w:color w:val="000000"/>
          <w:sz w:val="21"/>
        </w:rPr>
        <w:t>1.3.4.3 Sollecitazione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58206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582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1.3.4.3 - Diagramma della sollecitazione Vy per Load pattern THERM.</w:t>
      </w:r>
    </w:p>
    <w:p>
      <w:pPr>
        <w:spacing w:before="160" w:after="60"/>
      </w:pPr>
      <w:r>
        <w:rPr>
          <w:b/>
          <w:color w:val="000000"/>
          <w:sz w:val="21"/>
        </w:rPr>
        <w:t>1.3.4.4 Sollecitazione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9631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9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1.3.4.4 - Diagramma della sollecitazione N per Load pattern THERM.</w:t>
      </w:r>
    </w:p>
    <w:p>
      <w:pPr>
        <w:spacing w:before="160" w:after="60"/>
      </w:pPr>
      <w:r>
        <w:rPr>
          <w:b/>
          <w:color w:val="000000"/>
          <w:sz w:val="21"/>
        </w:rPr>
        <w:t>1.3.4.5 Reazioni vincolari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9631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9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1.3.4.5 - Reazioni vincolari per Load pattern THERM.</w:t>
      </w:r>
    </w:p>
    <w:p>
      <w:pPr>
        <w:spacing w:before="160" w:after="60"/>
      </w:pPr>
      <w:r>
        <w:rPr>
          <w:b/>
          <w:color w:val="000000"/>
          <w:sz w:val="21"/>
        </w:rPr>
        <w:t>1.3.5 Load pattern SHR</w:t>
      </w:r>
    </w:p>
    <w:p>
      <w:pPr>
        <w:spacing w:before="160" w:after="60"/>
      </w:pPr>
      <w:r>
        <w:rPr>
          <w:b/>
          <w:color w:val="000000"/>
          <w:sz w:val="21"/>
        </w:rPr>
        <w:t>1.3.5.1 Deformata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9631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9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1.3.5.1 - Deformata del caso Load pattern SHR; e' evidenziato lo spostamento massimo.</w:t>
      </w:r>
    </w:p>
    <w:p>
      <w:pPr>
        <w:spacing w:before="160" w:after="60"/>
      </w:pPr>
      <w:r>
        <w:rPr>
          <w:b/>
          <w:color w:val="000000"/>
          <w:sz w:val="21"/>
        </w:rPr>
        <w:t>1.3.5.2 Sollecitazione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30828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08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1.3.5.2 - Diagramma della sollecitazione Mz per Load pattern SHR.</w:t>
      </w:r>
    </w:p>
    <w:p>
      <w:pPr>
        <w:spacing w:before="160" w:after="60"/>
      </w:pPr>
      <w:r>
        <w:rPr>
          <w:b/>
          <w:color w:val="000000"/>
          <w:sz w:val="21"/>
        </w:rPr>
        <w:t>1.3.5.3 Sollecitazione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58206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582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1.3.5.3 - Diagramma della sollecitazione Vy per Load pattern SHR.</w:t>
      </w:r>
    </w:p>
    <w:p>
      <w:pPr>
        <w:spacing w:before="160" w:after="60"/>
      </w:pPr>
      <w:r>
        <w:rPr>
          <w:b/>
          <w:color w:val="000000"/>
          <w:sz w:val="21"/>
        </w:rPr>
        <w:t>1.3.5.4 Sollecitazione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9631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9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1.3.5.4 - Diagramma della sollecitazione N per Load pattern SHR.</w:t>
      </w:r>
    </w:p>
    <w:p>
      <w:pPr>
        <w:spacing w:before="160" w:after="60"/>
      </w:pPr>
      <w:r>
        <w:rPr>
          <w:b/>
          <w:color w:val="000000"/>
          <w:sz w:val="21"/>
        </w:rPr>
        <w:t>1.3.5.5 Reazioni vincolari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9631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9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1.3.5.5 - Reazioni vincolari per Load pattern SHR.</w:t>
      </w:r>
    </w:p>
    <w:p>
      <w:pPr>
        <w:spacing w:before="160" w:after="60"/>
      </w:pPr>
      <w:r>
        <w:rPr>
          <w:b/>
          <w:color w:val="000000"/>
          <w:sz w:val="21"/>
        </w:rPr>
        <w:t>1.4 Combinazioni</w:t>
      </w:r>
    </w:p>
    <w:p>
      <w:pPr>
        <w:spacing w:before="160" w:after="60"/>
      </w:pPr>
      <w:r>
        <w:rPr>
          <w:b/>
          <w:color w:val="000000"/>
          <w:sz w:val="21"/>
        </w:rPr>
        <w:t>1.4.1 Permanenti - DEAD + SDL</w:t>
      </w:r>
    </w:p>
    <w:p>
      <w:pPr>
        <w:spacing w:before="160" w:after="60"/>
      </w:pPr>
      <w:r>
        <w:rPr>
          <w:b/>
          <w:color w:val="000000"/>
          <w:sz w:val="21"/>
        </w:rPr>
        <w:t>1.4.1.1 Deformata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9631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9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1.4.1.1 - Deformata del caso Permanenti - DEAD + SDL; e' evidenziato lo spostamento massimo.</w:t>
      </w:r>
    </w:p>
    <w:p>
      <w:pPr>
        <w:spacing w:before="160" w:after="60"/>
      </w:pPr>
      <w:r>
        <w:rPr>
          <w:b/>
          <w:color w:val="000000"/>
          <w:sz w:val="21"/>
        </w:rPr>
        <w:t>1.4.1.2 Sollecitazione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30828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08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1.4.1.2 - Diagramma della sollecitazione Mz per Permanenti - DEAD + SDL.</w:t>
      </w:r>
    </w:p>
    <w:p>
      <w:pPr>
        <w:spacing w:before="160" w:after="60"/>
      </w:pPr>
      <w:r>
        <w:rPr>
          <w:b/>
          <w:color w:val="000000"/>
          <w:sz w:val="21"/>
        </w:rPr>
        <w:t>1.4.1.3 Sollecitazione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1423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14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1.4.1.3 - Diagramma della sollecitazione Vy per Permanenti - DEAD + SDL.</w:t>
      </w:r>
    </w:p>
    <w:p>
      <w:pPr>
        <w:spacing w:before="160" w:after="60"/>
      </w:pPr>
      <w:r>
        <w:rPr>
          <w:b/>
          <w:color w:val="000000"/>
          <w:sz w:val="21"/>
        </w:rPr>
        <w:t>1.4.1.4 Sollecitazione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9631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9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1.4.1.4 - Diagramma della sollecitazione N per Permanenti - DEAD + SDL.</w:t>
      </w:r>
    </w:p>
    <w:p>
      <w:pPr>
        <w:spacing w:before="160" w:after="60"/>
      </w:pPr>
      <w:r>
        <w:rPr>
          <w:b/>
          <w:color w:val="000000"/>
          <w:sz w:val="21"/>
        </w:rPr>
        <w:t>1.4.1.5 Reazioni vincolari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9631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9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1.4.1.5 - Reazioni vincolari per Permanenti - DEAD + SDL.</w:t>
      </w:r>
    </w:p>
    <w:p>
      <w:pPr>
        <w:spacing w:before="160" w:after="60"/>
      </w:pPr>
      <w:r>
        <w:rPr>
          <w:b/>
          <w:color w:val="000000"/>
          <w:sz w:val="21"/>
        </w:rPr>
        <w:t>1.4.2 Esercizio - DEAD + SDL + LANE_EQ</w:t>
      </w:r>
    </w:p>
    <w:p>
      <w:pPr>
        <w:spacing w:before="160" w:after="60"/>
      </w:pPr>
      <w:r>
        <w:rPr>
          <w:b/>
          <w:color w:val="000000"/>
          <w:sz w:val="21"/>
        </w:rPr>
        <w:t>1.4.2.1 Deformata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58385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583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1.4.2.1 - Deformata del caso Esercizio - DEAD + SDL + LANE_EQ; e' evidenziato lo spostamento massimo.</w:t>
      </w:r>
    </w:p>
    <w:p>
      <w:pPr>
        <w:spacing w:before="160" w:after="60"/>
      </w:pPr>
      <w:r>
        <w:rPr>
          <w:b/>
          <w:color w:val="000000"/>
          <w:sz w:val="21"/>
        </w:rPr>
        <w:t>1.4.2.2 Sollecitazione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66620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666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1.4.2.2 - Diagramma della sollecitazione Mz per Esercizio - DEAD + SDL + LANE_EQ.</w:t>
      </w:r>
    </w:p>
    <w:p>
      <w:pPr>
        <w:spacing w:before="160" w:after="60"/>
      </w:pPr>
      <w:r>
        <w:rPr>
          <w:b/>
          <w:color w:val="000000"/>
          <w:sz w:val="21"/>
        </w:rPr>
        <w:t>1.4.2.3 Sollecitazione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68866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688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1.4.2.3 - Diagramma della sollecitazione Vy per Esercizio - DEAD + SDL + LANE_EQ.</w:t>
      </w:r>
    </w:p>
    <w:p>
      <w:pPr>
        <w:spacing w:before="160" w:after="60"/>
      </w:pPr>
      <w:r>
        <w:rPr>
          <w:b/>
          <w:color w:val="000000"/>
          <w:sz w:val="21"/>
        </w:rPr>
        <w:t>1.4.2.4 Sollecitazione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76900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769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1.4.2.4 - Diagramma della sollecitazione N per Esercizio - DEAD + SDL + LANE_EQ.</w:t>
      </w:r>
    </w:p>
    <w:p>
      <w:pPr>
        <w:spacing w:before="160" w:after="60"/>
      </w:pPr>
      <w:r>
        <w:rPr>
          <w:b/>
          <w:color w:val="000000"/>
          <w:sz w:val="21"/>
        </w:rPr>
        <w:t>1.4.2.5 Reazioni vincolari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41150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411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1.4.2.5 - Reazioni vincolari per Esercizio - DEAD + SDL + LANE_EQ.</w:t>
      </w:r>
    </w:p>
    <w:p>
      <w:pPr>
        <w:spacing w:before="160" w:after="60"/>
      </w:pPr>
      <w:r>
        <w:rPr>
          <w:b/>
          <w:color w:val="000000"/>
          <w:sz w:val="21"/>
        </w:rPr>
        <w:t>1.4.3 Termico e ritiro - THERM + SHR</w:t>
      </w:r>
    </w:p>
    <w:p>
      <w:pPr>
        <w:spacing w:before="160" w:after="60"/>
      </w:pPr>
      <w:r>
        <w:rPr>
          <w:b/>
          <w:color w:val="000000"/>
          <w:sz w:val="21"/>
        </w:rPr>
        <w:t>1.4.3.1 Deformata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53449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534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1.4.3.1 - Deformata del caso Termico e ritiro - THERM + SHR; e' evidenziato lo spostamento massimo.</w:t>
      </w:r>
    </w:p>
    <w:p>
      <w:pPr>
        <w:spacing w:before="160" w:after="60"/>
      </w:pPr>
      <w:r>
        <w:rPr>
          <w:b/>
          <w:color w:val="000000"/>
          <w:sz w:val="21"/>
        </w:rPr>
        <w:t>1.4.3.2 Sollecitazione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22289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22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1.4.3.2 - Diagramma della sollecitazione Mz per Termico e ritiro - THERM + SHR.</w:t>
      </w:r>
    </w:p>
    <w:p>
      <w:pPr>
        <w:spacing w:before="160" w:after="60"/>
      </w:pPr>
      <w:r>
        <w:rPr>
          <w:b/>
          <w:color w:val="000000"/>
          <w:sz w:val="21"/>
        </w:rPr>
        <w:t>1.4.3.3 Sollecitazione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51100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511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1.4.3.3 - Diagramma della sollecitazione Vy per Termico e ritiro - THERM + SHR.</w:t>
      </w:r>
    </w:p>
    <w:p>
      <w:pPr>
        <w:spacing w:before="160" w:after="60"/>
      </w:pPr>
      <w:r>
        <w:rPr>
          <w:b/>
          <w:color w:val="000000"/>
          <w:sz w:val="21"/>
        </w:rPr>
        <w:t>1.4.3.4 Sollecitazione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7144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71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1.4.3.4 - Diagramma della sollecitazione N per Termico e ritiro - THERM + SHR.</w:t>
      </w:r>
    </w:p>
    <w:p>
      <w:pPr>
        <w:spacing w:before="160" w:after="60"/>
      </w:pPr>
      <w:r>
        <w:rPr>
          <w:b/>
          <w:color w:val="000000"/>
          <w:sz w:val="21"/>
        </w:rPr>
        <w:t>1.4.3.5 Reazioni vincolari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9631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9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1.4.3.5 - Reazioni vincolari per Termico e ritiro - THERM + SHR.</w:t>
      </w:r>
    </w:p>
    <w:p>
      <w:pPr>
        <w:spacing w:before="160" w:after="60"/>
      </w:pPr>
      <w:r>
        <w:rPr>
          <w:b/>
          <w:color w:val="000000"/>
          <w:sz w:val="21"/>
        </w:rPr>
        <w:t>1.4.4 Rara - DEAD + SDL + LANE_EQ + THERM + SHR</w:t>
      </w:r>
    </w:p>
    <w:p>
      <w:pPr>
        <w:spacing w:before="160" w:after="60"/>
      </w:pPr>
      <w:r>
        <w:rPr>
          <w:b/>
          <w:color w:val="000000"/>
          <w:sz w:val="21"/>
        </w:rPr>
        <w:t>1.4.4.1 Deformata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8773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87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1.4.4.1 - Deformata del caso Rara - DEAD + SDL + LANE_EQ + THERM + SHR; e' evidenziato lo spostamento massimo.</w:t>
      </w:r>
    </w:p>
    <w:p>
      <w:pPr>
        <w:spacing w:before="160" w:after="60"/>
      </w:pPr>
      <w:r>
        <w:rPr>
          <w:b/>
          <w:color w:val="000000"/>
          <w:sz w:val="21"/>
        </w:rPr>
        <w:t>1.4.4.2 Sollecitazione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2285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22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1.4.4.2 - Diagramma della sollecitazione Mz per Rara - DEAD + SDL + LANE_EQ + THERM + SHR.</w:t>
      </w:r>
    </w:p>
    <w:p>
      <w:pPr>
        <w:spacing w:before="160" w:after="60"/>
      </w:pPr>
      <w:r>
        <w:rPr>
          <w:b/>
          <w:color w:val="000000"/>
          <w:sz w:val="21"/>
        </w:rPr>
        <w:t>1.4.4.3 Sollecitazione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3564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35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1.4.4.3 - Diagramma della sollecitazione Vy per Rara - DEAD + SDL + LANE_EQ + THERM + SHR.</w:t>
      </w:r>
    </w:p>
    <w:p>
      <w:pPr>
        <w:spacing w:before="160" w:after="60"/>
      </w:pPr>
      <w:r>
        <w:rPr>
          <w:b/>
          <w:color w:val="000000"/>
          <w:sz w:val="21"/>
        </w:rPr>
        <w:t>1.4.4.4 Sollecitazione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8114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8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1.4.4.4 - Diagramma della sollecitazione N per Rara - DEAD + SDL + LANE_EQ + THERM + SHR.</w:t>
      </w:r>
    </w:p>
    <w:p>
      <w:pPr>
        <w:spacing w:before="160" w:after="60"/>
      </w:pPr>
      <w:r>
        <w:rPr>
          <w:b/>
          <w:color w:val="000000"/>
          <w:sz w:val="21"/>
        </w:rPr>
        <w:t>1.4.4.5 Reazioni vincolari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93166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31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1.4.4.5 - Reazioni vincolari per Rara - DEAD + SDL + LANE_EQ + THERM + SHR.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beamfeapy - Relazione tecnica FEM - 02/06/2026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Ponte a graticcio IABSE Evanston I-80 - Report FEM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