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000"/>
          <w:sz w:val="46"/>
        </w:rPr>
        <w:t>PONTE BITRAVE A TRE CAMPATE IN SEZIONE MISTA - REPORT FEM</w:t>
      </w:r>
    </w:p>
    <w:p>
      <w:pPr>
        <w:jc w:val="center"/>
      </w:pPr>
      <w:r>
        <w:rPr>
          <w:color w:val="464646"/>
          <w:sz w:val="28"/>
        </w:rPr>
        <w:t>Modello a graticcio beamfeapy, conci strutturali variabili</w:t>
      </w:r>
    </w:p>
    <w:p/>
    <w:p>
      <w:pPr>
        <w:jc w:val="center"/>
      </w:pPr>
      <w:r>
        <w:rPr>
          <w:b/>
        </w:rPr>
        <w:t xml:space="preserve">Committente: </w:t>
      </w:r>
      <w:r>
        <w:t>Dimostratore beamfeapy</w:t>
      </w:r>
    </w:p>
    <w:p>
      <w:pPr>
        <w:jc w:val="center"/>
      </w:pPr>
      <w:r>
        <w:rPr>
          <w:b/>
        </w:rPr>
        <w:t xml:space="preserve">Commessa: </w:t>
      </w:r>
      <w:r>
        <w:t>Esempio 32 - ponte bitrave 50+60+50 m</w:t>
      </w:r>
    </w:p>
    <w:p>
      <w:pPr>
        <w:jc w:val="center"/>
      </w:pPr>
      <w:r>
        <w:rPr>
          <w:b/>
        </w:rPr>
        <w:t xml:space="preserve">Normativa di riferimento: </w:t>
      </w:r>
      <w:r>
        <w:t>EN 1993 / EN 1994-2 (schema a graticcio, carichi statici)</w:t>
      </w:r>
    </w:p>
    <w:p>
      <w:pPr>
        <w:jc w:val="center"/>
      </w:pPr>
      <w:r>
        <w:rPr>
          <w:b/>
        </w:rPr>
        <w:t xml:space="preserve">Data: </w:t>
      </w:r>
      <w:r>
        <w:t>03/06/2026</w:t>
      </w:r>
    </w:p>
    <w:p>
      <w:r>
        <w:br w:type="page"/>
      </w:r>
    </w:p>
    <w:p>
      <w:pPr>
        <w:spacing w:before="200" w:after="120"/>
        <w:shd w:fill="3A3A3A" w:val="clear"/>
      </w:pPr>
      <w:r>
        <w:rPr>
          <w:b/>
          <w:color w:val="FFFFFF"/>
          <w:sz w:val="24"/>
        </w:rPr>
        <w:t>Modellazione ed Analisi</w:t>
      </w:r>
    </w:p>
    <w:p>
      <w:pPr>
        <w:spacing w:before="160" w:after="60"/>
      </w:pPr>
      <w:r>
        <w:rPr>
          <w:b/>
          <w:color w:val="000000"/>
          <w:sz w:val="21"/>
        </w:rPr>
        <w:t>1.1 Modellazione</w:t>
      </w:r>
    </w:p>
    <w:p>
      <w:pPr>
        <w:spacing w:before="40" w:after="80"/>
      </w:pPr>
      <w:r>
        <w:rPr>
          <w:b w:val="0"/>
          <w:sz w:val="20"/>
        </w:rPr>
        <w:t>La presente sezione riepiloga la discretizzazione adottata per il modello agli elementi finiti, i vincoli applicati e i casi di carico disponibili.</w:t>
      </w:r>
    </w:p>
    <w:p>
      <w:pPr>
        <w:spacing w:before="40" w:after="80"/>
      </w:pPr>
      <w:r>
        <w:rPr>
          <w:b w:val="0"/>
          <w:sz w:val="20"/>
        </w:rPr>
        <w:t>Il modello FEM e' composto da 38 nodi e 55 elementi trave. I vincoli applicati interessano 13 gradi di liberta'. I load case disponibili sono: DEAD, LANE_EQ, SDL, SHR, THERM.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2268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4819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Descrizione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Nodi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Punti di connessione del modello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Elementi</w:t>
            </w:r>
          </w:p>
        </w:tc>
        <w:tc>
          <w:tcPr>
            <w:tcW w:type="dxa" w:w="2268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4819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Elementi trave 3D utilizzati nella discretizzazione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Vincoli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Gradi di liberta' prescritti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Tipi elemento</w:t>
            </w:r>
          </w:p>
        </w:tc>
        <w:tc>
          <w:tcPr>
            <w:tcW w:type="dxa" w:w="2268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BeamElement3D: 55</w:t>
            </w:r>
          </w:p>
        </w:tc>
        <w:tc>
          <w:tcPr>
            <w:tcW w:type="dxa" w:w="4819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Famiglie FEM presenti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Load case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DEAD, LANE_EQ, SDL, SHR, THERM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Casi di carico definiti</w:t>
            </w:r>
          </w:p>
        </w:tc>
      </w:tr>
    </w:tbl>
    <w:p/>
    <w:p>
      <w:pPr>
        <w:spacing w:before="40" w:after="80"/>
      </w:pPr>
      <w:r>
        <w:rPr>
          <w:b w:val="0"/>
          <w:sz w:val="20"/>
        </w:rPr>
        <w:t>Ponte stradale continuo a tre campate (50+60+50 m) con due travi principali in acciaio e soletta collaborante. L'impalcato e' composto da conci con sezioni diverse: campate di riva, campata centrale e conci fessurati sugli appoggi interni. Il ritiro e' applicato come deformazione imposta sui soli conci non fessurati.</w:t>
      </w:r>
    </w:p>
    <w:p>
      <w:pPr>
        <w:spacing w:before="160" w:after="60"/>
      </w:pPr>
      <w:r>
        <w:rPr>
          <w:b/>
          <w:color w:val="000000"/>
          <w:sz w:val="21"/>
        </w:rPr>
        <w:t>1.1.1 Schema del modello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1.1.1 - Modello FEM con nodi, elementi, numerazioni e vincoli. Nelle viste tridimensionali l'asse Z e' mantenuto verticale.</w:t>
      </w:r>
    </w:p>
    <w:p>
      <w:pPr>
        <w:spacing w:before="160" w:after="60"/>
      </w:pPr>
      <w:r>
        <w:rPr>
          <w:b/>
          <w:color w:val="000000"/>
          <w:sz w:val="21"/>
        </w:rPr>
        <w:t>1.2 Analisi dei carichi</w:t>
      </w:r>
    </w:p>
    <w:p>
      <w:pPr>
        <w:spacing w:before="160" w:after="60"/>
      </w:pPr>
      <w:r>
        <w:rPr>
          <w:b/>
          <w:color w:val="000000"/>
          <w:sz w:val="21"/>
        </w:rPr>
        <w:t>1.2.1 Load case DEAD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1.2.1 - Modello caricato per il load case DEAD.</w:t>
      </w:r>
    </w:p>
    <w:p>
      <w:pPr>
        <w:spacing w:before="160" w:after="60"/>
      </w:pPr>
      <w:r>
        <w:rPr>
          <w:b/>
          <w:color w:val="000000"/>
          <w:sz w:val="21"/>
        </w:rPr>
        <w:t>1.2.2 Load case SDL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1.2.2 - Modello caricato per il load case SDL.</w:t>
      </w:r>
    </w:p>
    <w:p>
      <w:pPr>
        <w:spacing w:before="160" w:after="60"/>
      </w:pPr>
      <w:r>
        <w:rPr>
          <w:b/>
          <w:color w:val="000000"/>
          <w:sz w:val="21"/>
        </w:rPr>
        <w:t>1.2.3 Load case LANE_EQ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1.2.3 - Modello caricato per il load case LANE_EQ.</w:t>
      </w:r>
    </w:p>
    <w:p>
      <w:pPr>
        <w:spacing w:before="160" w:after="60"/>
      </w:pPr>
      <w:r>
        <w:rPr>
          <w:b/>
          <w:color w:val="000000"/>
          <w:sz w:val="21"/>
        </w:rPr>
        <w:t>1.2.4 Load case THERM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1.2.4 - Modello caricato per il load case THERM.</w:t>
      </w:r>
    </w:p>
    <w:p>
      <w:pPr>
        <w:spacing w:before="160" w:after="60"/>
      </w:pPr>
      <w:r>
        <w:rPr>
          <w:b/>
          <w:color w:val="000000"/>
          <w:sz w:val="21"/>
        </w:rPr>
        <w:t>1.2.5 Load case SHR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96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1.2.5 - Modello caricato per il load case SHR.</w:t>
      </w:r>
    </w:p>
    <w:p>
      <w:pPr>
        <w:spacing w:before="160" w:after="60"/>
      </w:pPr>
      <w:r>
        <w:rPr>
          <w:b/>
          <w:color w:val="000000"/>
          <w:sz w:val="21"/>
        </w:rPr>
        <w:t>1.3 Sollecitazioni e reazioni per load pattern</w:t>
      </w:r>
    </w:p>
    <w:p>
      <w:pPr>
        <w:spacing w:before="160" w:after="60"/>
      </w:pPr>
      <w:r>
        <w:rPr>
          <w:b/>
          <w:color w:val="000000"/>
          <w:sz w:val="21"/>
        </w:rPr>
        <w:t>1.3.1 Load pattern DEAD</w:t>
      </w:r>
    </w:p>
    <w:p>
      <w:pPr>
        <w:spacing w:before="160" w:after="60"/>
      </w:pPr>
      <w:r>
        <w:rPr>
          <w:b/>
          <w:color w:val="000000"/>
          <w:sz w:val="21"/>
        </w:rPr>
        <w:t>1.3.1.1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1.3.1.1 - Deformata del caso Load pattern DEAD;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1.3.1.2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66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6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1.3.1.2 - Diagramma della sollecitazione Mz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1.3.1.3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965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1.3.1.3 - Diagramma della sollecitazione Vy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1.3.1.4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1.3.1.4 - Diagramma della sollecitazione N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1.3.1.5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1.3.1.5 - Reazioni vincolari per Load pattern DEAD.</w:t>
      </w:r>
    </w:p>
    <w:p>
      <w:pPr>
        <w:spacing w:before="160" w:after="60"/>
      </w:pPr>
      <w:r>
        <w:rPr>
          <w:b/>
          <w:color w:val="000000"/>
          <w:sz w:val="21"/>
        </w:rPr>
        <w:t>1.3.2 Load pattern SDL</w:t>
      </w:r>
    </w:p>
    <w:p>
      <w:pPr>
        <w:spacing w:before="160" w:after="60"/>
      </w:pPr>
      <w:r>
        <w:rPr>
          <w:b/>
          <w:color w:val="000000"/>
          <w:sz w:val="21"/>
        </w:rPr>
        <w:t>1.3.2.1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1.3.2.1 - Deformata del caso Load pattern SDL;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1.3.2.2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667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6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1.3.2.2 - Diagramma della sollecitazione Mz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1.3.2.3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79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7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1.3.2.3 - Diagramma della sollecitazione Vy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1.3.2.4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1.3.2.4 - Diagramma della sollecitazione N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1.3.2.5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1.3.2.5 - Reazioni vincolari per Load pattern SDL.</w:t>
      </w:r>
    </w:p>
    <w:p>
      <w:pPr>
        <w:spacing w:before="160" w:after="60"/>
      </w:pPr>
      <w:r>
        <w:rPr>
          <w:b/>
          <w:color w:val="000000"/>
          <w:sz w:val="21"/>
        </w:rPr>
        <w:t>1.3.3 Load pattern LANE_EQ</w:t>
      </w:r>
    </w:p>
    <w:p>
      <w:pPr>
        <w:spacing w:before="160" w:after="60"/>
      </w:pPr>
      <w:r>
        <w:rPr>
          <w:b/>
          <w:color w:val="000000"/>
          <w:sz w:val="21"/>
        </w:rPr>
        <w:t>1.3.3.1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1.3.3.1 - Deformata del caso Load pattern LANE_EQ;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1.3.3.2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667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6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1.3.3.2 - Diagramma della sollecitazione Mz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1.3.3.3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797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7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1.3.3.3 - Diagramma della sollecitazione Vy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1.3.3.4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1.3.3.4 - Diagramma della sollecitazione N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1.3.3.5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1.3.3.5 - Reazioni vincolari per Load pattern LANE_EQ.</w:t>
      </w:r>
    </w:p>
    <w:p>
      <w:pPr>
        <w:spacing w:before="160" w:after="60"/>
      </w:pPr>
      <w:r>
        <w:rPr>
          <w:b/>
          <w:color w:val="000000"/>
          <w:sz w:val="21"/>
        </w:rPr>
        <w:t>1.3.4 Load pattern THERM</w:t>
      </w:r>
    </w:p>
    <w:p>
      <w:pPr>
        <w:spacing w:before="160" w:after="60"/>
      </w:pPr>
      <w:r>
        <w:rPr>
          <w:b/>
          <w:color w:val="000000"/>
          <w:sz w:val="21"/>
        </w:rPr>
        <w:t>1.3.4.1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1.3.4.1 - Deformata del caso Load pattern THERM;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1.3.4.2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667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6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1.3.4.2 - Diagramma della sollecitazione Mz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1.3.4.3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467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46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1.3.4.3 - Diagramma della sollecitazione Vy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1.3.4.4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1.3.4.4 - Diagramma della sollecitazione N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1.3.4.5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1.3.4.5 - Reazioni vincolari per Load pattern THERM.</w:t>
      </w:r>
    </w:p>
    <w:p>
      <w:pPr>
        <w:spacing w:before="160" w:after="60"/>
      </w:pPr>
      <w:r>
        <w:rPr>
          <w:b/>
          <w:color w:val="000000"/>
          <w:sz w:val="21"/>
        </w:rPr>
        <w:t>1.3.5 Load pattern SHR</w:t>
      </w:r>
    </w:p>
    <w:p>
      <w:pPr>
        <w:spacing w:before="160" w:after="60"/>
      </w:pPr>
      <w:r>
        <w:rPr>
          <w:b/>
          <w:color w:val="000000"/>
          <w:sz w:val="21"/>
        </w:rPr>
        <w:t>1.3.5.1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1.3.5.1 - Deformata del caso Load pattern SHR;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1.3.5.2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032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1.3.5.2 - Diagramma della sollecitazione Mz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1.3.5.3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41150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1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1.3.5.3 - Diagramma della sollecitazione Vy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1.3.5.4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1.3.5.4 - Diagramma della sollecitazione N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1.3.5.5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1.3.5.5 - Reazioni vincolari per Load pattern SHR.</w:t>
      </w:r>
    </w:p>
    <w:p>
      <w:pPr>
        <w:spacing w:before="160" w:after="60"/>
      </w:pPr>
      <w:r>
        <w:rPr>
          <w:b/>
          <w:color w:val="000000"/>
          <w:sz w:val="21"/>
        </w:rPr>
        <w:t>1.4 Combinazioni</w:t>
      </w:r>
    </w:p>
    <w:p>
      <w:pPr>
        <w:spacing w:before="160" w:after="60"/>
      </w:pPr>
      <w:r>
        <w:rPr>
          <w:b/>
          <w:color w:val="000000"/>
          <w:sz w:val="21"/>
        </w:rPr>
        <w:t>1.4.1 Permanenti - DEAD + SDL</w:t>
      </w:r>
    </w:p>
    <w:p>
      <w:pPr>
        <w:spacing w:before="160" w:after="60"/>
      </w:pPr>
      <w:r>
        <w:rPr>
          <w:b/>
          <w:color w:val="000000"/>
          <w:sz w:val="21"/>
        </w:rPr>
        <w:t>1.4.1.1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3861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3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1.4.1.1 - Deformata del caso Permanenti - DEAD + SDL;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1.4.1.2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4190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1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1.4.1.2 - Diagramma della sollecitazione Mz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1.4.1.3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965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1.4.1.3 - Diagramma della sollecitazione Vy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1.4.1.4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1.4.1.4 - Diagramma della sollecitazione N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1.4.1.5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1.4.1.5 - Reazioni vincolari per Permanenti - DEAD + SDL.</w:t>
      </w:r>
    </w:p>
    <w:p>
      <w:pPr>
        <w:spacing w:before="160" w:after="60"/>
      </w:pPr>
      <w:r>
        <w:rPr>
          <w:b/>
          <w:color w:val="000000"/>
          <w:sz w:val="21"/>
        </w:rPr>
        <w:t>1.4.2 Esercizio - DEAD + SDL + LANE_EQ</w:t>
      </w:r>
    </w:p>
    <w:p>
      <w:pPr>
        <w:spacing w:before="160" w:after="60"/>
      </w:pPr>
      <w:r>
        <w:rPr>
          <w:b/>
          <w:color w:val="000000"/>
          <w:sz w:val="21"/>
        </w:rPr>
        <w:t>1.4.2.1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5838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8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1.4.2.1 - Deformata del caso Esercizio - DEAD + SDL + LANE_EQ;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1.4.2.2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6620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6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1.4.2.2 - Diagramma della sollecitazione Mz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1.4.2.3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8866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8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1.4.2.3 - Diagramma della sollecitazione Vy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1.4.2.4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76900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6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1.4.2.4 - Diagramma della sollecitazione N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1.4.2.5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41150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1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1.4.2.5 - Reazioni vincolari per Esercizio - DEAD + SDL + LANE_EQ.</w:t>
      </w:r>
    </w:p>
    <w:p>
      <w:pPr>
        <w:spacing w:before="160" w:after="60"/>
      </w:pPr>
      <w:r>
        <w:rPr>
          <w:b/>
          <w:color w:val="000000"/>
          <w:sz w:val="21"/>
        </w:rPr>
        <w:t>1.4.3 Termico e ritiro - THERM + SHR</w:t>
      </w:r>
    </w:p>
    <w:p>
      <w:pPr>
        <w:spacing w:before="160" w:after="60"/>
      </w:pPr>
      <w:r>
        <w:rPr>
          <w:b/>
          <w:color w:val="000000"/>
          <w:sz w:val="21"/>
        </w:rPr>
        <w:t>1.4.3.1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5025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5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1.4.3.1 - Deformata del caso Termico e ritiro - THERM + SHR;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1.4.3.2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2723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27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1.4.3.2 - Diagramma della sollecitazione Mz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1.4.3.3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6611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6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1.4.3.3 - Diagramma della sollecitazione Vy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1.4.3.4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88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1.4.3.4 - Diagramma della sollecitazione N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1.4.3.5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1302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1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1.4.3.5 - Reazioni vincolari per Termico e ritiro - THERM + SHR.</w:t>
      </w:r>
    </w:p>
    <w:p>
      <w:pPr>
        <w:spacing w:before="160" w:after="60"/>
      </w:pPr>
      <w:r>
        <w:rPr>
          <w:b/>
          <w:color w:val="000000"/>
          <w:sz w:val="21"/>
        </w:rPr>
        <w:t>1.4.4 Rara - tutti i casi</w:t>
      </w:r>
    </w:p>
    <w:p>
      <w:pPr>
        <w:spacing w:before="160" w:after="60"/>
      </w:pPr>
      <w:r>
        <w:rPr>
          <w:b/>
          <w:color w:val="000000"/>
          <w:sz w:val="21"/>
        </w:rPr>
        <w:t>1.4.4.1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726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7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1.4.4.1 - Deformata del caso Rara - tutti i casi;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1.4.4.2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2285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1.4.4.2 - Diagramma della sollecitazione Mz per Rara - tutti i casi.</w:t>
      </w:r>
    </w:p>
    <w:p>
      <w:pPr>
        <w:spacing w:before="160" w:after="60"/>
      </w:pPr>
      <w:r>
        <w:rPr>
          <w:b/>
          <w:color w:val="000000"/>
          <w:sz w:val="21"/>
        </w:rPr>
        <w:t>1.4.4.3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3564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1.4.4.3 - Diagramma della sollecitazione Vy per Rara - tutti i casi.</w:t>
      </w:r>
    </w:p>
    <w:p>
      <w:pPr>
        <w:spacing w:before="160" w:after="60"/>
      </w:pPr>
      <w:r>
        <w:rPr>
          <w:b/>
          <w:color w:val="000000"/>
          <w:sz w:val="21"/>
        </w:rPr>
        <w:t>1.4.4.4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811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8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1.4.4.4 - Diagramma della sollecitazione N per Rara - tutti i casi.</w:t>
      </w:r>
    </w:p>
    <w:p>
      <w:pPr>
        <w:spacing w:before="160" w:after="60"/>
      </w:pPr>
      <w:r>
        <w:rPr>
          <w:b/>
          <w:color w:val="000000"/>
          <w:sz w:val="21"/>
        </w:rPr>
        <w:t>1.4.4.5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93166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3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1.4.4.5 - Reazioni vincolari per Rara - tutti i casi.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beamfeapy - Relazione tecnica FEM - 03/06/2026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Ponte bitrave a tre campate in sezione mista - Report FEM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