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8235" w14:textId="6323B565" w:rsidR="00242976" w:rsidRDefault="2BBAA6B3" w:rsidP="0390B43B">
      <w:pPr>
        <w:pStyle w:val="Titolo"/>
      </w:pPr>
      <w:r>
        <w:rPr/>
        <w:t xml:space="preserve">ServiceRescue-KB</w:t>
      </w:r>
    </w:p>
    <w:p w14:paraId="5C005193" w14:textId="0DB08BEA" w:rsidR="0390B43B" w:rsidRDefault="0390B43B" w:rsidP="0390B43B"/>
    <w:p w14:paraId="0BF057D8" w14:textId="138F3683" w:rsidR="0390B43B" w:rsidRDefault="0390B43B" w:rsidP="0390B43B">
      <w:pPr>
        <w:rPr>
          <w:rStyle w:val="Titolo1Carattere"/>
        </w:rPr>
      </w:pPr>
    </w:p>
    <w:p w14:paraId="0103B498" w14:textId="4D40E141" w:rsidR="0390B43B" w:rsidRDefault="0390B43B" w:rsidP="0390B43B">
      <w:pPr>
        <w:rPr>
          <w:rStyle w:val="Titolo1Carattere"/>
        </w:rPr>
      </w:pPr>
    </w:p>
    <w:p w14:paraId="556CF4E6" w14:textId="54ACBB0F" w:rsidR="2BBAA6B3" w:rsidRDefault="2BBAA6B3" w:rsidP="0390B43B">
      <w:r w:rsidRPr="0390B43B">
        <w:rPr>
          <w:rStyle w:val="Titolo1Carattere"/>
        </w:rPr>
        <w:t>Gruppo di lavoro</w:t>
      </w:r>
    </w:p>
    <w:p w14:paraId="1F5E12C8" w14:textId="306BDCDD" w:rsidR="0390B43B" w:rsidRDefault="00C1304A" w:rsidP="0390B43B">
      <w:pPr>
        <w:pStyle w:val="Paragrafoelenco"/>
        <w:numPr>
          <w:ilvl w:val="0"/>
          <w:numId w:val="2"/>
        </w:numPr>
        <w:rPr>
          <w:rStyle w:val="Titolo1Carattere"/>
        </w:rPr>
      </w:pPr>
      <w:r>
        <w:rPr>
          <w:rStyle w:val="Titolo1Carattere"/>
        </w:rPr>
        <w:t>Domenico Mastrolonardo</w:t>
      </w:r>
      <w:r w:rsidR="2BBAA6B3" w:rsidRPr="0390B43B">
        <w:rPr>
          <w:rStyle w:val="Titolo1Carattere"/>
        </w:rPr>
        <w:t xml:space="preserve">, </w:t>
      </w:r>
      <w:r>
        <w:rPr>
          <w:rStyle w:val="Titolo1Carattere"/>
        </w:rPr>
        <w:t>746995</w:t>
      </w:r>
      <w:r w:rsidR="2BBAA6B3" w:rsidRPr="0390B43B">
        <w:rPr>
          <w:rStyle w:val="Titolo1Carattere"/>
        </w:rPr>
        <w:t xml:space="preserve">, </w:t>
      </w:r>
      <w:hyperlink r:id="rId8" w:history="1">
        <w:r w:rsidRPr="008373E0">
          <w:rPr>
            <w:rStyle w:val="Collegamentoipertestuale"/>
          </w:rPr>
          <w:t>d.mastrolonardo2@studenti.uniba.it</w:t>
        </w:r>
      </w:hyperlink>
    </w:p>
    <w:p w14:paraId="43FCEC82" w14:textId="005C2C5C" w:rsidR="0390B43B" w:rsidRDefault="04789D4C" w:rsidP="0390B43B">
      <w:pPr>
        <w:rPr>
          <w:rStyle w:val="Titolo1Carattere"/>
        </w:rPr>
      </w:pPr>
      <w:r>
        <w:rPr>
          <w:rStyle w:val="Titolo1Carattere"/>
          <w:b w:val="1"/>
        </w:rPr>
        <w:t xml:space="preserve">https://github.com/DomenicoMastrolonardo/ServiceRescue</w:t>
      </w:r>
    </w:p>
    <w:p w14:paraId="4CD994FF" w14:textId="49A9C6F1" w:rsidR="3C7ECF19" w:rsidRDefault="3C7ECF19" w:rsidP="3C7ECF19">
      <w:pPr>
        <w:rPr>
          <w:rStyle w:val="Titolo1Carattere"/>
        </w:rPr>
      </w:pPr>
    </w:p>
    <w:p w14:paraId="6AAD032A" w14:textId="67F7EC62" w:rsidR="2BBAA6B3" w:rsidRPr="00C1304A" w:rsidRDefault="2BBAA6B3" w:rsidP="0390B43B">
      <w:pPr>
        <w:rPr>
          <w:rStyle w:val="Titolo1Carattere"/>
          <w:u w:val="single"/>
        </w:rPr>
      </w:pPr>
      <w:r w:rsidRPr="0390B43B">
        <w:rPr>
          <w:rStyle w:val="Titolo1Carattere"/>
        </w:rPr>
        <w:t xml:space="preserve">AA </w:t>
      </w:r>
      <w:r w:rsidR="00C1304A">
        <w:rPr>
          <w:rStyle w:val="Titolo1Carattere"/>
        </w:rPr>
        <w:t>2025</w:t>
      </w:r>
      <w:r w:rsidRPr="0390B43B">
        <w:rPr>
          <w:rStyle w:val="Titolo1Carattere"/>
        </w:rPr>
        <w:t>-2</w:t>
      </w:r>
      <w:r w:rsidR="00C1304A">
        <w:rPr>
          <w:rStyle w:val="Titolo1Carattere"/>
        </w:rPr>
        <w:t>6</w:t>
      </w:r>
    </w:p>
    <w:p w14:paraId="0EFCB4AD" w14:textId="5F3FAA7C" w:rsidR="0390B43B" w:rsidRDefault="0390B43B" w:rsidP="0390B43B">
      <w:pPr>
        <w:rPr>
          <w:rStyle w:val="Titolo1Carattere"/>
        </w:rPr>
      </w:pPr>
    </w:p>
    <w:p w14:paraId="430118FF" w14:textId="5EA7884B" w:rsidR="0390B43B" w:rsidRDefault="0390B43B">
      <w:r>
        <w:br w:type="page"/>
      </w:r>
    </w:p>
    <w:p w14:paraId="5BFD29CB" w14:textId="6DB71541" w:rsidR="751B9FF5" w:rsidRDefault="751B9FF5" w:rsidP="0390B43B">
      <w:r w:rsidRPr="0390B43B">
        <w:rPr>
          <w:rStyle w:val="Titolo1Carattere"/>
        </w:rPr>
        <w:lastRenderedPageBreak/>
        <w:t>Introduzione</w:t>
      </w:r>
    </w:p>
    <w:p w14:paraId="09D26BE1" w14:textId="1BC86EE5" w:rsidR="751B9FF5" w:rsidRDefault="751B9FF5" w:rsidP="0390B43B">
      <w:r>
        <w:rPr/>
        <w:t xml:space="preserve">Il progetto affronta l’analisi dei guasti in infrastrutture composte da servizi informatici interdipendenti. Un servizio critico può risultare indisponibile per una dipendenza indiretta, mentre una replica sana può impedirne il guasto. Si studiano tre problemi collegati: derivare le conseguenze delle anomalie osservate, prevedere l’indisponibilità futura del servizio critico e individuare riparazioni a costo minimo quando i guasti sono confermati.</w:t>
      </w:r>
    </w:p>
    <w:p>
      <w:r>
        <w:rPr/>
        <w:t xml:space="preserve">Il dominio è simulato mediante un generatore originale: 120 infrastrutture di 10–18 nodi, ciascuna osservata in otto scenari, per 960 esempi. Gli scenari condividono la topologia entro infrastruttura ma non formano una serie temporale. I dati sintetici consentono oracoli di verifica e riproducibilità; i risultati non costituiscono una validazione su incidenti reali. La valutazione è estesa a due ulteriori dataset, ridondante e denso: in totale 2.880 esempi di 360 infrastrutture appartenenti a tre famiglie dello stesso dominio. Una valutazione separata del monitoraggio usa inoltre i 90 casi di RCAEval RE2-OB: metriche e tracce di Online Boutique raccolte durante fault injection. Gli archi ricavati dalle tracce sono relazioni osservate, non dipendenze obbligatorie, e non vengono usati per modificare la KB sintetica. Le metriche permettono di confrontare i detector su telemetria esterna; il grafo supporta esempi separati di ragionamento osservazionale.</w:t>
      </w:r>
    </w:p>
    <w:p w14:paraId="79C32A67" w14:textId="2F47D73E" w:rsidR="0390B43B" w:rsidRDefault="0390B43B" w:rsidP="0390B43B">
      <w:pPr>
        <w:rPr>
          <w:rStyle w:val="Titolo1Carattere"/>
        </w:rPr>
      </w:pPr>
    </w:p>
    <w:p w14:paraId="6956B15B" w14:textId="13311AEB" w:rsidR="751B9FF5" w:rsidRDefault="751B9FF5" w:rsidP="0390B43B">
      <w:pPr>
        <w:rPr>
          <w:rStyle w:val="Titolo1Carattere"/>
        </w:rPr>
      </w:pPr>
      <w:r w:rsidRPr="0390B43B">
        <w:rPr>
          <w:rStyle w:val="Titolo1Carattere"/>
        </w:rPr>
        <w:t>Sommario</w:t>
      </w:r>
    </w:p>
    <w:p w14:paraId="460FB431" w14:textId="0A81C111" w:rsidR="751B9FF5" w:rsidRDefault="751B9FF5" w:rsidP="0390B43B">
      <w:r>
        <w:rPr/>
        <w:t xml:space="preserve">ServiceRescue-KB è un KBS che rappresenta dipendenze obbligatorie e repliche con clausole di Horn. SWI-Prolog ricava la chiusura logica; un interprete Datalog indipendente verifica le deduzioni e fornisce spiegazioni. Le relazioni derivate diventano Background Knowledge per tre classificatori supervisionati e una rete bayesiana. Il ragionamento verifica inoltre gli stati di una ricerca a costo uniforme delle riparazioni. Il ML non guida la ricerca: quest’ultima assume guasti confermati e azioni deterministiche. Un modulo non supervisionato impara regimi nominali con K-Means e produce anomalie locali da propagare nella KB. Questo ramo usa dati di monitoraggio separati dal dataset di previsione futura.</w:t>
      </w:r>
    </w:p>
    <w:p>
      <w:r>
        <w:rPr/>
        <w:t xml:space="preserve">La prima sezione tratta rappresentazione, inferenza e ricerca; la seconda apprendimento con BK supervisionato e non supervisionato con valutazione; la terza ragionamento probabilistico. Il dataset, gli split, le predizioni, i parametri scelti e gli hash sono conservati in results/full/. La struttura include src/main.py, serviceProlog.py, supervisedLearning.py, bayesianNetwork.py, extraAnalysis.py e unsupervisedLearning.py, oltre a kb/, data/raw/, data/processed/, results/tables/ e results/figures/. Il codice riutilizzabile è nel pacchetto src/servicerescue/; tools/repairSearch.py espone separatamente il benchmark aggiuntivo delle riparazioni.</w:t>
      </w:r>
    </w:p>
    <w:p w14:paraId="42FFEA1F" w14:textId="6E588917" w:rsidR="0390B43B" w:rsidRDefault="0390B43B" w:rsidP="0390B43B">
      <w:pPr>
        <w:rPr>
          <w:rStyle w:val="Titolo1Carattere"/>
        </w:rPr>
      </w:pPr>
    </w:p>
    <w:p w14:paraId="35B00625" w14:textId="3AB1D326" w:rsidR="751B9FF5" w:rsidRDefault="751B9FF5" w:rsidP="0390B43B">
      <w:pPr>
        <w:rPr>
          <w:rStyle w:val="Titolo1Carattere"/>
        </w:rPr>
      </w:pPr>
      <w:r w:rsidRPr="0390B43B">
        <w:rPr>
          <w:rStyle w:val="Titolo1Carattere"/>
        </w:rPr>
        <w:t xml:space="preserve">Elenco argomenti di interesse </w:t>
      </w:r>
    </w:p>
    <w:p w14:paraId="4552A055" w14:textId="2483985D" w:rsidR="751B9FF5" w:rsidRDefault="751B9FF5" w:rsidP="0390B43B">
      <w:pPr>
        <w:pStyle w:val="Paragrafoelenco"/>
        <w:numPr>
          <w:ilvl w:val="0"/>
          <w:numId w:val="1"/>
        </w:numPr>
      </w:pPr>
      <w:r>
        <w:rPr/>
        <w:t xml:space="preserve">Argomento 1 — Rappresentazione della conoscenza e ragionamento automatico: clausole di Horn, Datalog positivo, Prolog con tabling, ricorsione e congiunzioni; ricerca a costo uniforme per il ripristino.</w:t>
      </w:r>
    </w:p>
    <w:p w14:paraId="3DF2C5BC" w14:textId="40B5FA13" w:rsidR="751B9FF5" w:rsidRDefault="751B9FF5" w:rsidP="0390B43B">
      <w:pPr>
        <w:pStyle w:val="Paragrafoelenco"/>
        <w:numPr>
          <w:ilvl w:val="0"/>
          <w:numId w:val="1"/>
        </w:numPr>
      </w:pPr>
      <w:r>
        <w:rPr/>
        <w:t xml:space="preserve">Argomento 2 — Apprendimento: K-Means, silhouette e rilevamento di anomalie; regressione logistica, Random Forest e Gradient Boosting con Background Knowledge, confronto ablativo e cross-validation annidata a gruppi.</w:t>
      </w:r>
    </w:p>
    <w:p w14:paraId="32B744F0" w14:textId="274D75BB" w:rsidR="751B9FF5" w:rsidRDefault="751B9FF5" w:rsidP="0390B43B">
      <w:pPr>
        <w:pStyle w:val="Paragrafoelenco"/>
        <w:numPr>
          <w:ilvl w:val="0"/>
          <w:numId w:val="1"/>
        </w:numPr>
      </w:pPr>
      <w:r>
        <w:rPr/>
        <w:t xml:space="preserve">Argomento 3 — Apprendimento e ragionamento sotto incertezza: struttura di rete bayesiana appresa con BIC, stima delle CPD e inferenza esatta con evidenza parziale.</w:t>
      </w:r>
    </w:p>
    <w:p w14:paraId="3F0960B0" w14:textId="146C08BC" w:rsidR="751B9FF5" w:rsidRDefault="751B9FF5" w:rsidP="0390B43B">
      <w:pPr>
        <w:pStyle w:val="Paragrafoelenco"/>
        <w:numPr>
          <w:ilvl w:val="0"/>
          <w:numId w:val="1"/>
        </w:numPr>
      </w:pPr>
      <w:r>
        <w:rPr/>
        <w:t xml:space="preserve">Integrazione trasversale — La stessa conoscenza delle dipendenze alimenta predizione e verifica degli stati nella ricerca; simulatori distinti controllano deduzioni e piani.</w:t>
      </w:r>
    </w:p>
    <w:p w14:paraId="4992532B" w14:textId="2350AC62" w:rsidR="751B9FF5" w:rsidRDefault="751B9FF5" w:rsidP="0390B43B">
      <w:r>
        <w:rPr/>
        <w:t xml:space="preserve">Le aree affrontate sono rappresentazione logica, inferenza, ricerca, apprendimento supervisionato e non supervisionato e modelli grafici probabilistici. La rete bayesiana è proposizionale su feature relazionali aggregate, non un modello probabilistico relazionale o un’ontologia OWL.</w:t>
      </w:r>
    </w:p>
    <w:p w14:paraId="0DCB54D1" w14:textId="6D6D59D8" w:rsidR="0390B43B" w:rsidRDefault="0390B43B" w:rsidP="0390B43B"/>
    <w:p w14:paraId="498F3F66" w14:textId="636F9CB0" w:rsidR="0390B43B" w:rsidRDefault="0390B43B">
      <w:r>
        <w:br w:type="page"/>
      </w:r>
    </w:p>
    <w:p w14:paraId="583E925F" w14:textId="678ABE00" w:rsidR="524CEB74" w:rsidRDefault="524CEB74" w:rsidP="0390B43B">
      <w:pPr>
        <w:pStyle w:val="Titolo1"/>
      </w:pPr>
      <w:r>
        <w:lastRenderedPageBreak/>
        <w:t>Sezione</w:t>
      </w:r>
      <w:r w:rsidR="0C3DF892">
        <w:t xml:space="preserve"> Argomento 1</w:t>
      </w:r>
    </w:p>
    <w:p w14:paraId="3D7A8623" w14:textId="6CC57FAB" w:rsidR="0390B43B" w:rsidRDefault="0390B43B" w:rsidP="0390B43B"/>
    <w:p w14:paraId="27688669" w14:textId="4F9F3F0D" w:rsidR="0C3DF892" w:rsidRDefault="0C3DF892" w:rsidP="0390B43B">
      <w:pPr>
        <w:pStyle w:val="Titolo2"/>
      </w:pPr>
      <w:r>
        <w:t>Sommario</w:t>
      </w:r>
    </w:p>
    <w:p w14:paraId="07C9278C" w14:textId="5DE05491" w:rsidR="1B141B34" w:rsidRDefault="1B141B34" w:rsidP="0390B43B">
      <w:r>
        <w:rPr/>
        <w:t xml:space="preserve">La KB contiene dodici regole, quattro predicati di ingresso e sei predicati derivati. In Prolog il primo argomento C identifica la fotografia, impedendo deduzioni tra esempi anche quando i nomi locali dei nodi coincidono. Le regole sono esterne al codice Python: kb/kb.pl per SWI-Prolog e kb/rules.json per il verificatore Datalog.</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600"/>
        <w:gridCol w:w="6426"/>
      </w:tblGrid>
      <w:tr>
        <w:trPr>
          <w:cantSplit/>
          <w:tblHeader/>
        </w:trPr>
        <w:tc>
          <w:tcPr>
            <w:tcW w:w="2600" w:type="dxa"/>
            <w:shd w:fill="EDEDED"/>
          </w:tcPr>
          <w:p>
            <w:pPr>
              <w:spacing w:before="0" w:after="40" w:line="240" w:lineRule="auto"/>
            </w:pPr>
            <w:r>
              <w:rPr>
                <w:sz w:val="18"/>
                <w:b/>
              </w:rPr>
              <w:t>Predicato</w:t>
            </w:r>
          </w:p>
        </w:tc>
        <w:tc>
          <w:tcPr>
            <w:tcW w:w="6426" w:type="dxa"/>
            <w:shd w:fill="EDEDED"/>
          </w:tcPr>
          <w:p>
            <w:pPr>
              <w:spacing w:before="0" w:after="40" w:line="240" w:lineRule="auto"/>
            </w:pPr>
            <w:r>
              <w:rPr>
                <w:sz w:val="18"/>
                <w:b/>
              </w:rPr>
              <w:t>Semantica</w:t>
            </w:r>
          </w:p>
        </w:tc>
      </w:tr>
      <w:tr>
        <w:trPr>
          <w:cantSplit/>
        </w:trPr>
        <w:tc>
          <w:tcPr>
            <w:tcW w:w="2600" w:type="dxa"/>
          </w:tcPr>
          <w:p>
            <w:pPr>
              <w:spacing w:before="0" w:after="40" w:line="240" w:lineRule="auto"/>
            </w:pPr>
            <w:r>
              <w:rPr>
                <w:sz w:val="18"/>
              </w:rPr>
              <w:t>requires(C,S,D)</w:t>
            </w:r>
          </w:p>
        </w:tc>
        <w:tc>
          <w:tcPr>
            <w:tcW w:w="6426" w:type="dxa"/>
          </w:tcPr>
          <w:p>
            <w:pPr>
              <w:spacing w:before="0" w:after="40" w:line="240" w:lineRule="auto"/>
            </w:pPr>
            <w:r>
              <w:rPr>
                <w:sz w:val="18"/>
              </w:rPr>
              <w:t>La disponibilità di S richiede D: un guasto di D si propaga a S.</w:t>
            </w:r>
          </w:p>
        </w:tc>
      </w:tr>
      <w:tr>
        <w:trPr>
          <w:cantSplit/>
        </w:trPr>
        <w:tc>
          <w:tcPr>
            <w:tcW w:w="2600" w:type="dxa"/>
          </w:tcPr>
          <w:p>
            <w:pPr>
              <w:spacing w:before="0" w:after="40" w:line="240" w:lineRule="auto"/>
            </w:pPr>
            <w:r>
              <w:rPr>
                <w:sz w:val="18"/>
              </w:rPr>
              <w:t>replicas(C,S,A,B)</w:t>
            </w:r>
          </w:p>
        </w:tc>
        <w:tc>
          <w:tcPr>
            <w:tcW w:w="6426" w:type="dxa"/>
          </w:tcPr>
          <w:p>
            <w:pPr>
              <w:spacing w:before="0" w:after="40" w:line="240" w:lineRule="auto"/>
            </w:pPr>
            <w:r>
              <w:rPr>
                <w:sz w:val="18"/>
              </w:rPr>
              <w:t>S richiede almeno una fra A e B; la perdita di entrambe causa un guasto.</w:t>
            </w:r>
          </w:p>
        </w:tc>
      </w:tr>
      <w:tr>
        <w:trPr>
          <w:cantSplit/>
        </w:trPr>
        <w:tc>
          <w:tcPr>
            <w:tcW w:w="2600" w:type="dxa"/>
          </w:tcPr>
          <w:p>
            <w:pPr>
              <w:spacing w:before="0" w:after="40" w:line="240" w:lineRule="auto"/>
            </w:pPr>
            <w:r>
              <w:rPr>
                <w:sz w:val="18"/>
              </w:rPr>
              <w:t>alarm(C,S)</w:t>
            </w:r>
          </w:p>
        </w:tc>
        <w:tc>
          <w:tcPr>
            <w:tcW w:w="6426" w:type="dxa"/>
          </w:tcPr>
          <w:p>
            <w:pPr>
              <w:spacing w:before="0" w:after="40" w:line="240" w:lineRule="auto"/>
            </w:pPr>
            <w:r>
              <w:rPr>
                <w:sz w:val="18"/>
              </w:rPr>
              <w:t>Guasto assunto nello scenario logico corrente.</w:t>
            </w:r>
          </w:p>
        </w:tc>
      </w:tr>
      <w:tr>
        <w:trPr>
          <w:cantSplit/>
        </w:trPr>
        <w:tc>
          <w:tcPr>
            <w:tcW w:w="2600" w:type="dxa"/>
          </w:tcPr>
          <w:p>
            <w:pPr>
              <w:spacing w:before="0" w:after="40" w:line="240" w:lineRule="auto"/>
            </w:pPr>
            <w:r>
              <w:rPr>
                <w:sz w:val="18"/>
              </w:rPr>
              <w:t>critical(C,S)</w:t>
            </w:r>
          </w:p>
        </w:tc>
        <w:tc>
          <w:tcPr>
            <w:tcW w:w="6426" w:type="dxa"/>
          </w:tcPr>
          <w:p>
            <w:pPr>
              <w:spacing w:before="0" w:after="40" w:line="240" w:lineRule="auto"/>
            </w:pPr>
            <w:r>
              <w:rPr>
                <w:sz w:val="18"/>
              </w:rPr>
              <w:t>Servizio da ripristinare per raggiungere l’obiettivo.</w:t>
            </w:r>
          </w:p>
        </w:tc>
      </w:tr>
    </w:tbl>
    <w:p>
      <w:r>
        <w:rPr/>
        <w:t xml:space="preserve">Più requisiti sullo stesso servizio devono essere soddisfatti insieme. Le repliche possono condividere dipendenze: una causa remota può quindi renderle entrambe indisponibili. Nel dataset gli allarmi derivano dai sensori e rappresentano ipotesi qualitative; nella ricerca indicano guasti confermati.</w:t>
      </w:r>
    </w:p>
    <w:p w14:paraId="2A47DEC6" w14:textId="5EA83E63" w:rsidR="0390B43B" w:rsidRDefault="0390B43B" w:rsidP="0390B43B">
      <w:pPr>
        <w:pStyle w:val="Titolo2"/>
      </w:pPr>
    </w:p>
    <w:p w14:paraId="10BA151F" w14:textId="43627E81" w:rsidR="0C3DF892" w:rsidRDefault="0C3DF892" w:rsidP="0390B43B">
      <w:pPr>
        <w:pStyle w:val="Titolo2"/>
      </w:pPr>
      <w:r>
        <w:t>Strumenti utilizzati</w:t>
      </w:r>
    </w:p>
    <w:p w14:paraId="22111BB4" w14:textId="60F9A20E" w:rsidR="0C3DF892" w:rsidRDefault="0C3DF892" w:rsidP="0390B43B">
      <w:r>
        <w:rPr/>
        <w:t xml:space="preserve">SWI-Prolog 9.0.4 esegue la KB tramite subprocess Python. I predicati reach/3 e down/2 usano tabling, quindi risoluzione SLG [2]. Il verificatore Python implementa un frammento Datalog positivo mediante unificazione, join e punto fisso sincrono [1]. heapq gestisce la frontiera UCS. Gli algoritmi seguono i riferimenti [1] e [2].</w:t>
      </w:r>
    </w:p>
    <w:p w14:paraId="7D8AC8ED" w14:textId="1F43B859" w:rsidR="40B3E4B9" w:rsidRDefault="40B3E4B9" w:rsidP="0390B43B">
      <w:r>
        <w:rPr/>
        <w:t xml:space="preserve">Il contributo specifico è la formalizzazione delle dipendenze, il generatore, le feature relazionali e il confronto automatico fra Prolog, Datalog e simulatore. L’ambiente verificato usa Python 3.12.3 (codice compatibile con Python ≥3.10). Installare SWI-Prolog e le dipendenze in requirements.txt; su Linux: sudo apt-get install swi-prolog-nox. Dalla radice del progetto:</w:t>
      </w:r>
    </w:p>
    <w:p>
      <w:r>
        <w:rPr>
          <w:rFonts w:ascii="Consolas" w:hAnsi="Consolas"/>
          <w:sz w:val="18"/>
        </w:rPr>
        <w:t xml:space="preserve">python -m venv .venv</w:t>
        <w:br/>
        <w:t xml:space="preserve"># Attivare .venv secondo il proprio sistema operativo</w:t>
        <w:br/>
        <w:t xml:space="preserve">python -m pip install -r requirements.txt</w:t>
        <w:br/>
        <w:t xml:space="preserve">python src/main.py</w:t>
        <w:br/>
        <w:t xml:space="preserve">python main.py demo</w:t>
        <w:br/>
        <w:t xml:space="preserve">python -m unittest discover -s tests -v</w:t>
        <w:br/>
        <w:t xml:space="preserve">python tests/audit_results.py results/full</w:t>
        <w:br/>
        <w:t xml:space="preserve">python tools/evaluate_scenarios.py</w:t>
        <w:br/>
        <w:t xml:space="preserve">python tools/build_documentation.py</w:t>
      </w:r>
    </w:p>
    <w:p w14:paraId="5F926407" w14:textId="0B56AE63" w:rsidR="0390B43B" w:rsidRDefault="0390B43B" w:rsidP="0390B43B"/>
    <w:p w14:paraId="63088E22" w14:textId="33195B4C" w:rsidR="0C3DF892" w:rsidRDefault="0C3DF892" w:rsidP="0390B43B">
      <w:pPr>
        <w:pStyle w:val="Titolo2"/>
      </w:pPr>
      <w:r>
        <w:t>Decisioni di Progetto</w:t>
      </w:r>
    </w:p>
    <w:p w14:paraId="6F9192F4" w14:textId="4E02F79B" w:rsidR="0C3DF892" w:rsidRDefault="0C3DF892" w:rsidP="0390B43B">
      <w:r>
        <w:rPr/>
        <w:t xml:space="preserve">Le dodici regole eseguibili sono riportate integralmente. reach descrive la raggiungibilità strutturale, mentre down rispetta il vincolo delle repliche: un percorso verso un guasto non basta a dimostrare indisponibilità. degraded significa almeno una replica indisponibile e rimane vero se sono guaste entrambe.</w:t>
      </w:r>
    </w:p>
    <w:p>
      <w:r>
        <w:rPr>
          <w:rFonts w:ascii="Consolas" w:hAnsi="Consolas"/>
          <w:sz w:val="18"/>
        </w:rPr>
        <w:t xml:space="preserve">edge(C,S,D) :- requires(C,S,D).</w:t>
        <w:br/>
        <w:t xml:space="preserve">edge(C,S,A) :- replicas(C,S,A,_).</w:t>
        <w:br/>
        <w:t xml:space="preserve">edge(C,S,B) :- replicas(C,S,_,B).</w:t>
        <w:br/>
        <w:t xml:space="preserve">reach(C,S,D) :- edge(C,S,D).</w:t>
        <w:br/>
        <w:t xml:space="preserve">reach(C,S,D) :- edge(C,S,M), reach(C,M,D).</w:t>
        <w:br/>
        <w:t xml:space="preserve">down(C,S) :- alarm(C,S).</w:t>
        <w:br/>
        <w:t xml:space="preserve">down(C,S) :- requires(C,S,D), down(C,D).</w:t>
        <w:br/>
        <w:t xml:space="preserve">down(C,S) :- replicas(C,S,A,B), down(C,A), down(C,B).</w:t>
        <w:br/>
        <w:t xml:space="preserve">critical_down(C,S) :- critical(C,S), down(C,S).</w:t>
        <w:br/>
        <w:t xml:space="preserve">exposed(C,S,D) :- reach(C,S,D), alarm(C,D).</w:t>
        <w:br/>
        <w:t xml:space="preserve">degraded(C,S) :- replicas(C,S,A,_), down(C,A).</w:t>
        <w:br/>
        <w:t xml:space="preserve">degraded(C,S) :- replicas(C,S,_,B), down(C,B).</w:t>
      </w:r>
    </w:p>
    <w:p>
      <w:r>
        <w:rPr/>
        <w:t xml:space="preserve">Il motore Datalog non ammette simboli funzione o negazione; richiede fatti ground e variabili della testa presenti nel corpo. A ogni iterazione produttiva aggiunge fatti a un insieme finito. I cicli quindi terminano e un ciclo senza allarme non genera spontaneamente un guasto. La prima giustificazione usa solo premesse di iterazioni precedenti, producendo spiegazioni acicliche; non enumera tutte le cause minime. In Prolog i fatti restano immutabili durante ogni invocazione e le tabelle non sopravvivono al processo.</w:t>
      </w:r>
    </w:p>
    <w:p>
      <w:r>
        <w:rPr/>
        <w:t xml:space="preserve">Le feature finali sono materializzate dalle risposte Prolog e confrontate su tutti i sei predicati con Datalog. Non esiste un fallback a feature nulle. Soglie, costi e inventario sono espliciti; l’assenza di critical_down è usata come obiettivo sotto assunzione di mondo chiuso e inventario completo, senza implicare disponibilità reale in presenza di informazioni mancanti.</w:t>
      </w:r>
    </w:p>
    <w:p>
      <w:r>
        <w:rPr/>
        <w:t xml:space="preserve">Complessità del verificatore: con N nodi, E archi, R gruppi di repliche e I iterazioni, reach può contenere O(N²) coppie. L’indicizzazione è solo per predicato. I costi conservativi per iterazione sono O(E N²) per la ricorsione reach, O(E N) per le dipendenze, O(R N) per le repliche e O(N³) per il join fra reach e allarmi. Il totale è O(I·(E N² + N³ + R N)). Nei grafi generati E,R=O(N), I=O(N) e spazio O(N²), dando un limite conservativo O(N⁴). Questo descrive il motore naive implementato, non un limite intrinseco di Datalog o di SWI-Prolog.</w:t>
      </w:r>
    </w:p>
    <w:p>
      <w:r>
        <w:rPr/>
        <w:t xml:space="preserve">Ricerca: uno stato è l’insieme canonico dei guasti locali già riparati. Ogni azione rimuove un guasto confermato e costa un intero positivo fra 1 e 9. UCS minimizza la somma dei costi e verifica l’obiettivo con le quattro regole Datalog per down e critical_down. Tutti gli ordini che portano allo stesso insieme hanno lo stesso costo, quindi è corretto deduplicare già all’inserimento in coda. Con k guasti esistono al massimo 2^k stati e O(k·2^k) transizioni. La baseline cheapest ripara prima il guasto meno costoso, anche se irrilevante per l’obiettivo.</w:t>
      </w:r>
    </w:p>
    <w:p w14:paraId="5106C615" w14:textId="7F2CEFBB" w:rsidR="0390B43B" w:rsidRDefault="0390B43B" w:rsidP="0390B43B"/>
    <w:p w14:paraId="74022BA6" w14:textId="2BB3773A" w:rsidR="77B0582F" w:rsidRDefault="77B0582F" w:rsidP="0390B43B">
      <w:pPr>
        <w:pStyle w:val="Titolo2"/>
      </w:pPr>
      <w:r>
        <w:t>Valutazione</w:t>
      </w:r>
    </w:p>
    <w:p w14:paraId="16404287" w14:textId="130E64D8" w:rsidR="77B0582F" w:rsidRDefault="77B0582F" w:rsidP="0390B43B">
      <w:r>
        <w:rPr/>
        <w:t xml:space="preserve">La KB è verificata su tutte le 960 fotografie: SWI-Prolog e Datalog coincidono su tutti i sei predicati derivati; i guasti coincidono anche con il simulatore procedurale. Le seguenti misure sono medie e deviazioni standard campionarie per fotografia del verificatore Datalog.</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4000"/>
        <w:gridCol w:w="2513"/>
        <w:gridCol w:w="2513"/>
      </w:tblGrid>
      <w:tr>
        <w:trPr>
          <w:cantSplit/>
          <w:tblHeader/>
        </w:trPr>
        <w:tc>
          <w:tcPr>
            <w:tcW w:w="4000" w:type="dxa"/>
            <w:shd w:fill="EDEDED"/>
          </w:tcPr>
          <w:p>
            <w:pPr>
              <w:spacing w:before="0" w:after="40" w:line="240" w:lineRule="auto"/>
            </w:pPr>
            <w:r>
              <w:rPr>
                <w:sz w:val="18"/>
                <w:b/>
              </w:rPr>
              <w:t>Misura</w:t>
            </w:r>
          </w:p>
        </w:tc>
        <w:tc>
          <w:tcPr>
            <w:tcW w:w="2513" w:type="dxa"/>
            <w:shd w:fill="EDEDED"/>
          </w:tcPr>
          <w:p>
            <w:pPr>
              <w:spacing w:before="0" w:after="40" w:line="240" w:lineRule="auto"/>
            </w:pPr>
            <w:r>
              <w:rPr>
                <w:sz w:val="18"/>
                <w:b/>
              </w:rPr>
              <w:t>Media</w:t>
            </w:r>
          </w:p>
        </w:tc>
        <w:tc>
          <w:tcPr>
            <w:tcW w:w="2513" w:type="dxa"/>
            <w:shd w:fill="EDEDED"/>
          </w:tcPr>
          <w:p>
            <w:pPr>
              <w:spacing w:before="0" w:after="40" w:line="240" w:lineRule="auto"/>
            </w:pPr>
            <w:r>
              <w:rPr>
                <w:sz w:val="18"/>
                <w:b/>
              </w:rPr>
              <w:t>Dev. standard</w:t>
            </w:r>
          </w:p>
        </w:tc>
      </w:tr>
      <w:tr>
        <w:trPr>
          <w:cantSplit/>
        </w:trPr>
        <w:tc>
          <w:tcPr>
            <w:tcW w:w="4000" w:type="dxa"/>
          </w:tcPr>
          <w:p>
            <w:pPr>
              <w:spacing w:before="0" w:after="40" w:line="240" w:lineRule="auto"/>
            </w:pPr>
            <w:r>
              <w:rPr>
                <w:sz w:val="18"/>
              </w:rPr>
              <w:t>Fatti iniziali</w:t>
            </w:r>
          </w:p>
        </w:tc>
        <w:tc>
          <w:tcPr>
            <w:tcW w:w="2513" w:type="dxa"/>
          </w:tcPr>
          <w:p>
            <w:pPr>
              <w:spacing w:before="0" w:after="40" w:line="240" w:lineRule="auto"/>
            </w:pPr>
            <w:r>
              <w:rPr>
                <w:sz w:val="18"/>
              </w:rPr>
              <w:t>16,276042</w:t>
            </w:r>
          </w:p>
        </w:tc>
        <w:tc>
          <w:tcPr>
            <w:tcW w:w="2513" w:type="dxa"/>
          </w:tcPr>
          <w:p>
            <w:pPr>
              <w:spacing w:before="0" w:after="40" w:line="240" w:lineRule="auto"/>
            </w:pPr>
            <w:r>
              <w:rPr>
                <w:sz w:val="18"/>
              </w:rPr>
              <w:t>4,180975</w:t>
            </w:r>
          </w:p>
        </w:tc>
      </w:tr>
      <w:tr>
        <w:trPr>
          <w:cantSplit/>
        </w:trPr>
        <w:tc>
          <w:tcPr>
            <w:tcW w:w="4000" w:type="dxa"/>
          </w:tcPr>
          <w:p>
            <w:pPr>
              <w:spacing w:before="0" w:after="40" w:line="240" w:lineRule="auto"/>
            </w:pPr>
            <w:r>
              <w:rPr>
                <w:sz w:val="18"/>
              </w:rPr>
              <w:t>Fatti nella chiusura</w:t>
            </w:r>
          </w:p>
        </w:tc>
        <w:tc>
          <w:tcPr>
            <w:tcW w:w="2513" w:type="dxa"/>
          </w:tcPr>
          <w:p>
            <w:pPr>
              <w:spacing w:before="0" w:after="40" w:line="240" w:lineRule="auto"/>
            </w:pPr>
            <w:r>
              <w:rPr>
                <w:sz w:val="18"/>
              </w:rPr>
              <w:t>84,907292</w:t>
            </w:r>
          </w:p>
        </w:tc>
        <w:tc>
          <w:tcPr>
            <w:tcW w:w="2513" w:type="dxa"/>
          </w:tcPr>
          <w:p>
            <w:pPr>
              <w:spacing w:before="0" w:after="40" w:line="240" w:lineRule="auto"/>
            </w:pPr>
            <w:r>
              <w:rPr>
                <w:sz w:val="18"/>
              </w:rPr>
              <w:t>29,250647</w:t>
            </w:r>
          </w:p>
        </w:tc>
      </w:tr>
      <w:tr>
        <w:trPr>
          <w:cantSplit/>
        </w:trPr>
        <w:tc>
          <w:tcPr>
            <w:tcW w:w="4000" w:type="dxa"/>
          </w:tcPr>
          <w:p>
            <w:pPr>
              <w:spacing w:before="0" w:after="40" w:line="240" w:lineRule="auto"/>
            </w:pPr>
            <w:r>
              <w:rPr>
                <w:sz w:val="18"/>
              </w:rPr>
              <w:t>Iterazioni produttive</w:t>
            </w:r>
          </w:p>
        </w:tc>
        <w:tc>
          <w:tcPr>
            <w:tcW w:w="2513" w:type="dxa"/>
          </w:tcPr>
          <w:p>
            <w:pPr>
              <w:spacing w:before="0" w:after="40" w:line="240" w:lineRule="auto"/>
            </w:pPr>
            <w:r>
              <w:rPr>
                <w:sz w:val="18"/>
              </w:rPr>
              <w:t>4,806250</w:t>
            </w:r>
          </w:p>
        </w:tc>
        <w:tc>
          <w:tcPr>
            <w:tcW w:w="2513" w:type="dxa"/>
          </w:tcPr>
          <w:p>
            <w:pPr>
              <w:spacing w:before="0" w:after="40" w:line="240" w:lineRule="auto"/>
            </w:pPr>
            <w:r>
              <w:rPr>
                <w:sz w:val="18"/>
              </w:rPr>
              <w:t>0,921283</w:t>
            </w:r>
          </w:p>
        </w:tc>
      </w:tr>
      <w:tr>
        <w:trPr>
          <w:cantSplit/>
        </w:trPr>
        <w:tc>
          <w:tcPr>
            <w:tcW w:w="4000" w:type="dxa"/>
          </w:tcPr>
          <w:p>
            <w:pPr>
              <w:spacing w:before="0" w:after="40" w:line="240" w:lineRule="auto"/>
            </w:pPr>
            <w:r>
              <w:rPr>
                <w:sz w:val="18"/>
              </w:rPr>
              <w:t>Tentativi di unificazione</w:t>
            </w:r>
          </w:p>
        </w:tc>
        <w:tc>
          <w:tcPr>
            <w:tcW w:w="2513" w:type="dxa"/>
          </w:tcPr>
          <w:p>
            <w:pPr>
              <w:spacing w:before="0" w:after="40" w:line="240" w:lineRule="auto"/>
            </w:pPr>
            <w:r>
              <w:rPr>
                <w:sz w:val="18"/>
              </w:rPr>
              <w:t>3874,431250</w:t>
            </w:r>
          </w:p>
        </w:tc>
        <w:tc>
          <w:tcPr>
            <w:tcW w:w="2513" w:type="dxa"/>
          </w:tcPr>
          <w:p>
            <w:pPr>
              <w:spacing w:before="0" w:after="40" w:line="240" w:lineRule="auto"/>
            </w:pPr>
            <w:r>
              <w:rPr>
                <w:sz w:val="18"/>
              </w:rPr>
              <w:t>2727,022394</w:t>
            </w:r>
          </w:p>
        </w:tc>
      </w:tr>
      <w:tr>
        <w:trPr>
          <w:cantSplit/>
        </w:trPr>
        <w:tc>
          <w:tcPr>
            <w:tcW w:w="4000" w:type="dxa"/>
          </w:tcPr>
          <w:p>
            <w:pPr>
              <w:spacing w:before="0" w:after="40" w:line="240" w:lineRule="auto"/>
            </w:pPr>
            <w:r>
              <w:rPr>
                <w:sz w:val="18"/>
              </w:rPr>
              <w:t>Tempo Datalog (s)</w:t>
            </w:r>
          </w:p>
        </w:tc>
        <w:tc>
          <w:tcPr>
            <w:tcW w:w="2513" w:type="dxa"/>
          </w:tcPr>
          <w:p>
            <w:pPr>
              <w:spacing w:before="0" w:after="40" w:line="240" w:lineRule="auto"/>
            </w:pPr>
            <w:r>
              <w:rPr>
                <w:sz w:val="18"/>
              </w:rPr>
              <w:t>0,005923</w:t>
            </w:r>
          </w:p>
        </w:tc>
        <w:tc>
          <w:tcPr>
            <w:tcW w:w="2513" w:type="dxa"/>
          </w:tcPr>
          <w:p>
            <w:pPr>
              <w:spacing w:before="0" w:after="40" w:line="240" w:lineRule="auto"/>
            </w:pPr>
            <w:r>
              <w:rPr>
                <w:sz w:val="18"/>
              </w:rPr>
              <w:t>0,003894</w:t>
            </w:r>
          </w:p>
        </w:tc>
      </w:tr>
    </w:tbl>
    <w:p>
      <w:r>
        <w:rPr/>
        <w:t xml:space="preserve">SWI-Prolog completa avvio, caricamento ed esportazione in 1.609 s sulla macchina usata: tale tempo non è direttamente confrontabile con quello della sola inferenza Datalog. I dati del run non dimostrano scalabilità industriale.</w:t>
      </w:r>
    </w:p>
    <w:p>
      <w:r>
        <w:rPr/>
        <w:t xml:space="preserve">La ricerca è valutata su 60 casi con 8/12/16 nodi e 2/4/6 guasti. Tutti i 120 piani delle due strategie sono validi; i 60 piani UCS hanno costo uguale all’oracolo esaustivo. Sono inclusi 16 casi già operativi, con ottimo zero. Costi medi ± deviazioni standard:</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850"/>
        <w:gridCol w:w="700"/>
        <w:gridCol w:w="2450"/>
        <w:gridCol w:w="2450"/>
        <w:gridCol w:w="2576"/>
      </w:tblGrid>
      <w:tr>
        <w:trPr>
          <w:cantSplit/>
          <w:tblHeader/>
        </w:trPr>
        <w:tc>
          <w:tcPr>
            <w:tcW w:w="850" w:type="dxa"/>
            <w:shd w:fill="EDEDED"/>
          </w:tcPr>
          <w:p>
            <w:pPr>
              <w:spacing w:before="0" w:after="40" w:line="240" w:lineRule="auto"/>
            </w:pPr>
            <w:r>
              <w:rPr>
                <w:sz w:val="18"/>
                <w:b/>
              </w:rPr>
              <w:t>Guasti</w:t>
            </w:r>
          </w:p>
        </w:tc>
        <w:tc>
          <w:tcPr>
            <w:tcW w:w="700" w:type="dxa"/>
            <w:shd w:fill="EDEDED"/>
          </w:tcPr>
          <w:p>
            <w:pPr>
              <w:spacing w:before="0" w:after="40" w:line="240" w:lineRule="auto"/>
            </w:pPr>
            <w:r>
              <w:rPr>
                <w:sz w:val="18"/>
                <w:b/>
              </w:rPr>
              <w:t>Casi</w:t>
            </w:r>
          </w:p>
        </w:tc>
        <w:tc>
          <w:tcPr>
            <w:tcW w:w="2450" w:type="dxa"/>
            <w:shd w:fill="EDEDED"/>
          </w:tcPr>
          <w:p>
            <w:pPr>
              <w:spacing w:before="0" w:after="40" w:line="240" w:lineRule="auto"/>
            </w:pPr>
            <w:r>
              <w:rPr>
                <w:sz w:val="18"/>
                <w:b/>
              </w:rPr>
              <w:t>Costo UCS</w:t>
            </w:r>
          </w:p>
        </w:tc>
        <w:tc>
          <w:tcPr>
            <w:tcW w:w="2450" w:type="dxa"/>
            <w:shd w:fill="EDEDED"/>
          </w:tcPr>
          <w:p>
            <w:pPr>
              <w:spacing w:before="0" w:after="40" w:line="240" w:lineRule="auto"/>
            </w:pPr>
            <w:r>
              <w:rPr>
                <w:sz w:val="18"/>
                <w:b/>
              </w:rPr>
              <w:t>Costo cheapest</w:t>
            </w:r>
          </w:p>
        </w:tc>
        <w:tc>
          <w:tcPr>
            <w:tcW w:w="2576" w:type="dxa"/>
            <w:shd w:fill="EDEDED"/>
          </w:tcPr>
          <w:p>
            <w:pPr>
              <w:spacing w:before="0" w:after="40" w:line="240" w:lineRule="auto"/>
            </w:pPr>
            <w:r>
              <w:rPr>
                <w:sz w:val="18"/>
                <w:b/>
              </w:rPr>
              <w:t>Eccesso cheapest</w:t>
            </w:r>
          </w:p>
        </w:tc>
      </w:tr>
      <w:tr>
        <w:trPr>
          <w:cantSplit/>
        </w:trPr>
        <w:tc>
          <w:tcPr>
            <w:tcW w:w="850" w:type="dxa"/>
          </w:tcPr>
          <w:p>
            <w:pPr>
              <w:spacing w:before="0" w:after="40" w:line="240" w:lineRule="auto"/>
            </w:pPr>
            <w:r>
              <w:rPr>
                <w:sz w:val="18"/>
              </w:rPr>
              <w:t>2</w:t>
            </w:r>
          </w:p>
        </w:tc>
        <w:tc>
          <w:tcPr>
            <w:tcW w:w="700" w:type="dxa"/>
          </w:tcPr>
          <w:p>
            <w:pPr>
              <w:spacing w:before="0" w:after="40" w:line="240" w:lineRule="auto"/>
            </w:pPr>
            <w:r>
              <w:rPr>
                <w:sz w:val="18"/>
              </w:rPr>
              <w:t>21</w:t>
            </w:r>
          </w:p>
        </w:tc>
        <w:tc>
          <w:tcPr>
            <w:tcW w:w="2450" w:type="dxa"/>
          </w:tcPr>
          <w:p>
            <w:pPr>
              <w:spacing w:before="0" w:after="40" w:line="240" w:lineRule="auto"/>
            </w:pPr>
            <w:r>
              <w:rPr>
                <w:sz w:val="18"/>
              </w:rPr>
              <w:t>2,048 ± 2,819</w:t>
            </w:r>
          </w:p>
        </w:tc>
        <w:tc>
          <w:tcPr>
            <w:tcW w:w="2450" w:type="dxa"/>
          </w:tcPr>
          <w:p>
            <w:pPr>
              <w:spacing w:before="0" w:after="40" w:line="240" w:lineRule="auto"/>
            </w:pPr>
            <w:r>
              <w:rPr>
                <w:sz w:val="18"/>
              </w:rPr>
              <w:t>2,143 ± 3,054</w:t>
            </w:r>
          </w:p>
        </w:tc>
        <w:tc>
          <w:tcPr>
            <w:tcW w:w="2576" w:type="dxa"/>
          </w:tcPr>
          <w:p>
            <w:pPr>
              <w:spacing w:before="0" w:after="40" w:line="240" w:lineRule="auto"/>
            </w:pPr>
            <w:r>
              <w:rPr>
                <w:sz w:val="18"/>
              </w:rPr>
              <w:t>0,095 ± 0,436</w:t>
            </w:r>
          </w:p>
        </w:tc>
      </w:tr>
      <w:tr>
        <w:trPr>
          <w:cantSplit/>
        </w:trPr>
        <w:tc>
          <w:tcPr>
            <w:tcW w:w="850" w:type="dxa"/>
          </w:tcPr>
          <w:p>
            <w:pPr>
              <w:spacing w:before="0" w:after="40" w:line="240" w:lineRule="auto"/>
            </w:pPr>
            <w:r>
              <w:rPr>
                <w:sz w:val="18"/>
              </w:rPr>
              <w:t>4</w:t>
            </w:r>
          </w:p>
        </w:tc>
        <w:tc>
          <w:tcPr>
            <w:tcW w:w="700" w:type="dxa"/>
          </w:tcPr>
          <w:p>
            <w:pPr>
              <w:spacing w:before="0" w:after="40" w:line="240" w:lineRule="auto"/>
            </w:pPr>
            <w:r>
              <w:rPr>
                <w:sz w:val="18"/>
              </w:rPr>
              <w:t>21</w:t>
            </w:r>
          </w:p>
        </w:tc>
        <w:tc>
          <w:tcPr>
            <w:tcW w:w="2450" w:type="dxa"/>
          </w:tcPr>
          <w:p>
            <w:pPr>
              <w:spacing w:before="0" w:after="40" w:line="240" w:lineRule="auto"/>
            </w:pPr>
            <w:r>
              <w:rPr>
                <w:sz w:val="18"/>
              </w:rPr>
              <w:t>6,190 ± 4,191</w:t>
            </w:r>
          </w:p>
        </w:tc>
        <w:tc>
          <w:tcPr>
            <w:tcW w:w="2450" w:type="dxa"/>
          </w:tcPr>
          <w:p>
            <w:pPr>
              <w:spacing w:before="0" w:after="40" w:line="240" w:lineRule="auto"/>
            </w:pPr>
            <w:r>
              <w:rPr>
                <w:sz w:val="18"/>
              </w:rPr>
              <w:t>12,000 ± 7,931</w:t>
            </w:r>
          </w:p>
        </w:tc>
        <w:tc>
          <w:tcPr>
            <w:tcW w:w="2576" w:type="dxa"/>
          </w:tcPr>
          <w:p>
            <w:pPr>
              <w:spacing w:before="0" w:after="40" w:line="240" w:lineRule="auto"/>
            </w:pPr>
            <w:r>
              <w:rPr>
                <w:sz w:val="18"/>
              </w:rPr>
              <w:t>5,810 ± 4,434</w:t>
            </w:r>
          </w:p>
        </w:tc>
      </w:tr>
      <w:tr>
        <w:trPr>
          <w:cantSplit/>
        </w:trPr>
        <w:tc>
          <w:tcPr>
            <w:tcW w:w="850" w:type="dxa"/>
          </w:tcPr>
          <w:p>
            <w:pPr>
              <w:spacing w:before="0" w:after="40" w:line="240" w:lineRule="auto"/>
            </w:pPr>
            <w:r>
              <w:rPr>
                <w:sz w:val="18"/>
              </w:rPr>
              <w:t>6</w:t>
            </w:r>
          </w:p>
        </w:tc>
        <w:tc>
          <w:tcPr>
            <w:tcW w:w="700" w:type="dxa"/>
          </w:tcPr>
          <w:p>
            <w:pPr>
              <w:spacing w:before="0" w:after="40" w:line="240" w:lineRule="auto"/>
            </w:pPr>
            <w:r>
              <w:rPr>
                <w:sz w:val="18"/>
              </w:rPr>
              <w:t>18</w:t>
            </w:r>
          </w:p>
        </w:tc>
        <w:tc>
          <w:tcPr>
            <w:tcW w:w="2450" w:type="dxa"/>
          </w:tcPr>
          <w:p>
            <w:pPr>
              <w:spacing w:before="0" w:after="40" w:line="240" w:lineRule="auto"/>
            </w:pPr>
            <w:r>
              <w:rPr>
                <w:sz w:val="18"/>
              </w:rPr>
              <w:t>7,167 ± 5,854</w:t>
            </w:r>
          </w:p>
        </w:tc>
        <w:tc>
          <w:tcPr>
            <w:tcW w:w="2450" w:type="dxa"/>
          </w:tcPr>
          <w:p>
            <w:pPr>
              <w:spacing w:before="0" w:after="40" w:line="240" w:lineRule="auto"/>
            </w:pPr>
            <w:r>
              <w:rPr>
                <w:sz w:val="18"/>
              </w:rPr>
              <w:t>17,167 ± 13,017</w:t>
            </w:r>
          </w:p>
        </w:tc>
        <w:tc>
          <w:tcPr>
            <w:tcW w:w="2576" w:type="dxa"/>
          </w:tcPr>
          <w:p>
            <w:pPr>
              <w:spacing w:before="0" w:after="40" w:line="240" w:lineRule="auto"/>
            </w:pPr>
            <w:r>
              <w:rPr>
                <w:sz w:val="18"/>
              </w:rPr>
              <w:t>10,000 ± 8,189</w:t>
            </w:r>
          </w:p>
        </w:tc>
      </w:tr>
    </w:tbl>
    <w:p>
      <w:r>
        <w:rPr/>
        <w:t xml:space="preserve">Con sei guasti UCS espande 12,667 ± 12,228 stati contro 4,889 ± 2,246 della baseline. La ricerca ottimale risparmia costo, pagando una maggiore esplorazione. Nella demo riparare power costa 4 e ripristina portal attraverso db_a e api; cheapest ripara prima db_b, poi power, raggiungendo lo stesso obiettivo al costo totale di 6. I test comprendono cause condivise, repliche, cicli, contesti separati e confronto esaustivo: la correttezza riguarda il dominio formalizzato. Nei tre dataset l’accordo Prolog/Datalog è verificato su tutte le 2.880 fotografie. Le misure seguenti mostrano come varia il lavoro del verificatore; dimensione e densità variano insieme nello scenario dense, quindi non si isola un singolo fattore:</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100"/>
        <w:gridCol w:w="2100"/>
        <w:gridCol w:w="2413"/>
        <w:gridCol w:w="2413"/>
      </w:tblGrid>
      <w:tr>
        <w:trPr>
          <w:cantSplit/>
          <w:tblHeader/>
        </w:trPr>
        <w:tc>
          <w:tcPr>
            <w:tcW w:w="2100" w:type="dxa"/>
            <w:shd w:fill="EDEDED"/>
          </w:tcPr>
          <w:p>
            <w:pPr>
              <w:spacing w:before="0" w:after="40" w:line="240" w:lineRule="auto"/>
            </w:pPr>
            <w:r>
              <w:rPr>
                <w:sz w:val="18"/>
                <w:b/>
              </w:rPr>
              <w:t>Scenario</w:t>
            </w:r>
          </w:p>
        </w:tc>
        <w:tc>
          <w:tcPr>
            <w:tcW w:w="2100" w:type="dxa"/>
            <w:shd w:fill="EDEDED"/>
          </w:tcPr>
          <w:p>
            <w:pPr>
              <w:spacing w:before="0" w:after="40" w:line="240" w:lineRule="auto"/>
            </w:pPr>
            <w:r>
              <w:rPr>
                <w:sz w:val="18"/>
                <w:b/>
              </w:rPr>
              <w:t>Fatti nella chiusura</w:t>
            </w:r>
          </w:p>
        </w:tc>
        <w:tc>
          <w:tcPr>
            <w:tcW w:w="2413" w:type="dxa"/>
            <w:shd w:fill="EDEDED"/>
          </w:tcPr>
          <w:p>
            <w:pPr>
              <w:spacing w:before="0" w:after="40" w:line="240" w:lineRule="auto"/>
            </w:pPr>
            <w:r>
              <w:rPr>
                <w:sz w:val="18"/>
                <w:b/>
              </w:rPr>
              <w:t>Iterazioni</w:t>
            </w:r>
          </w:p>
        </w:tc>
        <w:tc>
          <w:tcPr>
            <w:tcW w:w="2413" w:type="dxa"/>
            <w:shd w:fill="EDEDED"/>
          </w:tcPr>
          <w:p>
            <w:pPr>
              <w:spacing w:before="0" w:after="40" w:line="240" w:lineRule="auto"/>
            </w:pPr>
            <w:r>
              <w:rPr>
                <w:sz w:val="18"/>
                <w:b/>
              </w:rPr>
              <w:t>Unificazioni tentate</w:t>
            </w:r>
          </w:p>
        </w:tc>
      </w:tr>
      <w:tr>
        <w:trPr>
          <w:cantSplit/>
        </w:trPr>
        <w:tc>
          <w:tcPr>
            <w:tcW w:w="2100" w:type="dxa"/>
          </w:tcPr>
          <w:p>
            <w:pPr>
              <w:spacing w:before="0" w:after="40" w:line="240" w:lineRule="auto"/>
            </w:pPr>
            <w:r>
              <w:rPr>
                <w:sz w:val="18"/>
              </w:rPr>
              <w:t>standard</w:t>
            </w:r>
          </w:p>
        </w:tc>
        <w:tc>
          <w:tcPr>
            <w:tcW w:w="2100" w:type="dxa"/>
          </w:tcPr>
          <w:p>
            <w:pPr>
              <w:spacing w:before="0" w:after="40" w:line="240" w:lineRule="auto"/>
            </w:pPr>
            <w:r>
              <w:rPr>
                <w:sz w:val="18"/>
              </w:rPr>
              <w:t>84,907 ± 29,251</w:t>
            </w:r>
          </w:p>
        </w:tc>
        <w:tc>
          <w:tcPr>
            <w:tcW w:w="2413" w:type="dxa"/>
          </w:tcPr>
          <w:p>
            <w:pPr>
              <w:spacing w:before="0" w:after="40" w:line="240" w:lineRule="auto"/>
            </w:pPr>
            <w:r>
              <w:rPr>
                <w:sz w:val="18"/>
              </w:rPr>
              <w:t>4,806 ± 0,921</w:t>
            </w:r>
          </w:p>
        </w:tc>
        <w:tc>
          <w:tcPr>
            <w:tcW w:w="2413" w:type="dxa"/>
          </w:tcPr>
          <w:p>
            <w:pPr>
              <w:spacing w:before="0" w:after="40" w:line="240" w:lineRule="auto"/>
            </w:pPr>
            <w:r>
              <w:rPr>
                <w:sz w:val="18"/>
              </w:rPr>
              <w:t>3874,431 ± 2727,022</w:t>
            </w:r>
          </w:p>
        </w:tc>
      </w:tr>
      <w:tr>
        <w:trPr>
          <w:cantSplit/>
        </w:trPr>
        <w:tc>
          <w:tcPr>
            <w:tcW w:w="2100" w:type="dxa"/>
          </w:tcPr>
          <w:p>
            <w:pPr>
              <w:spacing w:before="0" w:after="40" w:line="240" w:lineRule="auto"/>
            </w:pPr>
            <w:r>
              <w:rPr>
                <w:sz w:val="18"/>
              </w:rPr>
              <w:t>redundant</w:t>
            </w:r>
          </w:p>
        </w:tc>
        <w:tc>
          <w:tcPr>
            <w:tcW w:w="2100" w:type="dxa"/>
          </w:tcPr>
          <w:p>
            <w:pPr>
              <w:spacing w:before="0" w:after="40" w:line="240" w:lineRule="auto"/>
            </w:pPr>
            <w:r>
              <w:rPr>
                <w:sz w:val="18"/>
              </w:rPr>
              <w:t>98,591 ± 32,407</w:t>
            </w:r>
          </w:p>
        </w:tc>
        <w:tc>
          <w:tcPr>
            <w:tcW w:w="2413" w:type="dxa"/>
          </w:tcPr>
          <w:p>
            <w:pPr>
              <w:spacing w:before="0" w:after="40" w:line="240" w:lineRule="auto"/>
            </w:pPr>
            <w:r>
              <w:rPr>
                <w:sz w:val="18"/>
              </w:rPr>
              <w:t>5,043 ± 0,813</w:t>
            </w:r>
          </w:p>
        </w:tc>
        <w:tc>
          <w:tcPr>
            <w:tcW w:w="2413" w:type="dxa"/>
          </w:tcPr>
          <w:p>
            <w:pPr>
              <w:spacing w:before="0" w:after="40" w:line="240" w:lineRule="auto"/>
            </w:pPr>
            <w:r>
              <w:rPr>
                <w:sz w:val="18"/>
              </w:rPr>
              <w:t>5433,921 ± 3264,828</w:t>
            </w:r>
          </w:p>
        </w:tc>
      </w:tr>
      <w:tr>
        <w:trPr>
          <w:cantSplit/>
        </w:trPr>
        <w:tc>
          <w:tcPr>
            <w:tcW w:w="2100" w:type="dxa"/>
          </w:tcPr>
          <w:p>
            <w:pPr>
              <w:spacing w:before="0" w:after="40" w:line="240" w:lineRule="auto"/>
            </w:pPr>
            <w:r>
              <w:rPr>
                <w:sz w:val="18"/>
              </w:rPr>
              <w:t>dense</w:t>
            </w:r>
          </w:p>
        </w:tc>
        <w:tc>
          <w:tcPr>
            <w:tcW w:w="2100" w:type="dxa"/>
          </w:tcPr>
          <w:p>
            <w:pPr>
              <w:spacing w:before="0" w:after="40" w:line="240" w:lineRule="auto"/>
            </w:pPr>
            <w:r>
              <w:rPr>
                <w:sz w:val="18"/>
              </w:rPr>
              <w:t>238,389 ± 57,008</w:t>
            </w:r>
          </w:p>
        </w:tc>
        <w:tc>
          <w:tcPr>
            <w:tcW w:w="2413" w:type="dxa"/>
          </w:tcPr>
          <w:p>
            <w:pPr>
              <w:spacing w:before="0" w:after="40" w:line="240" w:lineRule="auto"/>
            </w:pPr>
            <w:r>
              <w:rPr>
                <w:sz w:val="18"/>
              </w:rPr>
              <w:t>6,010 ± 0,870</w:t>
            </w:r>
          </w:p>
        </w:tc>
        <w:tc>
          <w:tcPr>
            <w:tcW w:w="2413" w:type="dxa"/>
          </w:tcPr>
          <w:p>
            <w:pPr>
              <w:spacing w:before="0" w:after="40" w:line="240" w:lineRule="auto"/>
            </w:pPr>
            <w:r>
              <w:rPr>
                <w:sz w:val="18"/>
              </w:rPr>
              <w:t>27435,665 ± 13324,216</w:t>
            </w:r>
          </w:p>
        </w:tc>
      </w:tr>
    </w:tbl>
    <w:p w14:paraId="774B2884" w14:textId="71547853" w:rsidR="0390B43B" w:rsidRDefault="0390B43B" w:rsidP="0390B43B"/>
    <w:p w14:paraId="63A4F4F0" w14:textId="7B11A558" w:rsidR="0390B43B" w:rsidRDefault="0390B43B">
      <w:r>
        <w:br w:type="page"/>
      </w:r>
    </w:p>
    <w:p w14:paraId="095FD28E" w14:textId="2EFC1740" w:rsidR="7A668DCC" w:rsidRDefault="7A668DCC" w:rsidP="0390B43B">
      <w:pPr>
        <w:pStyle w:val="Titolo1"/>
      </w:pPr>
      <w:r>
        <w:lastRenderedPageBreak/>
        <w:t>Sezione Argomento 2</w:t>
      </w:r>
    </w:p>
    <w:p w14:paraId="0B6D2F77" w14:textId="6CC57FAB" w:rsidR="0390B43B" w:rsidRDefault="0390B43B" w:rsidP="0390B43B"/>
    <w:p w14:paraId="1340A464" w14:textId="4F9F3F0D" w:rsidR="11BA4E3A" w:rsidRDefault="11BA4E3A" w:rsidP="0390B43B">
      <w:pPr>
        <w:pStyle w:val="Titolo2"/>
      </w:pPr>
      <w:r>
        <w:t>Sommario</w:t>
      </w:r>
    </w:p>
    <w:p w14:paraId="4D2B3A50" w14:textId="103DAA39" w:rsidR="11BA4E3A" w:rsidRDefault="11BA4E3A" w:rsidP="0390B43B">
      <w:r>
        <w:rPr/>
        <w:t xml:space="preserve">Il task supervisionato è la classificazione binaria dell’indisponibilità futura del servizio critico, con prevalenza positiva 33,0%. Il futuro è simulato separatamente dagli allarmi correnti, quindi il target non è una copia di root_down. Si confrontano tre famiglie di modelli su BASE, BASE+LOCAL e BASE+KB, più DummyPrior e LogicOnly. BASE+LOCAL controlla se il guadagno dipende semplicemente dall’accesso ai sensori degli altri nodi.</w:t>
      </w:r>
    </w:p>
    <w:p w14:paraId="01094BF4" w14:textId="5EA83E63" w:rsidR="0390B43B" w:rsidRDefault="0390B43B" w:rsidP="0390B43B">
      <w:pPr>
        <w:pStyle w:val="Titolo2"/>
      </w:pPr>
    </w:p>
    <w:p w14:paraId="7AB420C3" w14:textId="43627E81" w:rsidR="11BA4E3A" w:rsidRDefault="11BA4E3A" w:rsidP="0390B43B">
      <w:pPr>
        <w:pStyle w:val="Titolo2"/>
      </w:pPr>
      <w:r>
        <w:t>Strumenti utilizzati</w:t>
      </w:r>
    </w:p>
    <w:p w14:paraId="58EC7EDB" w14:textId="60F9A20E" w:rsidR="11BA4E3A" w:rsidRDefault="11BA4E3A" w:rsidP="0390B43B">
      <w:r>
        <w:rPr/>
        <w:t xml:space="preserve">NumPy 2.2.6 e SciPy 1.15.3 supportano calcoli e generazione; scikit-learn 1.7.2 fornisce LogisticRegression, RandomForestClassifier, GradientBoostingClassifier, DummyClassifier, Pipeline, StandardScaler, GridSearchCV, StratifiedGroupKFold, KMeans e silhouette_score [3]. Matplotlib 3.10.6 produce figure aggregate. Non sono richiesti pandas o servizi remoti.</w:t>
      </w:r>
    </w:p>
    <w:p w14:paraId="0E6C8AE3" w14:textId="1F43B859" w:rsidR="11BA4E3A" w:rsidRDefault="11BA4E3A" w:rsidP="0390B43B">
      <w:r>
        <w:rPr/>
        <w:t xml:space="preserve">L’implementazione specifica collega le query logiche alle feature e conserva gli indici globali di tutte le partizioni. I dati vengono salvati in JSON/CSV; l’audit ricalcola le metriche dalle predizioni e controlla hash, disgiunzione dei gruppi e copertura dei test. Il clustering usa sensori nominali senza etichette di guasto: stima regimi e distanze per generare fatti alarm. Non raggruppa le classi già note del task supervisionato e non interpreta i cluster come tipi di guasto. Il confronto con un unico centro serve a valutare se la distinzione fra regimi sia utile al monitoraggio.</w:t>
      </w:r>
    </w:p>
    <w:p w14:paraId="41FF78F3" w14:textId="0B56AE63" w:rsidR="0390B43B" w:rsidRDefault="0390B43B" w:rsidP="0390B43B"/>
    <w:p w14:paraId="41297B15" w14:textId="33195B4C" w:rsidR="11BA4E3A" w:rsidRDefault="11BA4E3A" w:rsidP="0390B43B">
      <w:pPr>
        <w:pStyle w:val="Titolo2"/>
      </w:pPr>
      <w:r>
        <w:t>Decisioni di Progetto</w:t>
      </w:r>
    </w:p>
    <w:p w14:paraId="02DDCBDC" w14:textId="4E02F79B" w:rsidR="11BA4E3A" w:rsidRDefault="11BA4E3A" w:rsidP="0390B43B">
      <w:r>
        <w:rPr/>
        <w:t xml:space="preserve">Monitoraggio non supervisionato: per ciascuna topologia si generano otto fotografie nominali, ciascuna con misure per tutti i nodi. Le feature sono cpu, errors e latency. Il carico elevato ha probabilità 0,45; le medie sono rispettivamente (0,72;0,08;110) e (0,25;0,03;45), con rumore normale indipendente di deviazione (0,045;0,012;8). CPU ed errors sono troncati in [0;1] e latency ad almeno 1. La modalità di carico non è annotata nei file di fit. La disponibilità di uno storico nominale attendibile è un’assunzione esplicita, quindi non si rivendica apprendimento da storico contaminato.</w:t>
      </w:r>
    </w:p>
    <w:p>
      <w:r>
        <w:rPr/>
        <w:t xml:space="preserve">Per il solo test, ciascun nodo subisce un guasto locale con probabilità 0,08: i sensori aumentano di (0,16;0,20;90), con troncamento delle prime due componenti. Il simulatore propaga i guasti veri sulla topologia e conserva la verità in monitoring_truth.json; fit, silhouette e calibrazione non leggono questo file. Gli stream nominale e guasti usano seed+700 e seed+701. Le equazioni sono ipotesi sintetiche fissate prima del confronto e rendono il compito deliberatamente controllato.</w:t>
      </w:r>
    </w:p>
    <w:p>
      <w:r>
        <w:rPr/>
        <w:t xml:space="preserve">Valutazione del monitoraggio: cinque partizioni esterne delle infrastrutture, ripetute due volte con seed+710+r, indipendenti dagli split della previsione futura. In ogni training esterno il 20% dei gruppi (arrotondato per eccesso) calibra le distanze; gli altri gruppi stimano StandardScaler e K-Means. Si confrontano k=2,…,7, con n_init=10: fit su al massimo 2.000 nodi campionati dal training e silhouette sugli stessi al massimo 400 nodi di tale sottoinsieme per ogni k. Si massimizza la silhouette; a parità vince k minore. Questi limiti contengono il costo, senza selezionare nodi per etichetta. Il costo di Lloyd è O(n·k·d·T) per inizializzazione e la silhouette richiede O(m²·d), con d=3 e m≤400.</w:t>
      </w:r>
    </w:p>
    <w:p>
      <w:r>
        <w:rPr/>
        <w:t xml:space="preserve">Un nodo è anomalo se la distanza euclidea standardizzata dal centro più vicino supera il quantile 0,95 delle distanze nominali di calibrazione. Tale quantile è prefissato e non garantisce esattamente il 5% di falsi allarmi su un nuovo test. Le anomalie entrano nelle regole Datalog down e critical_down; la propagazione è verificata dal simulatore indipendente. Si confrontano le soglie manuali (errors≥0,60 o cpu≥0,85) e SingleCenter, con un centro medio e la stessa calibrazione. Il confronto misura il contributo della modellazione di più regimi. I modelli e gli split sono in monitoring_models.json; gli identificativi dei cluster sono locali al fit e i loro profili non vengono mediati come se fossero classi stabili.</w:t>
      </w:r>
    </w:p>
    <w:p>
      <w:r>
        <w:rPr/>
        <w:t xml:space="preserve">Generatore fissato prima della valutazione: i primi tre nodi non hanno dipendenze; ogni nodo successivo sceglie due predecessori distinti. Con probabilità 0,45 li usa come repliche; altrimenti richiede il primo e, con probabilità 0,35, anche il secondo. Gli archi puntano a indici inferiori, quindi le topologie generate sono DAG; il motore è testato separatamente anche sui cicli. Il nodo finale è critico. Nodi non raggiungibili costituiscono informazione irrilevante per il suo guasto e non vengono eliminati.</w:t>
      </w:r>
    </w:p>
    <w:p>
      <w:r>
        <w:rPr/>
        <w:t xml:space="preserve">Per fotografia, stress comune uniforme in [0;0,32] e severità individuale Beta(1,3;4,5) più stress, troncata in [0;1]. I sensori sono: errors=severità+rumore normale σ=0,09; cpu=0,2+0,72×severità+rumore σ=0,09; latency=25+180×severità+rumore σ=12. Cpu ed errors sono troncati in [0;1], latency ha minimo 1. Sono grandezze del benchmark, non soglie operative validate.</w:t>
      </w:r>
    </w:p>
    <w:p>
      <w:r>
        <w:rPr/>
        <w:t xml:space="preserve">Gli allarmi scattano per errors≥0,60 oppure cpu≥0,85. Il guasto futuro di un nodo ha probabilità 0,015+0,60×severità²; ciascuna delle tre zone può inoltre subire uno shock con probabilità 0,025 che guasta tutti i suoi nodi. Il simulatore propaga gli esiti secondo dipendenze e repliche. Severità, shock, esiti futuri e zone non entrano nelle feature. I coefficienti sono ipotesi del benchmark, non parametri ottimizzati sui test. Il seed è 42 e gli stream di topologia, osservazioni ed esiti sono separati.</w:t>
      </w:r>
    </w:p>
    <w:p>
      <w:r>
        <w:rPr/>
        <w:t xml:space="preserve">Sensibilità a più dataset: si conserva standard/42 e si aggiungono redundant/73 e dense/101, con configurazioni e seed fissati prima dei nuovi esperimenti. Ogni dataset ha 120 infrastrutture e otto fotografie per infrastruttura. Si variano ridondanza, dimensione e densità del grafo; sensori, futuro, KB, feature e griglie rimangono gli stessi. La probabilità della seconda dipendenza è condizionata alla scelta di non usare repliche. I valori estremi servono a distinguere scenari strutturali, non sono stime da dati reali:</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050"/>
        <w:gridCol w:w="1050"/>
        <w:gridCol w:w="1700"/>
        <w:gridCol w:w="1900"/>
        <w:gridCol w:w="2326"/>
      </w:tblGrid>
      <w:tr>
        <w:trPr>
          <w:cantSplit/>
          <w:tblHeader/>
        </w:trPr>
        <w:tc>
          <w:tcPr>
            <w:tcW w:w="2050" w:type="dxa"/>
            <w:shd w:fill="EDEDED"/>
          </w:tcPr>
          <w:p>
            <w:pPr>
              <w:spacing w:before="0" w:after="40" w:line="240" w:lineRule="auto"/>
            </w:pPr>
            <w:r>
              <w:rPr>
                <w:sz w:val="18"/>
                <w:b/>
              </w:rPr>
              <w:t>Scenario / seed</w:t>
            </w:r>
          </w:p>
        </w:tc>
        <w:tc>
          <w:tcPr>
            <w:tcW w:w="1050" w:type="dxa"/>
            <w:shd w:fill="EDEDED"/>
          </w:tcPr>
          <w:p>
            <w:pPr>
              <w:spacing w:before="0" w:after="40" w:line="240" w:lineRule="auto"/>
            </w:pPr>
            <w:r>
              <w:rPr>
                <w:sz w:val="18"/>
                <w:b/>
              </w:rPr>
              <w:t>Nodi</w:t>
            </w:r>
          </w:p>
        </w:tc>
        <w:tc>
          <w:tcPr>
            <w:tcW w:w="1700" w:type="dxa"/>
            <w:shd w:fill="EDEDED"/>
          </w:tcPr>
          <w:p>
            <w:pPr>
              <w:spacing w:before="0" w:after="40" w:line="240" w:lineRule="auto"/>
            </w:pPr>
            <w:r>
              <w:rPr>
                <w:sz w:val="18"/>
                <w:b/>
              </w:rPr>
              <w:t>P(repliche)</w:t>
            </w:r>
          </w:p>
        </w:tc>
        <w:tc>
          <w:tcPr>
            <w:tcW w:w="1900" w:type="dxa"/>
            <w:shd w:fill="EDEDED"/>
          </w:tcPr>
          <w:p>
            <w:pPr>
              <w:spacing w:before="0" w:after="40" w:line="240" w:lineRule="auto"/>
            </w:pPr>
            <w:r>
              <w:rPr>
                <w:sz w:val="18"/>
                <w:b/>
              </w:rPr>
              <w:t>P(seconda dip.)</w:t>
            </w:r>
          </w:p>
        </w:tc>
        <w:tc>
          <w:tcPr>
            <w:tcW w:w="2326" w:type="dxa"/>
            <w:shd w:fill="EDEDED"/>
          </w:tcPr>
          <w:p>
            <w:pPr>
              <w:spacing w:before="0" w:after="40" w:line="240" w:lineRule="auto"/>
            </w:pPr>
            <w:r>
              <w:rPr>
                <w:sz w:val="18"/>
                <w:b/>
              </w:rPr>
              <w:t>Prevalenza</w:t>
            </w:r>
          </w:p>
        </w:tc>
      </w:tr>
      <w:tr>
        <w:trPr>
          <w:cantSplit/>
        </w:trPr>
        <w:tc>
          <w:tcPr>
            <w:tcW w:w="2050" w:type="dxa"/>
          </w:tcPr>
          <w:p>
            <w:pPr>
              <w:spacing w:before="0" w:after="40" w:line="240" w:lineRule="auto"/>
            </w:pPr>
            <w:r>
              <w:rPr>
                <w:sz w:val="18"/>
              </w:rPr>
              <w:t>standard / 42</w:t>
            </w:r>
          </w:p>
        </w:tc>
        <w:tc>
          <w:tcPr>
            <w:tcW w:w="1050" w:type="dxa"/>
          </w:tcPr>
          <w:p>
            <w:pPr>
              <w:spacing w:before="0" w:after="40" w:line="240" w:lineRule="auto"/>
            </w:pPr>
            <w:r>
              <w:rPr>
                <w:sz w:val="18"/>
              </w:rPr>
              <w:t>10–18</w:t>
            </w:r>
          </w:p>
        </w:tc>
        <w:tc>
          <w:tcPr>
            <w:tcW w:w="1700" w:type="dxa"/>
          </w:tcPr>
          <w:p>
            <w:pPr>
              <w:spacing w:before="0" w:after="40" w:line="240" w:lineRule="auto"/>
            </w:pPr>
            <w:r>
              <w:rPr>
                <w:sz w:val="18"/>
              </w:rPr>
              <w:t>0.45</w:t>
            </w:r>
          </w:p>
        </w:tc>
        <w:tc>
          <w:tcPr>
            <w:tcW w:w="1900" w:type="dxa"/>
          </w:tcPr>
          <w:p>
            <w:pPr>
              <w:spacing w:before="0" w:after="40" w:line="240" w:lineRule="auto"/>
            </w:pPr>
            <w:r>
              <w:rPr>
                <w:sz w:val="18"/>
              </w:rPr>
              <w:t>0.35</w:t>
            </w:r>
          </w:p>
        </w:tc>
        <w:tc>
          <w:tcPr>
            <w:tcW w:w="2326" w:type="dxa"/>
          </w:tcPr>
          <w:p>
            <w:pPr>
              <w:spacing w:before="0" w:after="40" w:line="240" w:lineRule="auto"/>
            </w:pPr>
            <w:r>
              <w:rPr>
                <w:sz w:val="18"/>
              </w:rPr>
              <w:t>33.0%</w:t>
            </w:r>
          </w:p>
        </w:tc>
      </w:tr>
      <w:tr>
        <w:trPr>
          <w:cantSplit/>
        </w:trPr>
        <w:tc>
          <w:tcPr>
            <w:tcW w:w="2050" w:type="dxa"/>
          </w:tcPr>
          <w:p>
            <w:pPr>
              <w:spacing w:before="0" w:after="40" w:line="240" w:lineRule="auto"/>
            </w:pPr>
            <w:r>
              <w:rPr>
                <w:sz w:val="18"/>
              </w:rPr>
              <w:t>redundant / 73</w:t>
            </w:r>
          </w:p>
        </w:tc>
        <w:tc>
          <w:tcPr>
            <w:tcW w:w="1050" w:type="dxa"/>
          </w:tcPr>
          <w:p>
            <w:pPr>
              <w:spacing w:before="0" w:after="40" w:line="240" w:lineRule="auto"/>
            </w:pPr>
            <w:r>
              <w:rPr>
                <w:sz w:val="18"/>
              </w:rPr>
              <w:t>10–18</w:t>
            </w:r>
          </w:p>
        </w:tc>
        <w:tc>
          <w:tcPr>
            <w:tcW w:w="1700" w:type="dxa"/>
          </w:tcPr>
          <w:p>
            <w:pPr>
              <w:spacing w:before="0" w:after="40" w:line="240" w:lineRule="auto"/>
            </w:pPr>
            <w:r>
              <w:rPr>
                <w:sz w:val="18"/>
              </w:rPr>
              <w:t>0.8</w:t>
            </w:r>
          </w:p>
        </w:tc>
        <w:tc>
          <w:tcPr>
            <w:tcW w:w="1900" w:type="dxa"/>
          </w:tcPr>
          <w:p>
            <w:pPr>
              <w:spacing w:before="0" w:after="40" w:line="240" w:lineRule="auto"/>
            </w:pPr>
            <w:r>
              <w:rPr>
                <w:sz w:val="18"/>
              </w:rPr>
              <w:t>0.15</w:t>
            </w:r>
          </w:p>
        </w:tc>
        <w:tc>
          <w:tcPr>
            <w:tcW w:w="2326" w:type="dxa"/>
          </w:tcPr>
          <w:p>
            <w:pPr>
              <w:spacing w:before="0" w:after="40" w:line="240" w:lineRule="auto"/>
            </w:pPr>
            <w:r>
              <w:rPr>
                <w:sz w:val="18"/>
              </w:rPr>
              <w:t>21.1%</w:t>
            </w:r>
          </w:p>
        </w:tc>
      </w:tr>
      <w:tr>
        <w:trPr>
          <w:cantSplit/>
        </w:trPr>
        <w:tc>
          <w:tcPr>
            <w:tcW w:w="2050" w:type="dxa"/>
          </w:tcPr>
          <w:p>
            <w:pPr>
              <w:spacing w:before="0" w:after="40" w:line="240" w:lineRule="auto"/>
            </w:pPr>
            <w:r>
              <w:rPr>
                <w:sz w:val="18"/>
              </w:rPr>
              <w:t>dense / 101</w:t>
            </w:r>
          </w:p>
        </w:tc>
        <w:tc>
          <w:tcPr>
            <w:tcW w:w="1050" w:type="dxa"/>
          </w:tcPr>
          <w:p>
            <w:pPr>
              <w:spacing w:before="0" w:after="40" w:line="240" w:lineRule="auto"/>
            </w:pPr>
            <w:r>
              <w:rPr>
                <w:sz w:val="18"/>
              </w:rPr>
              <w:t>20–30</w:t>
            </w:r>
          </w:p>
        </w:tc>
        <w:tc>
          <w:tcPr>
            <w:tcW w:w="1700" w:type="dxa"/>
          </w:tcPr>
          <w:p>
            <w:pPr>
              <w:spacing w:before="0" w:after="40" w:line="240" w:lineRule="auto"/>
            </w:pPr>
            <w:r>
              <w:rPr>
                <w:sz w:val="18"/>
              </w:rPr>
              <w:t>0.15</w:t>
            </w:r>
          </w:p>
        </w:tc>
        <w:tc>
          <w:tcPr>
            <w:tcW w:w="1900" w:type="dxa"/>
          </w:tcPr>
          <w:p>
            <w:pPr>
              <w:spacing w:before="0" w:after="40" w:line="240" w:lineRule="auto"/>
            </w:pPr>
            <w:r>
              <w:rPr>
                <w:sz w:val="18"/>
              </w:rPr>
              <w:t>0.75</w:t>
            </w:r>
          </w:p>
        </w:tc>
        <w:tc>
          <w:tcPr>
            <w:tcW w:w="2326" w:type="dxa"/>
          </w:tcPr>
          <w:p>
            <w:pPr>
              <w:spacing w:before="0" w:after="40" w:line="240" w:lineRule="auto"/>
            </w:pPr>
            <w:r>
              <w:rPr>
                <w:sz w:val="18"/>
              </w:rPr>
              <w:t>58.1%</w:t>
            </w:r>
          </w:p>
        </w:tc>
      </w:tr>
    </w:tbl>
    <w:p>
      <w:r>
        <w:rPr/>
        <w:t xml:space="preserve">Ogni dataset è valutato separatamente con CV annidata 5×2×3 e gruppi locali; non si addestra su una famiglia per testare su un’altra. Il confronto misura sensibilità alle distribuzioni simulate, non trasferimento fra domini o robustezza causale. Un seed per famiglia non separa l’effetto della configurazione da quello del campionamento. Tutti gli esiti sono conservati in results/full, results/full_redundant, results/full_dense; protocollo e sintesi complete sono in results/scenarios/.</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1600"/>
        <w:gridCol w:w="4200"/>
        <w:gridCol w:w="3226"/>
      </w:tblGrid>
      <w:tr>
        <w:trPr>
          <w:cantSplit/>
          <w:tblHeader/>
        </w:trPr>
        <w:tc>
          <w:tcPr>
            <w:tcW w:w="1600" w:type="dxa"/>
            <w:shd w:fill="EDEDED"/>
          </w:tcPr>
          <w:p>
            <w:pPr>
              <w:spacing w:before="0" w:after="40" w:line="240" w:lineRule="auto"/>
            </w:pPr>
            <w:r>
              <w:rPr>
                <w:sz w:val="18"/>
                <w:b/>
              </w:rPr>
              <w:t>Insieme</w:t>
            </w:r>
          </w:p>
        </w:tc>
        <w:tc>
          <w:tcPr>
            <w:tcW w:w="4200" w:type="dxa"/>
            <w:shd w:fill="EDEDED"/>
          </w:tcPr>
          <w:p>
            <w:pPr>
              <w:spacing w:before="0" w:after="40" w:line="240" w:lineRule="auto"/>
            </w:pPr>
            <w:r>
              <w:rPr>
                <w:sz w:val="18"/>
                <w:b/>
              </w:rPr>
              <w:t>Feature</w:t>
            </w:r>
          </w:p>
        </w:tc>
        <w:tc>
          <w:tcPr>
            <w:tcW w:w="3226" w:type="dxa"/>
            <w:shd w:fill="EDEDED"/>
          </w:tcPr>
          <w:p>
            <w:pPr>
              <w:spacing w:before="0" w:after="40" w:line="240" w:lineRule="auto"/>
            </w:pPr>
            <w:r>
              <w:rPr>
                <w:sz w:val="18"/>
                <w:b/>
              </w:rPr>
              <w:t>Informazione</w:t>
            </w:r>
          </w:p>
        </w:tc>
      </w:tr>
      <w:tr>
        <w:trPr>
          <w:cantSplit/>
        </w:trPr>
        <w:tc>
          <w:tcPr>
            <w:tcW w:w="1600" w:type="dxa"/>
          </w:tcPr>
          <w:p>
            <w:pPr>
              <w:spacing w:before="0" w:after="40" w:line="240" w:lineRule="auto"/>
            </w:pPr>
            <w:r>
              <w:rPr>
                <w:sz w:val="18"/>
              </w:rPr>
              <w:t>BASE (6)</w:t>
            </w:r>
          </w:p>
        </w:tc>
        <w:tc>
          <w:tcPr>
            <w:tcW w:w="4200" w:type="dxa"/>
          </w:tcPr>
          <w:p>
            <w:pPr>
              <w:spacing w:before="0" w:after="40" w:line="240" w:lineRule="auto"/>
            </w:pPr>
            <w:r>
              <w:rPr>
                <w:sz w:val="18"/>
              </w:rPr>
              <w:t>root_cpu, root_errors, root_latency, n_nodes, n_requires, n_replicas</w:t>
            </w:r>
          </w:p>
        </w:tc>
        <w:tc>
          <w:tcPr>
            <w:tcW w:w="3226" w:type="dxa"/>
          </w:tcPr>
          <w:p>
            <w:pPr>
              <w:spacing w:before="0" w:after="40" w:line="240" w:lineRule="auto"/>
            </w:pPr>
            <w:r>
              <w:rPr>
                <w:sz w:val="18"/>
              </w:rPr>
              <w:t>Sensori del nodo critico e dimensioni della topologia.</w:t>
            </w:r>
          </w:p>
        </w:tc>
      </w:tr>
      <w:tr>
        <w:trPr>
          <w:cantSplit/>
        </w:trPr>
        <w:tc>
          <w:tcPr>
            <w:tcW w:w="1600" w:type="dxa"/>
          </w:tcPr>
          <w:p>
            <w:pPr>
              <w:spacing w:before="0" w:after="40" w:line="240" w:lineRule="auto"/>
            </w:pPr>
            <w:r>
              <w:rPr>
                <w:sz w:val="18"/>
              </w:rPr>
              <w:t>BASE+LOCAL (11)</w:t>
            </w:r>
          </w:p>
        </w:tc>
        <w:tc>
          <w:tcPr>
            <w:tcW w:w="4200" w:type="dxa"/>
          </w:tcPr>
          <w:p>
            <w:pPr>
              <w:spacing w:before="0" w:after="40" w:line="240" w:lineRule="auto"/>
            </w:pPr>
            <w:r>
              <w:rPr>
                <w:sz w:val="18"/>
              </w:rPr>
              <w:t>BASE + mean_cpu, max_cpu, mean_errors, max_errors, alarm_fraction</w:t>
            </w:r>
          </w:p>
        </w:tc>
        <w:tc>
          <w:tcPr>
            <w:tcW w:w="3226" w:type="dxa"/>
          </w:tcPr>
          <w:p>
            <w:pPr>
              <w:spacing w:before="0" w:after="40" w:line="240" w:lineRule="auto"/>
            </w:pPr>
            <w:r>
              <w:rPr>
                <w:sz w:val="18"/>
              </w:rPr>
              <w:t>Aggregazioni di tutti i sensori, senza percorsi.</w:t>
            </w:r>
          </w:p>
        </w:tc>
      </w:tr>
      <w:tr>
        <w:trPr>
          <w:cantSplit/>
        </w:trPr>
        <w:tc>
          <w:tcPr>
            <w:tcW w:w="1600" w:type="dxa"/>
          </w:tcPr>
          <w:p>
            <w:pPr>
              <w:spacing w:before="0" w:after="40" w:line="240" w:lineRule="auto"/>
            </w:pPr>
            <w:r>
              <w:rPr>
                <w:sz w:val="18"/>
              </w:rPr>
              <w:t>BASE+KB (17)</w:t>
            </w:r>
          </w:p>
        </w:tc>
        <w:tc>
          <w:tcPr>
            <w:tcW w:w="4200" w:type="dxa"/>
          </w:tcPr>
          <w:p>
            <w:pPr>
              <w:spacing w:before="0" w:after="40" w:line="240" w:lineRule="auto"/>
            </w:pPr>
            <w:r>
              <w:rPr>
                <w:sz w:val="18"/>
              </w:rPr>
              <w:t>BASE+LOCAL + root_down, down_fraction, reachable_fraction, exposed_fraction, reachable_down_fraction, degraded_fraction</w:t>
            </w:r>
          </w:p>
        </w:tc>
        <w:tc>
          <w:tcPr>
            <w:tcW w:w="3226" w:type="dxa"/>
          </w:tcPr>
          <w:p>
            <w:pPr>
              <w:spacing w:before="0" w:after="40" w:line="240" w:lineRule="auto"/>
            </w:pPr>
            <w:r>
              <w:rPr>
                <w:sz w:val="18"/>
              </w:rPr>
              <w:t>Conseguenze e relazioni derivate dalla KB.</w:t>
            </w:r>
          </w:p>
        </w:tc>
      </w:tr>
    </w:tbl>
    <w:p>
      <w:r>
        <w:rPr/>
        <w:t xml:space="preserve">Le frazioni exposed e reachable_down usano il numero di nodi raggiungibili, con denominatore minimo 1; le altre frazioni usano il numero totale di nodi. Gli identificativi, il gruppo, il target e i costi sono esclusi dagli input dei classificatori.</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1950"/>
        <w:gridCol w:w="3500"/>
        <w:gridCol w:w="3576"/>
      </w:tblGrid>
      <w:tr>
        <w:trPr>
          <w:cantSplit/>
          <w:tblHeader/>
        </w:trPr>
        <w:tc>
          <w:tcPr>
            <w:tcW w:w="1950" w:type="dxa"/>
            <w:shd w:fill="EDEDED"/>
          </w:tcPr>
          <w:p>
            <w:pPr>
              <w:spacing w:before="0" w:after="40" w:line="240" w:lineRule="auto"/>
            </w:pPr>
            <w:r>
              <w:rPr>
                <w:sz w:val="18"/>
                <w:b/>
              </w:rPr>
              <w:t>Modello/componente</w:t>
            </w:r>
          </w:p>
        </w:tc>
        <w:tc>
          <w:tcPr>
            <w:tcW w:w="3500" w:type="dxa"/>
            <w:shd w:fill="EDEDED"/>
          </w:tcPr>
          <w:p>
            <w:pPr>
              <w:spacing w:before="0" w:after="40" w:line="240" w:lineRule="auto"/>
            </w:pPr>
            <w:r>
              <w:rPr>
                <w:sz w:val="18"/>
                <w:b/>
              </w:rPr>
              <w:t>Griglia o impostazione</w:t>
            </w:r>
          </w:p>
        </w:tc>
        <w:tc>
          <w:tcPr>
            <w:tcW w:w="3576" w:type="dxa"/>
            <w:shd w:fill="EDEDED"/>
          </w:tcPr>
          <w:p>
            <w:pPr>
              <w:spacing w:before="0" w:after="40" w:line="240" w:lineRule="auto"/>
            </w:pPr>
            <w:r>
              <w:rPr>
                <w:sz w:val="18"/>
                <w:b/>
              </w:rPr>
              <w:t>Motivazione</w:t>
            </w:r>
          </w:p>
        </w:tc>
      </w:tr>
      <w:tr>
        <w:trPr>
          <w:cantSplit/>
        </w:trPr>
        <w:tc>
          <w:tcPr>
            <w:tcW w:w="1950" w:type="dxa"/>
          </w:tcPr>
          <w:p>
            <w:pPr>
              <w:spacing w:before="0" w:after="40" w:line="240" w:lineRule="auto"/>
            </w:pPr>
            <w:r>
              <w:rPr>
                <w:sz w:val="18"/>
              </w:rPr>
              <w:t>Logistica</w:t>
            </w:r>
          </w:p>
        </w:tc>
        <w:tc>
          <w:tcPr>
            <w:tcW w:w="3500" w:type="dxa"/>
          </w:tcPr>
          <w:p>
            <w:pPr>
              <w:spacing w:before="0" w:after="40" w:line="240" w:lineRule="auto"/>
            </w:pPr>
            <w:r>
              <w:rPr>
                <w:sz w:val="18"/>
              </w:rPr>
              <w:t>C∈{0,1;1;10}; class_weight∈{None;balanced}; max_iter=2000</w:t>
            </w:r>
          </w:p>
        </w:tc>
        <w:tc>
          <w:tcPr>
            <w:tcW w:w="3576" w:type="dxa"/>
          </w:tcPr>
          <w:p>
            <w:pPr>
              <w:spacing w:before="0" w:after="40" w:line="240" w:lineRule="auto"/>
            </w:pPr>
            <w:r>
              <w:rPr>
                <w:sz w:val="18"/>
              </w:rPr>
              <w:t>Regolarizzazione e bilanciamento scelti nel training interno.</w:t>
            </w:r>
          </w:p>
        </w:tc>
      </w:tr>
      <w:tr>
        <w:trPr>
          <w:cantSplit/>
        </w:trPr>
        <w:tc>
          <w:tcPr>
            <w:tcW w:w="1950" w:type="dxa"/>
          </w:tcPr>
          <w:p>
            <w:pPr>
              <w:spacing w:before="0" w:after="40" w:line="240" w:lineRule="auto"/>
            </w:pPr>
            <w:r>
              <w:rPr>
                <w:sz w:val="18"/>
              </w:rPr>
              <w:t>Random Forest</w:t>
            </w:r>
          </w:p>
        </w:tc>
        <w:tc>
          <w:tcPr>
            <w:tcW w:w="3500" w:type="dxa"/>
          </w:tcPr>
          <w:p>
            <w:pPr>
              <w:spacing w:before="0" w:after="40" w:line="240" w:lineRule="auto"/>
            </w:pPr>
            <w:r>
              <w:rPr>
                <w:sz w:val="18"/>
              </w:rPr>
              <w:t>60 alberi; max_depth∈{4;None}; min_samples_leaf∈{3;10}</w:t>
            </w:r>
          </w:p>
        </w:tc>
        <w:tc>
          <w:tcPr>
            <w:tcW w:w="3576" w:type="dxa"/>
          </w:tcPr>
          <w:p>
            <w:pPr>
              <w:spacing w:before="0" w:after="40" w:line="240" w:lineRule="auto"/>
            </w:pPr>
            <w:r>
              <w:rPr>
                <w:sz w:val="18"/>
              </w:rPr>
              <w:t>Controllo della complessità entro un budget limitato.</w:t>
            </w:r>
          </w:p>
        </w:tc>
      </w:tr>
      <w:tr>
        <w:trPr>
          <w:cantSplit/>
        </w:trPr>
        <w:tc>
          <w:tcPr>
            <w:tcW w:w="1950" w:type="dxa"/>
          </w:tcPr>
          <w:p>
            <w:pPr>
              <w:spacing w:before="0" w:after="40" w:line="240" w:lineRule="auto"/>
            </w:pPr>
            <w:r>
              <w:rPr>
                <w:sz w:val="18"/>
              </w:rPr>
              <w:t>Gradient Boosting</w:t>
            </w:r>
          </w:p>
        </w:tc>
        <w:tc>
          <w:tcPr>
            <w:tcW w:w="3500" w:type="dxa"/>
          </w:tcPr>
          <w:p>
            <w:pPr>
              <w:spacing w:before="0" w:after="40" w:line="240" w:lineRule="auto"/>
            </w:pPr>
            <w:r>
              <w:rPr>
                <w:sz w:val="18"/>
              </w:rPr>
              <w:t>60 alberi; max_depth∈{1;2}; learning_rate∈{0,05;0,1}</w:t>
            </w:r>
          </w:p>
        </w:tc>
        <w:tc>
          <w:tcPr>
            <w:tcW w:w="3576" w:type="dxa"/>
          </w:tcPr>
          <w:p>
            <w:pPr>
              <w:spacing w:before="0" w:after="40" w:line="240" w:lineRule="auto"/>
            </w:pPr>
            <w:r>
              <w:rPr>
                <w:sz w:val="18"/>
              </w:rPr>
              <w:t>Interazioni semplici e due intensità di aggiornamento.</w:t>
            </w:r>
          </w:p>
        </w:tc>
      </w:tr>
      <w:tr>
        <w:trPr>
          <w:cantSplit/>
        </w:trPr>
        <w:tc>
          <w:tcPr>
            <w:tcW w:w="1950" w:type="dxa"/>
          </w:tcPr>
          <w:p>
            <w:pPr>
              <w:spacing w:before="0" w:after="40" w:line="240" w:lineRule="auto"/>
            </w:pPr>
            <w:r>
              <w:rPr>
                <w:sz w:val="18"/>
              </w:rPr>
              <w:t>StandardScaler</w:t>
            </w:r>
          </w:p>
        </w:tc>
        <w:tc>
          <w:tcPr>
            <w:tcW w:w="3500" w:type="dxa"/>
          </w:tcPr>
          <w:p>
            <w:pPr>
              <w:spacing w:before="0" w:after="40" w:line="240" w:lineRule="auto"/>
            </w:pPr>
            <w:r>
              <w:rPr>
                <w:sz w:val="18"/>
              </w:rPr>
              <w:t>Fit nella pipeline della logistica</w:t>
            </w:r>
          </w:p>
        </w:tc>
        <w:tc>
          <w:tcPr>
            <w:tcW w:w="3576" w:type="dxa"/>
          </w:tcPr>
          <w:p>
            <w:pPr>
              <w:spacing w:before="0" w:after="40" w:line="240" w:lineRule="auto"/>
            </w:pPr>
            <w:r>
              <w:rPr>
                <w:sz w:val="18"/>
              </w:rPr>
              <w:t>Latency e frazioni hanno scale diverse.</w:t>
            </w:r>
          </w:p>
        </w:tc>
      </w:tr>
      <w:tr>
        <w:trPr>
          <w:cantSplit/>
        </w:trPr>
        <w:tc>
          <w:tcPr>
            <w:tcW w:w="1950" w:type="dxa"/>
          </w:tcPr>
          <w:p>
            <w:pPr>
              <w:spacing w:before="0" w:after="40" w:line="240" w:lineRule="auto"/>
            </w:pPr>
            <w:r>
              <w:rPr>
                <w:sz w:val="18"/>
              </w:rPr>
              <w:t>CV</w:t>
            </w:r>
          </w:p>
        </w:tc>
        <w:tc>
          <w:tcPr>
            <w:tcW w:w="3500" w:type="dxa"/>
          </w:tcPr>
          <w:p>
            <w:pPr>
              <w:spacing w:before="0" w:after="40" w:line="240" w:lineRule="auto"/>
            </w:pPr>
            <w:r>
              <w:rPr>
                <w:sz w:val="18"/>
              </w:rPr>
              <w:t>5 fold esterni × 2 ripetizioni; 3 interni; gruppi per infrastruttura</w:t>
            </w:r>
          </w:p>
        </w:tc>
        <w:tc>
          <w:tcPr>
            <w:tcW w:w="3576" w:type="dxa"/>
          </w:tcPr>
          <w:p>
            <w:pPr>
              <w:spacing w:before="0" w:after="40" w:line="240" w:lineRule="auto"/>
            </w:pPr>
            <w:r>
              <w:rPr>
                <w:sz w:val="18"/>
              </w:rPr>
              <w:t>Separazione di tuning e test, con più partizioni.</w:t>
            </w:r>
          </w:p>
        </w:tc>
      </w:tr>
      <w:tr>
        <w:trPr>
          <w:cantSplit/>
        </w:trPr>
        <w:tc>
          <w:tcPr>
            <w:tcW w:w="1950" w:type="dxa"/>
          </w:tcPr>
          <w:p>
            <w:pPr>
              <w:spacing w:before="0" w:after="40" w:line="240" w:lineRule="auto"/>
            </w:pPr>
            <w:r>
              <w:rPr>
                <w:sz w:val="18"/>
              </w:rPr>
              <w:t>Classificazione</w:t>
            </w:r>
          </w:p>
        </w:tc>
        <w:tc>
          <w:tcPr>
            <w:tcW w:w="3500" w:type="dxa"/>
          </w:tcPr>
          <w:p>
            <w:pPr>
              <w:spacing w:before="0" w:after="40" w:line="240" w:lineRule="auto"/>
            </w:pPr>
            <w:r>
              <w:rPr>
                <w:sz w:val="18"/>
              </w:rPr>
              <w:t>Soglia predefinita 0,5; scoring interno F1 macro</w:t>
            </w:r>
          </w:p>
        </w:tc>
        <w:tc>
          <w:tcPr>
            <w:tcW w:w="3576" w:type="dxa"/>
          </w:tcPr>
          <w:p>
            <w:pPr>
              <w:spacing w:before="0" w:after="40" w:line="240" w:lineRule="auto"/>
            </w:pPr>
            <w:r>
              <w:rPr>
                <w:sz w:val="18"/>
              </w:rPr>
              <w:t>Nessuna scelta di soglia in base ai test esterni.</w:t>
            </w:r>
          </w:p>
        </w:tc>
      </w:tr>
    </w:tbl>
    <w:p>
      <w:r>
        <w:rPr/>
        <w:t xml:space="preserve">Le griglie hanno 6/4/4 configurazioni per logistica/foresta/boosting. In entrambi i livelli StratifiedGroupKFold mantiene insieme tutte le fotografie della stessa infrastruttura; la stratificazione è approssimata sotto il vincolo dei gruppi. Tutti i confronti usano gli stessi split. Il codice rifiuta fold con una sola classe. Standardizzazione e pesi bilanciati sono stimati esclusivamente nel training; non si applicano SMOTE o selezioni globali di feature. Le feature logiche si materializzano prima degli split perché sono funzioni fisse della sola fotografia e non leggono etichette o statistiche di altri esempi.</w:t>
      </w:r>
    </w:p>
    <w:p>
      <w:r>
        <w:rPr/>
        <w:t xml:space="preserve">Curve diagnostiche: frazioni 0,4/0,7/1,0 dei gruppi di training sugli stessi test esterni. Configurazioni prefissate: logistica C=1 con class_weight=balanced; foresta 60 alberi, profondità 4 e foglia minima 3; boosting 60 alberi, profondità 2 e learning_rate=0,05. Le importanze usano tre permutazioni di ciascuna feature sul test, mediate entro fold e poi aggregate fra fold. Queste analisi non scelgono nuovi parametri o feature.</w:t>
      </w:r>
    </w:p>
    <w:p w14:paraId="3429C60D" w14:textId="7F2CEFBB" w:rsidR="0390B43B" w:rsidRDefault="0390B43B" w:rsidP="0390B43B"/>
    <w:p w14:paraId="6395C01E" w14:textId="2BB3773A" w:rsidR="11BA4E3A" w:rsidRDefault="11BA4E3A" w:rsidP="0390B43B">
      <w:pPr>
        <w:pStyle w:val="Titolo2"/>
      </w:pPr>
      <w:r>
        <w:t>Valutazione</w:t>
      </w:r>
    </w:p>
    <w:p w14:paraId="72E2D655" w14:textId="433B78CA" w:rsidR="11BA4E3A" w:rsidRDefault="11BA4E3A" w:rsidP="0390B43B">
      <w:r>
        <w:rPr/>
        <w:t xml:space="preserve">Monitoraggio: media e deviazione standard campionaria sui dieci test esterni di ciascuna famiglia. F1 locale riguarda la classe guasto; F1 macro critica riguarda l’indisponibilità del servizio dopo la propagazione nella KB. Le etichette sono impiegate soltanto per queste misure. La silhouette è un criterio geometrico di training, non sostituisce la verifica del compito finale:</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800"/>
        <w:gridCol w:w="2076"/>
        <w:gridCol w:w="2075"/>
        <w:gridCol w:w="2075"/>
      </w:tblGrid>
      <w:tr>
        <w:trPr>
          <w:cantSplit/>
          <w:tblHeader/>
        </w:trPr>
        <w:tc>
          <w:tcPr>
            <w:tcW w:w="2800" w:type="dxa"/>
            <w:shd w:fill="EDEDED"/>
          </w:tcPr>
          <w:p>
            <w:pPr>
              <w:spacing w:before="0" w:after="40" w:line="240" w:lineRule="auto"/>
            </w:pPr>
            <w:r>
              <w:rPr>
                <w:sz w:val="18"/>
                <w:b/>
              </w:rPr>
              <w:t>Scenario / metodo</w:t>
            </w:r>
          </w:p>
        </w:tc>
        <w:tc>
          <w:tcPr>
            <w:tcW w:w="2076" w:type="dxa"/>
            <w:shd w:fill="EDEDED"/>
          </w:tcPr>
          <w:p>
            <w:pPr>
              <w:spacing w:before="0" w:after="40" w:line="240" w:lineRule="auto"/>
            </w:pPr>
            <w:r>
              <w:rPr>
                <w:sz w:val="18"/>
                <w:b/>
              </w:rPr>
              <w:t>F1 locale</w:t>
            </w:r>
          </w:p>
        </w:tc>
        <w:tc>
          <w:tcPr>
            <w:tcW w:w="2075" w:type="dxa"/>
            <w:shd w:fill="EDEDED"/>
          </w:tcPr>
          <w:p>
            <w:pPr>
              <w:spacing w:before="0" w:after="40" w:line="240" w:lineRule="auto"/>
            </w:pPr>
            <w:r>
              <w:rPr>
                <w:sz w:val="18"/>
                <w:b/>
              </w:rPr>
              <w:t>Falsi allarmi</w:t>
            </w:r>
          </w:p>
        </w:tc>
        <w:tc>
          <w:tcPr>
            <w:tcW w:w="2075" w:type="dxa"/>
            <w:shd w:fill="EDEDED"/>
          </w:tcPr>
          <w:p>
            <w:pPr>
              <w:spacing w:before="0" w:after="40" w:line="240" w:lineRule="auto"/>
            </w:pPr>
            <w:r>
              <w:rPr>
                <w:sz w:val="18"/>
                <w:b/>
              </w:rPr>
              <w:t>F1 macro critica</w:t>
            </w:r>
          </w:p>
        </w:tc>
      </w:tr>
      <w:tr>
        <w:trPr>
          <w:cantSplit/>
        </w:trPr>
        <w:tc>
          <w:tcPr>
            <w:tcW w:w="2800" w:type="dxa"/>
          </w:tcPr>
          <w:p>
            <w:pPr>
              <w:spacing w:before="0" w:after="40" w:line="240" w:lineRule="auto"/>
            </w:pPr>
            <w:r>
              <w:rPr>
                <w:sz w:val="18"/>
              </w:rPr>
              <w:t>standard / FixedThreshold</w:t>
            </w:r>
          </w:p>
        </w:tc>
        <w:tc>
          <w:tcPr>
            <w:tcW w:w="2076" w:type="dxa"/>
          </w:tcPr>
          <w:p>
            <w:pPr>
              <w:spacing w:before="0" w:after="40" w:line="240" w:lineRule="auto"/>
            </w:pPr>
            <w:r>
              <w:rPr>
                <w:sz w:val="18"/>
              </w:rPr>
              <w:t>0,505 ± 0,036</w:t>
            </w:r>
          </w:p>
        </w:tc>
        <w:tc>
          <w:tcPr>
            <w:tcW w:w="2075" w:type="dxa"/>
          </w:tcPr>
          <w:p>
            <w:pPr>
              <w:spacing w:before="0" w:after="40" w:line="240" w:lineRule="auto"/>
            </w:pPr>
            <w:r>
              <w:rPr>
                <w:sz w:val="18"/>
              </w:rPr>
              <w:t>0,000 ± 0,000</w:t>
            </w:r>
          </w:p>
        </w:tc>
        <w:tc>
          <w:tcPr>
            <w:tcW w:w="2075" w:type="dxa"/>
          </w:tcPr>
          <w:p>
            <w:pPr>
              <w:spacing w:before="0" w:after="40" w:line="240" w:lineRule="auto"/>
            </w:pPr>
            <w:r>
              <w:rPr>
                <w:sz w:val="18"/>
              </w:rPr>
              <w:t>0,709 ± 0,050</w:t>
            </w:r>
          </w:p>
        </w:tc>
      </w:tr>
      <w:tr>
        <w:trPr>
          <w:cantSplit/>
        </w:trPr>
        <w:tc>
          <w:tcPr>
            <w:tcW w:w="2800" w:type="dxa"/>
          </w:tcPr>
          <w:p>
            <w:pPr>
              <w:spacing w:before="0" w:after="40" w:line="240" w:lineRule="auto"/>
            </w:pPr>
            <w:r>
              <w:rPr>
                <w:sz w:val="18"/>
              </w:rPr>
              <w:t>standard / SingleCenter</w:t>
            </w:r>
          </w:p>
        </w:tc>
        <w:tc>
          <w:tcPr>
            <w:tcW w:w="2076" w:type="dxa"/>
          </w:tcPr>
          <w:p>
            <w:pPr>
              <w:spacing w:before="0" w:after="40" w:line="240" w:lineRule="auto"/>
            </w:pPr>
            <w:r>
              <w:rPr>
                <w:sz w:val="18"/>
              </w:rPr>
              <w:t>0,773 ± 0,027</w:t>
            </w:r>
          </w:p>
        </w:tc>
        <w:tc>
          <w:tcPr>
            <w:tcW w:w="2075" w:type="dxa"/>
          </w:tcPr>
          <w:p>
            <w:pPr>
              <w:spacing w:before="0" w:after="40" w:line="240" w:lineRule="auto"/>
            </w:pPr>
            <w:r>
              <w:rPr>
                <w:sz w:val="18"/>
              </w:rPr>
              <w:t>0,053 ± 0,008</w:t>
            </w:r>
          </w:p>
        </w:tc>
        <w:tc>
          <w:tcPr>
            <w:tcW w:w="2075" w:type="dxa"/>
          </w:tcPr>
          <w:p>
            <w:pPr>
              <w:spacing w:before="0" w:after="40" w:line="240" w:lineRule="auto"/>
            </w:pPr>
            <w:r>
              <w:rPr>
                <w:sz w:val="18"/>
              </w:rPr>
              <w:t>0,847 ± 0,034</w:t>
            </w:r>
          </w:p>
        </w:tc>
      </w:tr>
      <w:tr>
        <w:trPr>
          <w:cantSplit/>
        </w:trPr>
        <w:tc>
          <w:tcPr>
            <w:tcW w:w="2800" w:type="dxa"/>
          </w:tcPr>
          <w:p>
            <w:pPr>
              <w:spacing w:before="0" w:after="40" w:line="240" w:lineRule="auto"/>
            </w:pPr>
            <w:r>
              <w:rPr>
                <w:sz w:val="18"/>
              </w:rPr>
              <w:t>standard / KMeans</w:t>
            </w:r>
          </w:p>
        </w:tc>
        <w:tc>
          <w:tcPr>
            <w:tcW w:w="2076" w:type="dxa"/>
          </w:tcPr>
          <w:p>
            <w:pPr>
              <w:spacing w:before="0" w:after="40" w:line="240" w:lineRule="auto"/>
            </w:pPr>
            <w:r>
              <w:rPr>
                <w:sz w:val="18"/>
              </w:rPr>
              <w:t>0,776 ± 0,027</w:t>
            </w:r>
          </w:p>
        </w:tc>
        <w:tc>
          <w:tcPr>
            <w:tcW w:w="2075" w:type="dxa"/>
          </w:tcPr>
          <w:p>
            <w:pPr>
              <w:spacing w:before="0" w:after="40" w:line="240" w:lineRule="auto"/>
            </w:pPr>
            <w:r>
              <w:rPr>
                <w:sz w:val="18"/>
              </w:rPr>
              <w:t>0,052 ± 0,006</w:t>
            </w:r>
          </w:p>
        </w:tc>
        <w:tc>
          <w:tcPr>
            <w:tcW w:w="2075" w:type="dxa"/>
          </w:tcPr>
          <w:p>
            <w:pPr>
              <w:spacing w:before="0" w:after="40" w:line="240" w:lineRule="auto"/>
            </w:pPr>
            <w:r>
              <w:rPr>
                <w:sz w:val="18"/>
              </w:rPr>
              <w:t>0,864 ± 0,035</w:t>
            </w:r>
          </w:p>
        </w:tc>
      </w:tr>
      <w:tr>
        <w:trPr>
          <w:cantSplit/>
        </w:trPr>
        <w:tc>
          <w:tcPr>
            <w:tcW w:w="2800" w:type="dxa"/>
          </w:tcPr>
          <w:p>
            <w:pPr>
              <w:spacing w:before="0" w:after="40" w:line="240" w:lineRule="auto"/>
            </w:pPr>
            <w:r>
              <w:rPr>
                <w:sz w:val="18"/>
              </w:rPr>
              <w:t>redundant / FixedThreshold</w:t>
            </w:r>
          </w:p>
        </w:tc>
        <w:tc>
          <w:tcPr>
            <w:tcW w:w="2076" w:type="dxa"/>
          </w:tcPr>
          <w:p>
            <w:pPr>
              <w:spacing w:before="0" w:after="40" w:line="240" w:lineRule="auto"/>
            </w:pPr>
            <w:r>
              <w:rPr>
                <w:sz w:val="18"/>
              </w:rPr>
              <w:t>0,487 ± 0,062</w:t>
            </w:r>
          </w:p>
        </w:tc>
        <w:tc>
          <w:tcPr>
            <w:tcW w:w="2075" w:type="dxa"/>
          </w:tcPr>
          <w:p>
            <w:pPr>
              <w:spacing w:before="0" w:after="40" w:line="240" w:lineRule="auto"/>
            </w:pPr>
            <w:r>
              <w:rPr>
                <w:sz w:val="18"/>
              </w:rPr>
              <w:t>0,001 ± 0,001</w:t>
            </w:r>
          </w:p>
        </w:tc>
        <w:tc>
          <w:tcPr>
            <w:tcW w:w="2075" w:type="dxa"/>
          </w:tcPr>
          <w:p>
            <w:pPr>
              <w:spacing w:before="0" w:after="40" w:line="240" w:lineRule="auto"/>
            </w:pPr>
            <w:r>
              <w:rPr>
                <w:sz w:val="18"/>
              </w:rPr>
              <w:t>0,738 ± 0,025</w:t>
            </w:r>
          </w:p>
        </w:tc>
      </w:tr>
      <w:tr>
        <w:trPr>
          <w:cantSplit/>
        </w:trPr>
        <w:tc>
          <w:tcPr>
            <w:tcW w:w="2800" w:type="dxa"/>
          </w:tcPr>
          <w:p>
            <w:pPr>
              <w:spacing w:before="0" w:after="40" w:line="240" w:lineRule="auto"/>
            </w:pPr>
            <w:r>
              <w:rPr>
                <w:sz w:val="18"/>
              </w:rPr>
              <w:t>redundant / SingleCenter</w:t>
            </w:r>
          </w:p>
        </w:tc>
        <w:tc>
          <w:tcPr>
            <w:tcW w:w="2076" w:type="dxa"/>
          </w:tcPr>
          <w:p>
            <w:pPr>
              <w:spacing w:before="0" w:after="40" w:line="240" w:lineRule="auto"/>
            </w:pPr>
            <w:r>
              <w:rPr>
                <w:sz w:val="18"/>
              </w:rPr>
              <w:t>0,777 ± 0,023</w:t>
            </w:r>
          </w:p>
        </w:tc>
        <w:tc>
          <w:tcPr>
            <w:tcW w:w="2075" w:type="dxa"/>
          </w:tcPr>
          <w:p>
            <w:pPr>
              <w:spacing w:before="0" w:after="40" w:line="240" w:lineRule="auto"/>
            </w:pPr>
            <w:r>
              <w:rPr>
                <w:sz w:val="18"/>
              </w:rPr>
              <w:t>0,053 ± 0,008</w:t>
            </w:r>
          </w:p>
        </w:tc>
        <w:tc>
          <w:tcPr>
            <w:tcW w:w="2075" w:type="dxa"/>
          </w:tcPr>
          <w:p>
            <w:pPr>
              <w:spacing w:before="0" w:after="40" w:line="240" w:lineRule="auto"/>
            </w:pPr>
            <w:r>
              <w:rPr>
                <w:sz w:val="18"/>
              </w:rPr>
              <w:t>0,863 ± 0,032</w:t>
            </w:r>
          </w:p>
        </w:tc>
      </w:tr>
      <w:tr>
        <w:trPr>
          <w:cantSplit/>
        </w:trPr>
        <w:tc>
          <w:tcPr>
            <w:tcW w:w="2800" w:type="dxa"/>
          </w:tcPr>
          <w:p>
            <w:pPr>
              <w:spacing w:before="0" w:after="40" w:line="240" w:lineRule="auto"/>
            </w:pPr>
            <w:r>
              <w:rPr>
                <w:sz w:val="18"/>
              </w:rPr>
              <w:t>redundant / KMeans</w:t>
            </w:r>
          </w:p>
        </w:tc>
        <w:tc>
          <w:tcPr>
            <w:tcW w:w="2076" w:type="dxa"/>
          </w:tcPr>
          <w:p>
            <w:pPr>
              <w:spacing w:before="0" w:after="40" w:line="240" w:lineRule="auto"/>
            </w:pPr>
            <w:r>
              <w:rPr>
                <w:sz w:val="18"/>
              </w:rPr>
              <w:t>0,788 ± 0,016</w:t>
            </w:r>
          </w:p>
        </w:tc>
        <w:tc>
          <w:tcPr>
            <w:tcW w:w="2075" w:type="dxa"/>
          </w:tcPr>
          <w:p>
            <w:pPr>
              <w:spacing w:before="0" w:after="40" w:line="240" w:lineRule="auto"/>
            </w:pPr>
            <w:r>
              <w:rPr>
                <w:sz w:val="18"/>
              </w:rPr>
              <w:t>0,049 ± 0,004</w:t>
            </w:r>
          </w:p>
        </w:tc>
        <w:tc>
          <w:tcPr>
            <w:tcW w:w="2075" w:type="dxa"/>
          </w:tcPr>
          <w:p>
            <w:pPr>
              <w:spacing w:before="0" w:after="40" w:line="240" w:lineRule="auto"/>
            </w:pPr>
            <w:r>
              <w:rPr>
                <w:sz w:val="18"/>
              </w:rPr>
              <w:t>0,878 ± 0,032</w:t>
            </w:r>
          </w:p>
        </w:tc>
      </w:tr>
      <w:tr>
        <w:trPr>
          <w:cantSplit/>
        </w:trPr>
        <w:tc>
          <w:tcPr>
            <w:tcW w:w="2800" w:type="dxa"/>
          </w:tcPr>
          <w:p>
            <w:pPr>
              <w:spacing w:before="0" w:after="40" w:line="240" w:lineRule="auto"/>
            </w:pPr>
            <w:r>
              <w:rPr>
                <w:sz w:val="18"/>
              </w:rPr>
              <w:t>dense / FixedThreshold</w:t>
            </w:r>
          </w:p>
        </w:tc>
        <w:tc>
          <w:tcPr>
            <w:tcW w:w="2076" w:type="dxa"/>
          </w:tcPr>
          <w:p>
            <w:pPr>
              <w:spacing w:before="0" w:after="40" w:line="240" w:lineRule="auto"/>
            </w:pPr>
            <w:r>
              <w:rPr>
                <w:sz w:val="18"/>
              </w:rPr>
              <w:t>0,521 ± 0,035</w:t>
            </w:r>
          </w:p>
        </w:tc>
        <w:tc>
          <w:tcPr>
            <w:tcW w:w="2075" w:type="dxa"/>
          </w:tcPr>
          <w:p>
            <w:pPr>
              <w:spacing w:before="0" w:after="40" w:line="240" w:lineRule="auto"/>
            </w:pPr>
            <w:r>
              <w:rPr>
                <w:sz w:val="18"/>
              </w:rPr>
              <w:t>0,001 ± 0,000</w:t>
            </w:r>
          </w:p>
        </w:tc>
        <w:tc>
          <w:tcPr>
            <w:tcW w:w="2075" w:type="dxa"/>
          </w:tcPr>
          <w:p>
            <w:pPr>
              <w:spacing w:before="0" w:after="40" w:line="240" w:lineRule="auto"/>
            </w:pPr>
            <w:r>
              <w:rPr>
                <w:sz w:val="18"/>
              </w:rPr>
              <w:t>0,687 ± 0,024</w:t>
            </w:r>
          </w:p>
        </w:tc>
      </w:tr>
      <w:tr>
        <w:trPr>
          <w:cantSplit/>
        </w:trPr>
        <w:tc>
          <w:tcPr>
            <w:tcW w:w="2800" w:type="dxa"/>
          </w:tcPr>
          <w:p>
            <w:pPr>
              <w:spacing w:before="0" w:after="40" w:line="240" w:lineRule="auto"/>
            </w:pPr>
            <w:r>
              <w:rPr>
                <w:sz w:val="18"/>
              </w:rPr>
              <w:t>dense / SingleCenter</w:t>
            </w:r>
          </w:p>
        </w:tc>
        <w:tc>
          <w:tcPr>
            <w:tcW w:w="2076" w:type="dxa"/>
          </w:tcPr>
          <w:p>
            <w:pPr>
              <w:spacing w:before="0" w:after="40" w:line="240" w:lineRule="auto"/>
            </w:pPr>
            <w:r>
              <w:rPr>
                <w:sz w:val="18"/>
              </w:rPr>
              <w:t>0,770 ± 0,019</w:t>
            </w:r>
          </w:p>
        </w:tc>
        <w:tc>
          <w:tcPr>
            <w:tcW w:w="2075" w:type="dxa"/>
          </w:tcPr>
          <w:p>
            <w:pPr>
              <w:spacing w:before="0" w:after="40" w:line="240" w:lineRule="auto"/>
            </w:pPr>
            <w:r>
              <w:rPr>
                <w:sz w:val="18"/>
              </w:rPr>
              <w:t>0,052 ± 0,005</w:t>
            </w:r>
          </w:p>
        </w:tc>
        <w:tc>
          <w:tcPr>
            <w:tcW w:w="2075" w:type="dxa"/>
          </w:tcPr>
          <w:p>
            <w:pPr>
              <w:spacing w:before="0" w:after="40" w:line="240" w:lineRule="auto"/>
            </w:pPr>
            <w:r>
              <w:rPr>
                <w:sz w:val="18"/>
              </w:rPr>
              <w:t>0,844 ± 0,022</w:t>
            </w:r>
          </w:p>
        </w:tc>
      </w:tr>
      <w:tr>
        <w:trPr>
          <w:cantSplit/>
        </w:trPr>
        <w:tc>
          <w:tcPr>
            <w:tcW w:w="2800" w:type="dxa"/>
          </w:tcPr>
          <w:p>
            <w:pPr>
              <w:spacing w:before="0" w:after="40" w:line="240" w:lineRule="auto"/>
            </w:pPr>
            <w:r>
              <w:rPr>
                <w:sz w:val="18"/>
              </w:rPr>
              <w:t>dense / KMeans</w:t>
            </w:r>
          </w:p>
        </w:tc>
        <w:tc>
          <w:tcPr>
            <w:tcW w:w="2076" w:type="dxa"/>
          </w:tcPr>
          <w:p>
            <w:pPr>
              <w:spacing w:before="0" w:after="40" w:line="240" w:lineRule="auto"/>
            </w:pPr>
            <w:r>
              <w:rPr>
                <w:sz w:val="18"/>
              </w:rPr>
              <w:t>0,755 ± 0,023</w:t>
            </w:r>
          </w:p>
        </w:tc>
        <w:tc>
          <w:tcPr>
            <w:tcW w:w="2075" w:type="dxa"/>
          </w:tcPr>
          <w:p>
            <w:pPr>
              <w:spacing w:before="0" w:after="40" w:line="240" w:lineRule="auto"/>
            </w:pPr>
            <w:r>
              <w:rPr>
                <w:sz w:val="18"/>
              </w:rPr>
              <w:t>0,057 ± 0,007</w:t>
            </w:r>
          </w:p>
        </w:tc>
        <w:tc>
          <w:tcPr>
            <w:tcW w:w="2075" w:type="dxa"/>
          </w:tcPr>
          <w:p>
            <w:pPr>
              <w:spacing w:before="0" w:after="40" w:line="240" w:lineRule="auto"/>
            </w:pPr>
            <w:r>
              <w:rPr>
                <w:sz w:val="18"/>
              </w:rPr>
              <w:t>0,824 ± 0,034</w:t>
            </w:r>
          </w:p>
        </w:tc>
      </w:tr>
    </w:tbl>
    <w:p>
      <w:r>
        <w:rPr/>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800"/>
        <w:gridCol w:w="3300"/>
        <w:gridCol w:w="2926"/>
      </w:tblGrid>
      <w:tr>
        <w:trPr>
          <w:cantSplit/>
          <w:tblHeader/>
        </w:trPr>
        <w:tc>
          <w:tcPr>
            <w:tcW w:w="2800" w:type="dxa"/>
            <w:shd w:fill="EDEDED"/>
          </w:tcPr>
          <w:p>
            <w:pPr>
              <w:spacing w:before="0" w:after="40" w:line="240" w:lineRule="auto"/>
            </w:pPr>
            <w:r>
              <w:rPr>
                <w:sz w:val="18"/>
                <w:b/>
              </w:rPr>
              <w:t>Scenario</w:t>
            </w:r>
          </w:p>
        </w:tc>
        <w:tc>
          <w:tcPr>
            <w:tcW w:w="3300" w:type="dxa"/>
            <w:shd w:fill="EDEDED"/>
          </w:tcPr>
          <w:p>
            <w:pPr>
              <w:spacing w:before="0" w:after="40" w:line="240" w:lineRule="auto"/>
            </w:pPr>
            <w:r>
              <w:rPr>
                <w:sz w:val="18"/>
                <w:b/>
              </w:rPr>
              <w:t>Δ F1 macro critica: K-Means − centro unico</w:t>
            </w:r>
          </w:p>
        </w:tc>
        <w:tc>
          <w:tcPr>
            <w:tcW w:w="2926" w:type="dxa"/>
            <w:shd w:fill="EDEDED"/>
          </w:tcPr>
          <w:p>
            <w:pPr>
              <w:spacing w:before="0" w:after="40" w:line="240" w:lineRule="auto"/>
            </w:pPr>
            <w:r>
              <w:rPr>
                <w:sz w:val="18"/>
                <w:b/>
              </w:rPr>
              <w:t>Fold Δ positivo</w:t>
            </w:r>
          </w:p>
        </w:tc>
      </w:tr>
      <w:tr>
        <w:trPr>
          <w:cantSplit/>
        </w:trPr>
        <w:tc>
          <w:tcPr>
            <w:tcW w:w="2800" w:type="dxa"/>
          </w:tcPr>
          <w:p>
            <w:pPr>
              <w:spacing w:before="0" w:after="40" w:line="240" w:lineRule="auto"/>
            </w:pPr>
            <w:r>
              <w:rPr>
                <w:sz w:val="18"/>
              </w:rPr>
              <w:t>standard</w:t>
            </w:r>
          </w:p>
        </w:tc>
        <w:tc>
          <w:tcPr>
            <w:tcW w:w="3300" w:type="dxa"/>
          </w:tcPr>
          <w:p>
            <w:pPr>
              <w:spacing w:before="0" w:after="40" w:line="240" w:lineRule="auto"/>
            </w:pPr>
            <w:r>
              <w:rPr>
                <w:sz w:val="18"/>
              </w:rPr>
              <w:t>+0,016 ± 0,028</w:t>
            </w:r>
          </w:p>
        </w:tc>
        <w:tc>
          <w:tcPr>
            <w:tcW w:w="2926" w:type="dxa"/>
          </w:tcPr>
          <w:p>
            <w:pPr>
              <w:spacing w:before="0" w:after="40" w:line="240" w:lineRule="auto"/>
            </w:pPr>
            <w:r>
              <w:rPr>
                <w:sz w:val="18"/>
              </w:rPr>
              <w:t>7/10</w:t>
            </w:r>
          </w:p>
        </w:tc>
      </w:tr>
      <w:tr>
        <w:trPr>
          <w:cantSplit/>
        </w:trPr>
        <w:tc>
          <w:tcPr>
            <w:tcW w:w="2800" w:type="dxa"/>
          </w:tcPr>
          <w:p>
            <w:pPr>
              <w:spacing w:before="0" w:after="40" w:line="240" w:lineRule="auto"/>
            </w:pPr>
            <w:r>
              <w:rPr>
                <w:sz w:val="18"/>
              </w:rPr>
              <w:t>redundant</w:t>
            </w:r>
          </w:p>
        </w:tc>
        <w:tc>
          <w:tcPr>
            <w:tcW w:w="3300" w:type="dxa"/>
          </w:tcPr>
          <w:p>
            <w:pPr>
              <w:spacing w:before="0" w:after="40" w:line="240" w:lineRule="auto"/>
            </w:pPr>
            <w:r>
              <w:rPr>
                <w:sz w:val="18"/>
              </w:rPr>
              <w:t>+0,015 ± 0,030</w:t>
            </w:r>
          </w:p>
        </w:tc>
        <w:tc>
          <w:tcPr>
            <w:tcW w:w="2926" w:type="dxa"/>
          </w:tcPr>
          <w:p>
            <w:pPr>
              <w:spacing w:before="0" w:after="40" w:line="240" w:lineRule="auto"/>
            </w:pPr>
            <w:r>
              <w:rPr>
                <w:sz w:val="18"/>
              </w:rPr>
              <w:t>6/10</w:t>
            </w:r>
          </w:p>
        </w:tc>
      </w:tr>
      <w:tr>
        <w:trPr>
          <w:cantSplit/>
        </w:trPr>
        <w:tc>
          <w:tcPr>
            <w:tcW w:w="2800" w:type="dxa"/>
          </w:tcPr>
          <w:p>
            <w:pPr>
              <w:spacing w:before="0" w:after="40" w:line="240" w:lineRule="auto"/>
            </w:pPr>
            <w:r>
              <w:rPr>
                <w:sz w:val="18"/>
              </w:rPr>
              <w:t>dense</w:t>
            </w:r>
          </w:p>
        </w:tc>
        <w:tc>
          <w:tcPr>
            <w:tcW w:w="3300" w:type="dxa"/>
          </w:tcPr>
          <w:p>
            <w:pPr>
              <w:spacing w:before="0" w:after="40" w:line="240" w:lineRule="auto"/>
            </w:pPr>
            <w:r>
              <w:rPr>
                <w:sz w:val="18"/>
              </w:rPr>
              <w:t>-0,019 ± 0,044</w:t>
            </w:r>
          </w:p>
        </w:tc>
        <w:tc>
          <w:tcPr>
            <w:tcW w:w="2926" w:type="dxa"/>
          </w:tcPr>
          <w:p>
            <w:pPr>
              <w:spacing w:before="0" w:after="40" w:line="240" w:lineRule="auto"/>
            </w:pPr>
            <w:r>
              <w:rPr>
                <w:sz w:val="18"/>
              </w:rPr>
              <w:t>3/10</w:t>
            </w:r>
          </w:p>
        </w:tc>
      </w:tr>
    </w:tbl>
    <w:p>
      <w:r>
        <w:rPr/>
        <w:t xml:space="preserve">I delta confrontano gli stessi test esterni. Un miglioramento medio piccolo, nullo o negativo limita la convenienza di usare più regimi; non si conclude che il clustering sia sempre necessario. Il suo ruolo nel prototipo è verificare questa ipotesi sul monitoraggio, oltre a produrre gli allarmi del ramo K-Means.</w:t>
      </w:r>
    </w:p>
    <w:p>
      <w:r>
        <w:rPr/>
        <w:t xml:space="preserve">La silhouette seleziona k=2 in tutti i 30 fit, coerentemente con i due modi del generatore; non è una scoperta sul funzionamento di sistemi reali. Rispetto al centro unico, il delta F1 macro critica è +0,016 ± 0,028 in standard, +0,015 ± 0,030 in redundant e −0,019 ± 0,044 in dense. I fold con delta positivo sono 7/10, 6/10 e 3/10. La segmentazione dei regimi offre quindi un vantaggio limitato e non uniforme. Nel grafo denso i falsi allarmi possono propagarsi a più servizi: è un’interpretazione plausibile, non un effetto isolato sperimentalmente.</w:t>
      </w:r>
    </w:p>
    <w:p>
      <w:r>
        <w:rPr/>
        <w:t xml:space="preserve">I profili dei centri per fold sono in results/tables/01_cluster_profiles.csv; la curva media con deviazione standard della silhouette in results/figures/01_silhouette_scores.png. Le predizioni e gli allarmi sono conservati e l’audit li ricostruisce da scaler, centroidi e soglie: controlla separazione di fit/calibrazione/test, effetti nella KB e metriche aggregate. La valutazione su guasti additivi artificiali non dimostra robustezza a drift, guasti silenziosi o a errori nello storico nominale.</w:t>
      </w:r>
    </w:p>
    <w:p>
      <w:r>
        <w:rPr>
          <w:b w:val="1"/>
        </w:rPr>
        <w:t xml:space="preserve">Valutazione esterna: RCAEval RE2-OB</w:t>
      </w:r>
    </w:p>
    <w:p>
      <w:r>
        <w:rPr/>
        <w:t xml:space="preserve">RCAEval [4] fornisce telemetria misurata su applicazioni in esecuzione su Kubernetes, con guasti introdotti sperimentalmente. Si usano tutti i 90 casi RE2-OB di Online Boutique: cinque servizi bersaglio, sei tipi di guasto e tre ripetizioni per combinazione. Sono dati sperimentali di un sistema eseguito, non incidenti spontanei in produzione. La revisione upstream è afeacb11bcc94dadfd1c8f483ee4377b2b8b614e; fonte, licenza MIT e hash sono inclusi in data/external/rcaeval/. Gli estratti comprendono CPU, memoria, socket, workload e latenza al percentile 90: 53–56 colonne per caso, senza selezionare il servizio annotato come causa. Le annotazioni della causa non entrano nei modelli.</w:t>
      </w:r>
    </w:p>
    <w:p>
      <w:r>
        <w:rPr/>
        <w:t xml:space="preserve">Il compito è distinguere il periodo esposto al fault dal funzionamento nominale. Il target è time ≥ inject_time: indica esposizione al guasto iniettato, non prova indisponibilità di un servizio. Non è previsione del futuro né localizzazione della causa. Per ciascun esperimento si adatta un modello al suo storico: dei 720 campioni nominali, 432 addestrano, 144 calibrano e 144 restano nel test, insieme a tutti i campioni successivi all’iniezione. Due casi hanno registrazioni post-iniezione più corte e sono mantenuti. Il protocollo assume uno storico nominale identificabile: il timestamp annotato serve a delimitarlo. Non misura generalizzazione a infrastrutture nuove e non è CV annidata; la CV annidata resta il protocollo degli esperimenti supervisionati sintetici.</w:t>
      </w:r>
    </w:p>
    <w:p>
      <w:r>
        <w:rPr/>
        <w:t xml:space="preserve">I valori non finiti sono imputati con le mediane del solo training; eventuali colonne interamente mancanti nel training vengono escluse. StandardScaler usa solo il training. K-Means sceglie k tra 2 e 7 con silhouette su al massimo 400 campioni di training, n_init=10 e seed=42; a parità di score si preferisce k minore. Il centro unico usa la media del medesimo training. MaxDeviation usa il massimo valore assoluto dei sensori standardizzati. Ogni metodo calibra la propria soglia al percentile 95 dei suoi score nominali nei 144 campioni di calibrazione. Si predice anomalia per score strettamente superiore alla soglia. Nessun parametro è scelto usando gli esiti dei test.</w:t>
      </w:r>
    </w:p>
    <w:p>
      <w:r>
        <w:rPr/>
        <w:t xml:space="preserve">Risultati: media e deviazione standard campionaria tra i 90 esperimenti, ciascuno con uguale peso. I campioni temporali sono correlati; la dispersione descrive i casi del benchmark, non costituisce un intervallo di confidenza o una prova di significatività.</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100"/>
        <w:gridCol w:w="2100"/>
        <w:gridCol w:w="2413"/>
        <w:gridCol w:w="2413"/>
      </w:tblGrid>
      <w:tr>
        <w:trPr>
          <w:cantSplit/>
          <w:tblHeader/>
        </w:trPr>
        <w:tc>
          <w:tcPr>
            <w:tcW w:w="2100" w:type="dxa"/>
            <w:shd w:fill="EDEDED"/>
          </w:tcPr>
          <w:p>
            <w:pPr>
              <w:spacing w:before="0" w:after="40" w:line="240" w:lineRule="auto"/>
            </w:pPr>
            <w:r>
              <w:rPr>
                <w:sz w:val="18"/>
                <w:b/>
              </w:rPr>
              <w:t>Metodo</w:t>
            </w:r>
          </w:p>
        </w:tc>
        <w:tc>
          <w:tcPr>
            <w:tcW w:w="2100" w:type="dxa"/>
            <w:shd w:fill="EDEDED"/>
          </w:tcPr>
          <w:p>
            <w:pPr>
              <w:spacing w:before="0" w:after="40" w:line="240" w:lineRule="auto"/>
            </w:pPr>
            <w:r>
              <w:rPr>
                <w:sz w:val="18"/>
                <w:b/>
              </w:rPr>
              <w:t>F1 macro</w:t>
            </w:r>
          </w:p>
        </w:tc>
        <w:tc>
          <w:tcPr>
            <w:tcW w:w="2413" w:type="dxa"/>
            <w:shd w:fill="EDEDED"/>
          </w:tcPr>
          <w:p>
            <w:pPr>
              <w:spacing w:before="0" w:after="40" w:line="240" w:lineRule="auto"/>
            </w:pPr>
            <w:r>
              <w:rPr>
                <w:sz w:val="18"/>
                <w:b/>
              </w:rPr>
              <w:t>Balanced accuracy</w:t>
            </w:r>
          </w:p>
        </w:tc>
        <w:tc>
          <w:tcPr>
            <w:tcW w:w="2413" w:type="dxa"/>
            <w:shd w:fill="EDEDED"/>
          </w:tcPr>
          <w:p>
            <w:pPr>
              <w:spacing w:before="0" w:after="40" w:line="240" w:lineRule="auto"/>
            </w:pPr>
            <w:r>
              <w:rPr>
                <w:sz w:val="18"/>
                <w:b/>
              </w:rPr>
              <w:t>Falsi allarmi</w:t>
            </w:r>
          </w:p>
        </w:tc>
      </w:tr>
      <w:tr>
        <w:trPr>
          <w:cantSplit/>
        </w:trPr>
        <w:tc>
          <w:tcPr>
            <w:tcW w:w="2100" w:type="dxa"/>
          </w:tcPr>
          <w:p>
            <w:pPr>
              <w:spacing w:before="0" w:after="40" w:line="240" w:lineRule="auto"/>
            </w:pPr>
            <w:r>
              <w:rPr>
                <w:sz w:val="18"/>
              </w:rPr>
              <w:t>SingleCenter</w:t>
            </w:r>
          </w:p>
        </w:tc>
        <w:tc>
          <w:tcPr>
            <w:tcW w:w="2100" w:type="dxa"/>
          </w:tcPr>
          <w:p>
            <w:pPr>
              <w:spacing w:before="0" w:after="40" w:line="240" w:lineRule="auto"/>
            </w:pPr>
            <w:r>
              <w:rPr>
                <w:sz w:val="18"/>
              </w:rPr>
              <w:t>0,922 ± 0,080</w:t>
            </w:r>
          </w:p>
        </w:tc>
        <w:tc>
          <w:tcPr>
            <w:tcW w:w="2413" w:type="dxa"/>
          </w:tcPr>
          <w:p>
            <w:pPr>
              <w:spacing w:before="0" w:after="40" w:line="240" w:lineRule="auto"/>
            </w:pPr>
            <w:r>
              <w:rPr>
                <w:sz w:val="18"/>
              </w:rPr>
              <w:t>0,918 ± 0,095</w:t>
            </w:r>
          </w:p>
        </w:tc>
        <w:tc>
          <w:tcPr>
            <w:tcW w:w="2413" w:type="dxa"/>
          </w:tcPr>
          <w:p>
            <w:pPr>
              <w:spacing w:before="0" w:after="40" w:line="240" w:lineRule="auto"/>
            </w:pPr>
            <w:r>
              <w:rPr>
                <w:sz w:val="18"/>
              </w:rPr>
              <w:t>0,145 ± 0,189</w:t>
            </w:r>
          </w:p>
        </w:tc>
      </w:tr>
      <w:tr>
        <w:trPr>
          <w:cantSplit/>
        </w:trPr>
        <w:tc>
          <w:tcPr>
            <w:tcW w:w="2100" w:type="dxa"/>
          </w:tcPr>
          <w:p>
            <w:pPr>
              <w:spacing w:before="0" w:after="40" w:line="240" w:lineRule="auto"/>
            </w:pPr>
            <w:r>
              <w:rPr>
                <w:sz w:val="18"/>
              </w:rPr>
              <w:t>KMeans</w:t>
            </w:r>
          </w:p>
        </w:tc>
        <w:tc>
          <w:tcPr>
            <w:tcW w:w="2100" w:type="dxa"/>
          </w:tcPr>
          <w:p>
            <w:pPr>
              <w:spacing w:before="0" w:after="40" w:line="240" w:lineRule="auto"/>
            </w:pPr>
            <w:r>
              <w:rPr>
                <w:sz w:val="18"/>
              </w:rPr>
              <w:t>0,926 ± 0,068</w:t>
            </w:r>
          </w:p>
        </w:tc>
        <w:tc>
          <w:tcPr>
            <w:tcW w:w="2413" w:type="dxa"/>
          </w:tcPr>
          <w:p>
            <w:pPr>
              <w:spacing w:before="0" w:after="40" w:line="240" w:lineRule="auto"/>
            </w:pPr>
            <w:r>
              <w:rPr>
                <w:sz w:val="18"/>
              </w:rPr>
              <w:t>0,921 ± 0,087</w:t>
            </w:r>
          </w:p>
        </w:tc>
        <w:tc>
          <w:tcPr>
            <w:tcW w:w="2413" w:type="dxa"/>
          </w:tcPr>
          <w:p>
            <w:pPr>
              <w:spacing w:before="0" w:after="40" w:line="240" w:lineRule="auto"/>
            </w:pPr>
            <w:r>
              <w:rPr>
                <w:sz w:val="18"/>
              </w:rPr>
              <w:t>0,142 ± 0,176</w:t>
            </w:r>
          </w:p>
        </w:tc>
      </w:tr>
      <w:tr>
        <w:trPr>
          <w:cantSplit/>
        </w:trPr>
        <w:tc>
          <w:tcPr>
            <w:tcW w:w="2100" w:type="dxa"/>
          </w:tcPr>
          <w:p>
            <w:pPr>
              <w:spacing w:before="0" w:after="40" w:line="240" w:lineRule="auto"/>
            </w:pPr>
            <w:r>
              <w:rPr>
                <w:sz w:val="18"/>
              </w:rPr>
              <w:t>MaxDeviation</w:t>
            </w:r>
          </w:p>
        </w:tc>
        <w:tc>
          <w:tcPr>
            <w:tcW w:w="2100" w:type="dxa"/>
          </w:tcPr>
          <w:p>
            <w:pPr>
              <w:spacing w:before="0" w:after="40" w:line="240" w:lineRule="auto"/>
            </w:pPr>
            <w:r>
              <w:rPr>
                <w:sz w:val="18"/>
              </w:rPr>
              <w:t>0,916 ± 0,103</w:t>
            </w:r>
          </w:p>
        </w:tc>
        <w:tc>
          <w:tcPr>
            <w:tcW w:w="2413" w:type="dxa"/>
          </w:tcPr>
          <w:p>
            <w:pPr>
              <w:spacing w:before="0" w:after="40" w:line="240" w:lineRule="auto"/>
            </w:pPr>
            <w:r>
              <w:rPr>
                <w:sz w:val="18"/>
              </w:rPr>
              <w:t>0,914 ± 0,112</w:t>
            </w:r>
          </w:p>
        </w:tc>
        <w:tc>
          <w:tcPr>
            <w:tcW w:w="2413" w:type="dxa"/>
          </w:tcPr>
          <w:p>
            <w:pPr>
              <w:spacing w:before="0" w:after="40" w:line="240" w:lineRule="auto"/>
            </w:pPr>
            <w:r>
              <w:rPr>
                <w:sz w:val="18"/>
              </w:rPr>
              <w:t>0,157 ± 0,228</w:t>
            </w:r>
          </w:p>
        </w:tc>
      </w:tr>
    </w:tbl>
    <w:p>
      <w:r>
        <w:rPr/>
        <w:t xml:space="preserve">Il delta appaiato F1 di K-Means rispetto al centro unico è +0.0043 ± 0.0349: 28 casi migliorano, 29 peggiorano e 33 sono pari. Il vantaggio è limitato. I falsi allarmi nominali di K-Means sono circa il 14%, superiori al 5% della calibrazione: la soglia non garantisce lo stesso tasso su segmenti successivi. k=7 è scelto in 67 casi su 90, al limite della griglia: non si assume che i cluster identifichino regimi fisici o che il numero di regimi sia stato determinato definitivamente.</w:t>
      </w:r>
    </w:p>
    <w:p>
      <w:r>
        <w:rPr/>
        <w:t xml:space="preserve">Il grafo delle chiamate nominali supporta un esempio separato di ragionamento. Al primo allarme K-Means del test, si prende il servizio della metrica con maggiore deviazione assoluta standardizzata. Tre regole esterne, in kb/observed_calls.json, derivano percorsi e possibili chiamanti interessati:</w:t>
      </w:r>
    </w:p>
    <w:p>
      <w:r>
        <w:rPr>
          <w:rFonts w:ascii="Consolas" w:hAnsi="Consolas"/>
          <w:sz w:val="18"/>
        </w:rPr>
        <w:t xml:space="preserve">call_path(S,D) :- calls(S,D).</w:t>
        <w:br/>
        <w:t xml:space="preserve">call_path(S,D) :- calls(S,M), call_path(M,D).</w:t>
        <w:br/>
        <w:t xml:space="preserve">possibly_affected(S) :- call_path(S,D), sensor_alarm(D).</w:t>
      </w:r>
    </w:p>
    <w:p>
      <w:r>
        <w:rPr/>
        <w:t xml:space="preserve">Esempio di catena: frontendservice chiama checkoutservice, che chiama paymentservice; un sensor_alarm(paymentservice) rende entrambi possibly_affected. Il nome frontend nelle metriche è mappato esplicitamente a frontendservice nelle tracce. Gli archi sono estratti da tutte le tracce completate prima dell’iniezione: questo esempio è una ricostruzione successiva, non un esperimento di diagnosi online. Il grafo non entra negli score o nelle soglie dei detector. Non si derivano down o critical_down, poiché una chiamata non implica dipendenza obbligatoria. Con N servizi vi sono al massimo N² coppie raggiungibili; la ricorsione positiva termina su fatti finiti. L’audit confronta i possibili chiamanti con una visita indipendente del grafo. Mancano etichette degli effetti su ogni servizio: l’accordo verifica l’implementazione, non dimostra correttezza causale né efficacia delle riparazioni su dati reali.</w:t>
      </w:r>
    </w:p>
    <w:p>
      <w:r>
        <w:rPr/>
        <w:t xml:space="preserve">Sono conservate 230,706 predizioni, modelli, partizioni, metriche per caso e per tipo di fault, più esempi con prove Datalog, in results/external/rcaeval/. La valutazione usa le dipendenze principali e gli estratti inclusi; PyArrow è necessario solo per riscaricare e convertire i Parquet originali. Riproduzione e audit:</w:t>
      </w:r>
    </w:p>
    <w:p>
      <w:r>
        <w:rPr>
          <w:rFonts w:ascii="Consolas" w:hAnsi="Consolas"/>
          <w:sz w:val="18"/>
        </w:rPr>
        <w:t xml:space="preserve">python tools/external/evaluate.py</w:t>
        <w:br/>
        <w:t xml:space="preserve">python tools/external/audit.py</w:t>
      </w:r>
    </w:p>
    <w:p>
      <w:r>
        <w:rPr>
          <w:b w:val="1"/>
        </w:rPr>
        <w:t xml:space="preserve">Valutazione supervisionata sui dataset sintetici</w:t>
      </w:r>
    </w:p>
    <w:p>
      <w:r>
        <w:rPr/>
        <w:t xml:space="preserve">Per il dataset standard si riportano media e deviazione standard campionaria (ddof=1) sui dieci fold esterni, non risultati di un singolo run. Le ripetizioni riusano il dataset: i fold sono correlati e la deviazione standard non è un intervallo di confidenza. F1 macro guida il tuning; balanced accuracy, average precision e Brier descrivono aspetti complementari.</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100"/>
        <w:gridCol w:w="2100"/>
        <w:gridCol w:w="2413"/>
        <w:gridCol w:w="2413"/>
      </w:tblGrid>
      <w:tr>
        <w:trPr>
          <w:cantSplit/>
          <w:tblHeader/>
        </w:trPr>
        <w:tc>
          <w:tcPr>
            <w:tcW w:w="2100" w:type="dxa"/>
            <w:shd w:fill="EDEDED"/>
          </w:tcPr>
          <w:p>
            <w:pPr>
              <w:spacing w:before="0" w:after="40" w:line="240" w:lineRule="auto"/>
            </w:pPr>
            <w:r>
              <w:rPr>
                <w:sz w:val="18"/>
                <w:b/>
              </w:rPr>
              <w:t>Modello</w:t>
            </w:r>
          </w:p>
        </w:tc>
        <w:tc>
          <w:tcPr>
            <w:tcW w:w="2100" w:type="dxa"/>
            <w:shd w:fill="EDEDED"/>
          </w:tcPr>
          <w:p>
            <w:pPr>
              <w:spacing w:before="0" w:after="40" w:line="240" w:lineRule="auto"/>
            </w:pPr>
            <w:r>
              <w:rPr>
                <w:sz w:val="18"/>
                <w:b/>
              </w:rPr>
              <w:t>Feature</w:t>
            </w:r>
          </w:p>
        </w:tc>
        <w:tc>
          <w:tcPr>
            <w:tcW w:w="2413" w:type="dxa"/>
            <w:shd w:fill="EDEDED"/>
          </w:tcPr>
          <w:p>
            <w:pPr>
              <w:spacing w:before="0" w:after="40" w:line="240" w:lineRule="auto"/>
            </w:pPr>
            <w:r>
              <w:rPr>
                <w:sz w:val="18"/>
                <w:b/>
              </w:rPr>
              <w:t>F1 macro</w:t>
            </w:r>
          </w:p>
        </w:tc>
        <w:tc>
          <w:tcPr>
            <w:tcW w:w="2413" w:type="dxa"/>
            <w:shd w:fill="EDEDED"/>
          </w:tcPr>
          <w:p>
            <w:pPr>
              <w:spacing w:before="0" w:after="40" w:line="240" w:lineRule="auto"/>
            </w:pPr>
            <w:r>
              <w:rPr>
                <w:sz w:val="18"/>
                <w:b/>
              </w:rPr>
              <w:t>Balanced accuracy</w:t>
            </w:r>
          </w:p>
        </w:tc>
      </w:tr>
      <w:tr>
        <w:trPr>
          <w:cantSplit/>
        </w:trPr>
        <w:tc>
          <w:tcPr>
            <w:tcW w:w="2100" w:type="dxa"/>
          </w:tcPr>
          <w:p>
            <w:pPr>
              <w:spacing w:before="0" w:after="40" w:line="240" w:lineRule="auto"/>
            </w:pPr>
            <w:r>
              <w:rPr>
                <w:sz w:val="18"/>
              </w:rPr>
              <w:t>Prior</w:t>
            </w:r>
          </w:p>
        </w:tc>
        <w:tc>
          <w:tcPr>
            <w:tcW w:w="2100" w:type="dxa"/>
          </w:tcPr>
          <w:p>
            <w:pPr>
              <w:spacing w:before="0" w:after="40" w:line="240" w:lineRule="auto"/>
            </w:pPr>
            <w:r>
              <w:rPr>
                <w:sz w:val="18"/>
              </w:rPr>
              <w:t>-</w:t>
            </w:r>
          </w:p>
        </w:tc>
        <w:tc>
          <w:tcPr>
            <w:tcW w:w="2413" w:type="dxa"/>
          </w:tcPr>
          <w:p>
            <w:pPr>
              <w:spacing w:before="0" w:after="40" w:line="240" w:lineRule="auto"/>
            </w:pPr>
            <w:r>
              <w:rPr>
                <w:sz w:val="18"/>
              </w:rPr>
              <w:t>0,401 ± 0,012</w:t>
            </w:r>
          </w:p>
        </w:tc>
        <w:tc>
          <w:tcPr>
            <w:tcW w:w="2413" w:type="dxa"/>
          </w:tcPr>
          <w:p>
            <w:pPr>
              <w:spacing w:before="0" w:after="40" w:line="240" w:lineRule="auto"/>
            </w:pPr>
            <w:r>
              <w:rPr>
                <w:sz w:val="18"/>
              </w:rPr>
              <w:t>0,500 ± 0,000</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BASE</w:t>
            </w:r>
          </w:p>
        </w:tc>
        <w:tc>
          <w:tcPr>
            <w:tcW w:w="2413" w:type="dxa"/>
          </w:tcPr>
          <w:p>
            <w:pPr>
              <w:spacing w:before="0" w:after="40" w:line="240" w:lineRule="auto"/>
            </w:pPr>
            <w:r>
              <w:rPr>
                <w:sz w:val="18"/>
              </w:rPr>
              <w:t>0,489 ± 0,048</w:t>
            </w:r>
          </w:p>
        </w:tc>
        <w:tc>
          <w:tcPr>
            <w:tcW w:w="2413" w:type="dxa"/>
          </w:tcPr>
          <w:p>
            <w:pPr>
              <w:spacing w:before="0" w:after="40" w:line="240" w:lineRule="auto"/>
            </w:pPr>
            <w:r>
              <w:rPr>
                <w:sz w:val="18"/>
              </w:rPr>
              <w:t>0,525 ± 0,028</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BASE+KB</w:t>
            </w:r>
          </w:p>
        </w:tc>
        <w:tc>
          <w:tcPr>
            <w:tcW w:w="2413" w:type="dxa"/>
          </w:tcPr>
          <w:p>
            <w:pPr>
              <w:spacing w:before="0" w:after="40" w:line="240" w:lineRule="auto"/>
            </w:pPr>
            <w:r>
              <w:rPr>
                <w:sz w:val="18"/>
              </w:rPr>
              <w:t>0,561 ± 0,026</w:t>
            </w:r>
          </w:p>
        </w:tc>
        <w:tc>
          <w:tcPr>
            <w:tcW w:w="2413" w:type="dxa"/>
          </w:tcPr>
          <w:p>
            <w:pPr>
              <w:spacing w:before="0" w:after="40" w:line="240" w:lineRule="auto"/>
            </w:pPr>
            <w:r>
              <w:rPr>
                <w:sz w:val="18"/>
              </w:rPr>
              <w:t>0,569 ± 0,019</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BASE+LOCAL</w:t>
            </w:r>
          </w:p>
        </w:tc>
        <w:tc>
          <w:tcPr>
            <w:tcW w:w="2413" w:type="dxa"/>
          </w:tcPr>
          <w:p>
            <w:pPr>
              <w:spacing w:before="0" w:after="40" w:line="240" w:lineRule="auto"/>
            </w:pPr>
            <w:r>
              <w:rPr>
                <w:sz w:val="18"/>
              </w:rPr>
              <w:t>0,520 ± 0,035</w:t>
            </w:r>
          </w:p>
        </w:tc>
        <w:tc>
          <w:tcPr>
            <w:tcW w:w="2413" w:type="dxa"/>
          </w:tcPr>
          <w:p>
            <w:pPr>
              <w:spacing w:before="0" w:after="40" w:line="240" w:lineRule="auto"/>
            </w:pPr>
            <w:r>
              <w:rPr>
                <w:sz w:val="18"/>
              </w:rPr>
              <w:t>0,543 ± 0,022</w:t>
            </w:r>
          </w:p>
        </w:tc>
      </w:tr>
      <w:tr>
        <w:trPr>
          <w:cantSplit/>
        </w:trPr>
        <w:tc>
          <w:tcPr>
            <w:tcW w:w="2100" w:type="dxa"/>
          </w:tcPr>
          <w:p>
            <w:pPr>
              <w:spacing w:before="0" w:after="40" w:line="240" w:lineRule="auto"/>
            </w:pPr>
            <w:r>
              <w:rPr>
                <w:sz w:val="18"/>
              </w:rPr>
              <w:t>Sola logica</w:t>
            </w:r>
          </w:p>
        </w:tc>
        <w:tc>
          <w:tcPr>
            <w:tcW w:w="2100" w:type="dxa"/>
          </w:tcPr>
          <w:p>
            <w:pPr>
              <w:spacing w:before="0" w:after="40" w:line="240" w:lineRule="auto"/>
            </w:pPr>
            <w:r>
              <w:rPr>
                <w:sz w:val="18"/>
              </w:rPr>
              <w:t>-</w:t>
            </w:r>
          </w:p>
        </w:tc>
        <w:tc>
          <w:tcPr>
            <w:tcW w:w="2413" w:type="dxa"/>
          </w:tcPr>
          <w:p>
            <w:pPr>
              <w:spacing w:before="0" w:after="40" w:line="240" w:lineRule="auto"/>
            </w:pPr>
            <w:r>
              <w:rPr>
                <w:sz w:val="18"/>
              </w:rPr>
              <w:t>0,627 ± 0,021</w:t>
            </w:r>
          </w:p>
        </w:tc>
        <w:tc>
          <w:tcPr>
            <w:tcW w:w="2413" w:type="dxa"/>
          </w:tcPr>
          <w:p>
            <w:pPr>
              <w:spacing w:before="0" w:after="40" w:line="240" w:lineRule="auto"/>
            </w:pPr>
            <w:r>
              <w:rPr>
                <w:sz w:val="18"/>
              </w:rPr>
              <w:t>0,625 ± 0,021</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BASE</w:t>
            </w:r>
          </w:p>
        </w:tc>
        <w:tc>
          <w:tcPr>
            <w:tcW w:w="2413" w:type="dxa"/>
          </w:tcPr>
          <w:p>
            <w:pPr>
              <w:spacing w:before="0" w:after="40" w:line="240" w:lineRule="auto"/>
            </w:pPr>
            <w:r>
              <w:rPr>
                <w:sz w:val="18"/>
              </w:rPr>
              <w:t>0,573 ± 0,043</w:t>
            </w:r>
          </w:p>
        </w:tc>
        <w:tc>
          <w:tcPr>
            <w:tcW w:w="2413" w:type="dxa"/>
          </w:tcPr>
          <w:p>
            <w:pPr>
              <w:spacing w:before="0" w:after="40" w:line="240" w:lineRule="auto"/>
            </w:pPr>
            <w:r>
              <w:rPr>
                <w:sz w:val="18"/>
              </w:rPr>
              <w:t>0,588 ± 0,049</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BASE+KB</w:t>
            </w:r>
          </w:p>
        </w:tc>
        <w:tc>
          <w:tcPr>
            <w:tcW w:w="2413" w:type="dxa"/>
          </w:tcPr>
          <w:p>
            <w:pPr>
              <w:spacing w:before="0" w:after="40" w:line="240" w:lineRule="auto"/>
            </w:pPr>
            <w:r>
              <w:rPr>
                <w:sz w:val="18"/>
              </w:rPr>
              <w:t>0,615 ± 0,032</w:t>
            </w:r>
          </w:p>
        </w:tc>
        <w:tc>
          <w:tcPr>
            <w:tcW w:w="2413" w:type="dxa"/>
          </w:tcPr>
          <w:p>
            <w:pPr>
              <w:spacing w:before="0" w:after="40" w:line="240" w:lineRule="auto"/>
            </w:pPr>
            <w:r>
              <w:rPr>
                <w:sz w:val="18"/>
              </w:rPr>
              <w:t>0,622 ± 0,034</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BASE+LOCAL</w:t>
            </w:r>
          </w:p>
        </w:tc>
        <w:tc>
          <w:tcPr>
            <w:tcW w:w="2413" w:type="dxa"/>
          </w:tcPr>
          <w:p>
            <w:pPr>
              <w:spacing w:before="0" w:after="40" w:line="240" w:lineRule="auto"/>
            </w:pPr>
            <w:r>
              <w:rPr>
                <w:sz w:val="18"/>
              </w:rPr>
              <w:t>0,602 ± 0,048</w:t>
            </w:r>
          </w:p>
        </w:tc>
        <w:tc>
          <w:tcPr>
            <w:tcW w:w="2413" w:type="dxa"/>
          </w:tcPr>
          <w:p>
            <w:pPr>
              <w:spacing w:before="0" w:after="40" w:line="240" w:lineRule="auto"/>
            </w:pPr>
            <w:r>
              <w:rPr>
                <w:sz w:val="18"/>
              </w:rPr>
              <w:t>0,621 ± 0,056</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BASE</w:t>
            </w:r>
          </w:p>
        </w:tc>
        <w:tc>
          <w:tcPr>
            <w:tcW w:w="2413" w:type="dxa"/>
          </w:tcPr>
          <w:p>
            <w:pPr>
              <w:spacing w:before="0" w:after="40" w:line="240" w:lineRule="auto"/>
            </w:pPr>
            <w:r>
              <w:rPr>
                <w:sz w:val="18"/>
              </w:rPr>
              <w:t>0,543 ± 0,034</w:t>
            </w:r>
          </w:p>
        </w:tc>
        <w:tc>
          <w:tcPr>
            <w:tcW w:w="2413" w:type="dxa"/>
          </w:tcPr>
          <w:p>
            <w:pPr>
              <w:spacing w:before="0" w:after="40" w:line="240" w:lineRule="auto"/>
            </w:pPr>
            <w:r>
              <w:rPr>
                <w:sz w:val="18"/>
              </w:rPr>
              <w:t>0,556 ± 0,024</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BASE+KB</w:t>
            </w:r>
          </w:p>
        </w:tc>
        <w:tc>
          <w:tcPr>
            <w:tcW w:w="2413" w:type="dxa"/>
          </w:tcPr>
          <w:p>
            <w:pPr>
              <w:spacing w:before="0" w:after="40" w:line="240" w:lineRule="auto"/>
            </w:pPr>
            <w:r>
              <w:rPr>
                <w:sz w:val="18"/>
              </w:rPr>
              <w:t>0,574 ± 0,038</w:t>
            </w:r>
          </w:p>
        </w:tc>
        <w:tc>
          <w:tcPr>
            <w:tcW w:w="2413" w:type="dxa"/>
          </w:tcPr>
          <w:p>
            <w:pPr>
              <w:spacing w:before="0" w:after="40" w:line="240" w:lineRule="auto"/>
            </w:pPr>
            <w:r>
              <w:rPr>
                <w:sz w:val="18"/>
              </w:rPr>
              <w:t>0,581 ± 0,028</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BASE+LOCAL</w:t>
            </w:r>
          </w:p>
        </w:tc>
        <w:tc>
          <w:tcPr>
            <w:tcW w:w="2413" w:type="dxa"/>
          </w:tcPr>
          <w:p>
            <w:pPr>
              <w:spacing w:before="0" w:after="40" w:line="240" w:lineRule="auto"/>
            </w:pPr>
            <w:r>
              <w:rPr>
                <w:sz w:val="18"/>
              </w:rPr>
              <w:t>0,536 ± 0,039</w:t>
            </w:r>
          </w:p>
        </w:tc>
        <w:tc>
          <w:tcPr>
            <w:tcW w:w="2413" w:type="dxa"/>
          </w:tcPr>
          <w:p>
            <w:pPr>
              <w:spacing w:before="0" w:after="40" w:line="240" w:lineRule="auto"/>
            </w:pPr>
            <w:r>
              <w:rPr>
                <w:sz w:val="18"/>
              </w:rPr>
              <w:t>0,553 ± 0,025</w:t>
            </w:r>
          </w:p>
        </w:tc>
      </w:tr>
    </w:tbl>
    <w:p>
      <w:r>
        <w:rPr/>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100"/>
        <w:gridCol w:w="2100"/>
        <w:gridCol w:w="2413"/>
        <w:gridCol w:w="2413"/>
      </w:tblGrid>
      <w:tr>
        <w:trPr>
          <w:cantSplit/>
          <w:tblHeader/>
        </w:trPr>
        <w:tc>
          <w:tcPr>
            <w:tcW w:w="2100" w:type="dxa"/>
            <w:shd w:fill="EDEDED"/>
          </w:tcPr>
          <w:p>
            <w:pPr>
              <w:spacing w:before="0" w:after="40" w:line="240" w:lineRule="auto"/>
            </w:pPr>
            <w:r>
              <w:rPr>
                <w:sz w:val="18"/>
                <w:b/>
              </w:rPr>
              <w:t>Modello</w:t>
            </w:r>
          </w:p>
        </w:tc>
        <w:tc>
          <w:tcPr>
            <w:tcW w:w="2100" w:type="dxa"/>
            <w:shd w:fill="EDEDED"/>
          </w:tcPr>
          <w:p>
            <w:pPr>
              <w:spacing w:before="0" w:after="40" w:line="240" w:lineRule="auto"/>
            </w:pPr>
            <w:r>
              <w:rPr>
                <w:sz w:val="18"/>
                <w:b/>
              </w:rPr>
              <w:t>Feature</w:t>
            </w:r>
          </w:p>
        </w:tc>
        <w:tc>
          <w:tcPr>
            <w:tcW w:w="2413" w:type="dxa"/>
            <w:shd w:fill="EDEDED"/>
          </w:tcPr>
          <w:p>
            <w:pPr>
              <w:spacing w:before="0" w:after="40" w:line="240" w:lineRule="auto"/>
            </w:pPr>
            <w:r>
              <w:rPr>
                <w:sz w:val="18"/>
                <w:b/>
              </w:rPr>
              <w:t>Average precision</w:t>
            </w:r>
          </w:p>
        </w:tc>
        <w:tc>
          <w:tcPr>
            <w:tcW w:w="2413" w:type="dxa"/>
            <w:shd w:fill="EDEDED"/>
          </w:tcPr>
          <w:p>
            <w:pPr>
              <w:spacing w:before="0" w:after="40" w:line="240" w:lineRule="auto"/>
            </w:pPr>
            <w:r>
              <w:rPr>
                <w:sz w:val="18"/>
                <w:b/>
              </w:rPr>
              <w:t>Brier</w:t>
            </w:r>
          </w:p>
        </w:tc>
      </w:tr>
      <w:tr>
        <w:trPr>
          <w:cantSplit/>
        </w:trPr>
        <w:tc>
          <w:tcPr>
            <w:tcW w:w="2100" w:type="dxa"/>
          </w:tcPr>
          <w:p>
            <w:pPr>
              <w:spacing w:before="0" w:after="40" w:line="240" w:lineRule="auto"/>
            </w:pPr>
            <w:r>
              <w:rPr>
                <w:sz w:val="18"/>
              </w:rPr>
              <w:t>Prior</w:t>
            </w:r>
          </w:p>
        </w:tc>
        <w:tc>
          <w:tcPr>
            <w:tcW w:w="2100" w:type="dxa"/>
          </w:tcPr>
          <w:p>
            <w:pPr>
              <w:spacing w:before="0" w:after="40" w:line="240" w:lineRule="auto"/>
            </w:pPr>
            <w:r>
              <w:rPr>
                <w:sz w:val="18"/>
              </w:rPr>
              <w:t>-</w:t>
            </w:r>
          </w:p>
        </w:tc>
        <w:tc>
          <w:tcPr>
            <w:tcW w:w="2413" w:type="dxa"/>
          </w:tcPr>
          <w:p>
            <w:pPr>
              <w:spacing w:before="0" w:after="40" w:line="240" w:lineRule="auto"/>
            </w:pPr>
            <w:r>
              <w:rPr>
                <w:sz w:val="18"/>
              </w:rPr>
              <w:t>0,330 ± 0,033</w:t>
            </w:r>
          </w:p>
        </w:tc>
        <w:tc>
          <w:tcPr>
            <w:tcW w:w="2413" w:type="dxa"/>
          </w:tcPr>
          <w:p>
            <w:pPr>
              <w:spacing w:before="0" w:after="40" w:line="240" w:lineRule="auto"/>
            </w:pPr>
            <w:r>
              <w:rPr>
                <w:sz w:val="18"/>
              </w:rPr>
              <w:t>0,222 ± 0,012</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BASE</w:t>
            </w:r>
          </w:p>
        </w:tc>
        <w:tc>
          <w:tcPr>
            <w:tcW w:w="2413" w:type="dxa"/>
          </w:tcPr>
          <w:p>
            <w:pPr>
              <w:spacing w:before="0" w:after="40" w:line="240" w:lineRule="auto"/>
            </w:pPr>
            <w:r>
              <w:rPr>
                <w:sz w:val="18"/>
              </w:rPr>
              <w:t>0,448 ± 0,040</w:t>
            </w:r>
          </w:p>
        </w:tc>
        <w:tc>
          <w:tcPr>
            <w:tcW w:w="2413" w:type="dxa"/>
          </w:tcPr>
          <w:p>
            <w:pPr>
              <w:spacing w:before="0" w:after="40" w:line="240" w:lineRule="auto"/>
            </w:pPr>
            <w:r>
              <w:rPr>
                <w:sz w:val="18"/>
              </w:rPr>
              <w:t>0,217 ± 0,016</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BASE+KB</w:t>
            </w:r>
          </w:p>
        </w:tc>
        <w:tc>
          <w:tcPr>
            <w:tcW w:w="2413" w:type="dxa"/>
          </w:tcPr>
          <w:p>
            <w:pPr>
              <w:spacing w:before="0" w:after="40" w:line="240" w:lineRule="auto"/>
            </w:pPr>
            <w:r>
              <w:rPr>
                <w:sz w:val="18"/>
              </w:rPr>
              <w:t>0,489 ± 0,043</w:t>
            </w:r>
          </w:p>
        </w:tc>
        <w:tc>
          <w:tcPr>
            <w:tcW w:w="2413" w:type="dxa"/>
          </w:tcPr>
          <w:p>
            <w:pPr>
              <w:spacing w:before="0" w:after="40" w:line="240" w:lineRule="auto"/>
            </w:pPr>
            <w:r>
              <w:rPr>
                <w:sz w:val="18"/>
              </w:rPr>
              <w:t>0,211 ± 0,014</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BASE+LOCAL</w:t>
            </w:r>
          </w:p>
        </w:tc>
        <w:tc>
          <w:tcPr>
            <w:tcW w:w="2413" w:type="dxa"/>
          </w:tcPr>
          <w:p>
            <w:pPr>
              <w:spacing w:before="0" w:after="40" w:line="240" w:lineRule="auto"/>
            </w:pPr>
            <w:r>
              <w:rPr>
                <w:sz w:val="18"/>
              </w:rPr>
              <w:t>0,459 ± 0,030</w:t>
            </w:r>
          </w:p>
        </w:tc>
        <w:tc>
          <w:tcPr>
            <w:tcW w:w="2413" w:type="dxa"/>
          </w:tcPr>
          <w:p>
            <w:pPr>
              <w:spacing w:before="0" w:after="40" w:line="240" w:lineRule="auto"/>
            </w:pPr>
            <w:r>
              <w:rPr>
                <w:sz w:val="18"/>
              </w:rPr>
              <w:t>0,216 ± 0,017</w:t>
            </w:r>
          </w:p>
        </w:tc>
      </w:tr>
      <w:tr>
        <w:trPr>
          <w:cantSplit/>
        </w:trPr>
        <w:tc>
          <w:tcPr>
            <w:tcW w:w="2100" w:type="dxa"/>
          </w:tcPr>
          <w:p>
            <w:pPr>
              <w:spacing w:before="0" w:after="40" w:line="240" w:lineRule="auto"/>
            </w:pPr>
            <w:r>
              <w:rPr>
                <w:sz w:val="18"/>
              </w:rPr>
              <w:t>Sola logica</w:t>
            </w:r>
          </w:p>
        </w:tc>
        <w:tc>
          <w:tcPr>
            <w:tcW w:w="2100" w:type="dxa"/>
          </w:tcPr>
          <w:p>
            <w:pPr>
              <w:spacing w:before="0" w:after="40" w:line="240" w:lineRule="auto"/>
            </w:pPr>
            <w:r>
              <w:rPr>
                <w:sz w:val="18"/>
              </w:rPr>
              <w:t>-</w:t>
            </w:r>
          </w:p>
        </w:tc>
        <w:tc>
          <w:tcPr>
            <w:tcW w:w="2413" w:type="dxa"/>
          </w:tcPr>
          <w:p>
            <w:pPr>
              <w:spacing w:before="0" w:after="40" w:line="240" w:lineRule="auto"/>
            </w:pPr>
            <w:r>
              <w:rPr>
                <w:sz w:val="18"/>
              </w:rPr>
              <w:t>0,417 ± 0,041</w:t>
            </w:r>
          </w:p>
        </w:tc>
        <w:tc>
          <w:tcPr>
            <w:tcW w:w="2413" w:type="dxa"/>
          </w:tcPr>
          <w:p>
            <w:pPr>
              <w:spacing w:before="0" w:after="40" w:line="240" w:lineRule="auto"/>
            </w:pPr>
            <w:r>
              <w:rPr>
                <w:sz w:val="18"/>
              </w:rPr>
              <w:t>0,321 ± 0,021</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BASE</w:t>
            </w:r>
          </w:p>
        </w:tc>
        <w:tc>
          <w:tcPr>
            <w:tcW w:w="2413" w:type="dxa"/>
          </w:tcPr>
          <w:p>
            <w:pPr>
              <w:spacing w:before="0" w:after="40" w:line="240" w:lineRule="auto"/>
            </w:pPr>
            <w:r>
              <w:rPr>
                <w:sz w:val="18"/>
              </w:rPr>
              <w:t>0,464 ± 0,029</w:t>
            </w:r>
          </w:p>
        </w:tc>
        <w:tc>
          <w:tcPr>
            <w:tcW w:w="2413" w:type="dxa"/>
          </w:tcPr>
          <w:p>
            <w:pPr>
              <w:spacing w:before="0" w:after="40" w:line="240" w:lineRule="auto"/>
            </w:pPr>
            <w:r>
              <w:rPr>
                <w:sz w:val="18"/>
              </w:rPr>
              <w:t>0,238 ± 0,011</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BASE+KB</w:t>
            </w:r>
          </w:p>
        </w:tc>
        <w:tc>
          <w:tcPr>
            <w:tcW w:w="2413" w:type="dxa"/>
          </w:tcPr>
          <w:p>
            <w:pPr>
              <w:spacing w:before="0" w:after="40" w:line="240" w:lineRule="auto"/>
            </w:pPr>
            <w:r>
              <w:rPr>
                <w:sz w:val="18"/>
              </w:rPr>
              <w:t>0,509 ± 0,045</w:t>
            </w:r>
          </w:p>
        </w:tc>
        <w:tc>
          <w:tcPr>
            <w:tcW w:w="2413" w:type="dxa"/>
          </w:tcPr>
          <w:p>
            <w:pPr>
              <w:spacing w:before="0" w:after="40" w:line="240" w:lineRule="auto"/>
            </w:pPr>
            <w:r>
              <w:rPr>
                <w:sz w:val="18"/>
              </w:rPr>
              <w:t>0,221 ± 0,016</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BASE+LOCAL</w:t>
            </w:r>
          </w:p>
        </w:tc>
        <w:tc>
          <w:tcPr>
            <w:tcW w:w="2413" w:type="dxa"/>
          </w:tcPr>
          <w:p>
            <w:pPr>
              <w:spacing w:before="0" w:after="40" w:line="240" w:lineRule="auto"/>
            </w:pPr>
            <w:r>
              <w:rPr>
                <w:sz w:val="18"/>
              </w:rPr>
              <w:t>0,493 ± 0,042</w:t>
            </w:r>
          </w:p>
        </w:tc>
        <w:tc>
          <w:tcPr>
            <w:tcW w:w="2413" w:type="dxa"/>
          </w:tcPr>
          <w:p>
            <w:pPr>
              <w:spacing w:before="0" w:after="40" w:line="240" w:lineRule="auto"/>
            </w:pPr>
            <w:r>
              <w:rPr>
                <w:sz w:val="18"/>
              </w:rPr>
              <w:t>0,234 ± 0,013</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BASE</w:t>
            </w:r>
          </w:p>
        </w:tc>
        <w:tc>
          <w:tcPr>
            <w:tcW w:w="2413" w:type="dxa"/>
          </w:tcPr>
          <w:p>
            <w:pPr>
              <w:spacing w:before="0" w:after="40" w:line="240" w:lineRule="auto"/>
            </w:pPr>
            <w:r>
              <w:rPr>
                <w:sz w:val="18"/>
              </w:rPr>
              <w:t>0,443 ± 0,048</w:t>
            </w:r>
          </w:p>
        </w:tc>
        <w:tc>
          <w:tcPr>
            <w:tcW w:w="2413" w:type="dxa"/>
          </w:tcPr>
          <w:p>
            <w:pPr>
              <w:spacing w:before="0" w:after="40" w:line="240" w:lineRule="auto"/>
            </w:pPr>
            <w:r>
              <w:rPr>
                <w:sz w:val="18"/>
              </w:rPr>
              <w:t>0,221 ± 0,016</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BASE+KB</w:t>
            </w:r>
          </w:p>
        </w:tc>
        <w:tc>
          <w:tcPr>
            <w:tcW w:w="2413" w:type="dxa"/>
          </w:tcPr>
          <w:p>
            <w:pPr>
              <w:spacing w:before="0" w:after="40" w:line="240" w:lineRule="auto"/>
            </w:pPr>
            <w:r>
              <w:rPr>
                <w:sz w:val="18"/>
              </w:rPr>
              <w:t>0,499 ± 0,053</w:t>
            </w:r>
          </w:p>
        </w:tc>
        <w:tc>
          <w:tcPr>
            <w:tcW w:w="2413" w:type="dxa"/>
          </w:tcPr>
          <w:p>
            <w:pPr>
              <w:spacing w:before="0" w:after="40" w:line="240" w:lineRule="auto"/>
            </w:pPr>
            <w:r>
              <w:rPr>
                <w:sz w:val="18"/>
              </w:rPr>
              <w:t>0,208 ± 0,014</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BASE+LOCAL</w:t>
            </w:r>
          </w:p>
        </w:tc>
        <w:tc>
          <w:tcPr>
            <w:tcW w:w="2413" w:type="dxa"/>
          </w:tcPr>
          <w:p>
            <w:pPr>
              <w:spacing w:before="0" w:after="40" w:line="240" w:lineRule="auto"/>
            </w:pPr>
            <w:r>
              <w:rPr>
                <w:sz w:val="18"/>
              </w:rPr>
              <w:t>0,483 ± 0,034</w:t>
            </w:r>
          </w:p>
        </w:tc>
        <w:tc>
          <w:tcPr>
            <w:tcW w:w="2413" w:type="dxa"/>
          </w:tcPr>
          <w:p>
            <w:pPr>
              <w:spacing w:before="0" w:after="40" w:line="240" w:lineRule="auto"/>
            </w:pPr>
            <w:r>
              <w:rPr>
                <w:sz w:val="18"/>
              </w:rPr>
              <w:t>0,212 ± 0,016</w:t>
            </w:r>
          </w:p>
        </w:tc>
      </w:tr>
    </w:tbl>
    <w:p>
      <w:r>
        <w:rPr/>
        <w:t xml:space="preserve">Per LogicOnly AP e Brier sono calcolati sugli score 0/1, non su probabilità calibrate. Il confronto più informativo per la conoscenza è BASE+KB meno BASE+LOCAL, calcolato sugli stessi split:</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800"/>
        <w:gridCol w:w="3300"/>
        <w:gridCol w:w="2926"/>
      </w:tblGrid>
      <w:tr>
        <w:trPr>
          <w:cantSplit/>
          <w:tblHeader/>
        </w:trPr>
        <w:tc>
          <w:tcPr>
            <w:tcW w:w="2800" w:type="dxa"/>
            <w:shd w:fill="EDEDED"/>
          </w:tcPr>
          <w:p>
            <w:pPr>
              <w:spacing w:before="0" w:after="40" w:line="240" w:lineRule="auto"/>
            </w:pPr>
            <w:r>
              <w:rPr>
                <w:sz w:val="18"/>
                <w:b/>
              </w:rPr>
              <w:t>Modello</w:t>
            </w:r>
          </w:p>
        </w:tc>
        <w:tc>
          <w:tcPr>
            <w:tcW w:w="3300" w:type="dxa"/>
            <w:shd w:fill="EDEDED"/>
          </w:tcPr>
          <w:p>
            <w:pPr>
              <w:spacing w:before="0" w:after="40" w:line="240" w:lineRule="auto"/>
            </w:pPr>
            <w:r>
              <w:rPr>
                <w:sz w:val="18"/>
                <w:b/>
              </w:rPr>
              <w:t>Δ F1 macro, media ± dev. std.</w:t>
            </w:r>
          </w:p>
        </w:tc>
        <w:tc>
          <w:tcPr>
            <w:tcW w:w="2926" w:type="dxa"/>
            <w:shd w:fill="EDEDED"/>
          </w:tcPr>
          <w:p>
            <w:pPr>
              <w:spacing w:before="0" w:after="40" w:line="240" w:lineRule="auto"/>
            </w:pPr>
            <w:r>
              <w:rPr>
                <w:sz w:val="18"/>
                <w:b/>
              </w:rPr>
              <w:t>Fold con Δ positivo</w:t>
            </w:r>
          </w:p>
        </w:tc>
      </w:tr>
      <w:tr>
        <w:trPr>
          <w:cantSplit/>
        </w:trPr>
        <w:tc>
          <w:tcPr>
            <w:tcW w:w="2800" w:type="dxa"/>
          </w:tcPr>
          <w:p>
            <w:pPr>
              <w:spacing w:before="0" w:after="40" w:line="240" w:lineRule="auto"/>
            </w:pPr>
            <w:r>
              <w:rPr>
                <w:sz w:val="18"/>
              </w:rPr>
              <w:t>Logistica</w:t>
            </w:r>
          </w:p>
        </w:tc>
        <w:tc>
          <w:tcPr>
            <w:tcW w:w="3300" w:type="dxa"/>
          </w:tcPr>
          <w:p>
            <w:pPr>
              <w:spacing w:before="0" w:after="40" w:line="240" w:lineRule="auto"/>
            </w:pPr>
            <w:r>
              <w:rPr>
                <w:sz w:val="18"/>
              </w:rPr>
              <w:t>0,013 ± 0,046</w:t>
            </w:r>
          </w:p>
        </w:tc>
        <w:tc>
          <w:tcPr>
            <w:tcW w:w="2926" w:type="dxa"/>
          </w:tcPr>
          <w:p>
            <w:pPr>
              <w:spacing w:before="0" w:after="40" w:line="240" w:lineRule="auto"/>
            </w:pPr>
            <w:r>
              <w:rPr>
                <w:sz w:val="18"/>
              </w:rPr>
              <w:t>7/10</w:t>
            </w:r>
          </w:p>
        </w:tc>
      </w:tr>
      <w:tr>
        <w:trPr>
          <w:cantSplit/>
        </w:trPr>
        <w:tc>
          <w:tcPr>
            <w:tcW w:w="2800" w:type="dxa"/>
          </w:tcPr>
          <w:p>
            <w:pPr>
              <w:spacing w:before="0" w:after="40" w:line="240" w:lineRule="auto"/>
            </w:pPr>
            <w:r>
              <w:rPr>
                <w:sz w:val="18"/>
              </w:rPr>
              <w:t>Random Forest</w:t>
            </w:r>
          </w:p>
        </w:tc>
        <w:tc>
          <w:tcPr>
            <w:tcW w:w="3300" w:type="dxa"/>
          </w:tcPr>
          <w:p>
            <w:pPr>
              <w:spacing w:before="0" w:after="40" w:line="240" w:lineRule="auto"/>
            </w:pPr>
            <w:r>
              <w:rPr>
                <w:sz w:val="18"/>
              </w:rPr>
              <w:t>0,038 ± 0,042</w:t>
            </w:r>
          </w:p>
        </w:tc>
        <w:tc>
          <w:tcPr>
            <w:tcW w:w="2926" w:type="dxa"/>
          </w:tcPr>
          <w:p>
            <w:pPr>
              <w:spacing w:before="0" w:after="40" w:line="240" w:lineRule="auto"/>
            </w:pPr>
            <w:r>
              <w:rPr>
                <w:sz w:val="18"/>
              </w:rPr>
              <w:t>8/10</w:t>
            </w:r>
          </w:p>
        </w:tc>
      </w:tr>
      <w:tr>
        <w:trPr>
          <w:cantSplit/>
        </w:trPr>
        <w:tc>
          <w:tcPr>
            <w:tcW w:w="2800" w:type="dxa"/>
          </w:tcPr>
          <w:p>
            <w:pPr>
              <w:spacing w:before="0" w:after="40" w:line="240" w:lineRule="auto"/>
            </w:pPr>
            <w:r>
              <w:rPr>
                <w:sz w:val="18"/>
              </w:rPr>
              <w:t>Gradient Boosting</w:t>
            </w:r>
          </w:p>
        </w:tc>
        <w:tc>
          <w:tcPr>
            <w:tcW w:w="3300" w:type="dxa"/>
          </w:tcPr>
          <w:p>
            <w:pPr>
              <w:spacing w:before="0" w:after="40" w:line="240" w:lineRule="auto"/>
            </w:pPr>
            <w:r>
              <w:rPr>
                <w:sz w:val="18"/>
              </w:rPr>
              <w:t>0,041 ± 0,035</w:t>
            </w:r>
          </w:p>
        </w:tc>
        <w:tc>
          <w:tcPr>
            <w:tcW w:w="2926" w:type="dxa"/>
          </w:tcPr>
          <w:p>
            <w:pPr>
              <w:spacing w:before="0" w:after="40" w:line="240" w:lineRule="auto"/>
            </w:pPr>
            <w:r>
              <w:rPr>
                <w:sz w:val="18"/>
              </w:rPr>
              <w:t>9/10</w:t>
            </w:r>
          </w:p>
        </w:tc>
      </w:tr>
    </w:tbl>
    <w:p>
      <w:r>
        <w:rPr/>
        <w:t xml:space="preserve">La KB migliora in media i tre classificatori rispetto alle aggregazioni globali: circa 1,3/3,8/4,1 punti percentuali per logistica/foresta/boosting. La variabilità dei delta impedisce di dichiarare un miglioramento garantito o statisticamente significativo. LogicOnly ottiene comunque il migliore F1 medio, 0,627: il progetto non dimostra che l’ibrido ML sia sempre preferibile alla sola logica. La foresta BASE+KB ha il Brier medio più basso fra i classificatori (0,208), mentre la logistica BASE+KB ha AP 0,509; ciò suggerisce utilità degli score graduati senza dimostrare utilità operativa.</w:t>
      </w:r>
    </w:p>
    <w:p>
      <w:r>
        <w:rPr/>
        <w:t xml:space="preserve">Curve: media ± deviazione standard sui test esterni, con configurazioni prefissate e training completo del fold (non i modelli selezionati dalla CV annidata):</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800"/>
        <w:gridCol w:w="3300"/>
        <w:gridCol w:w="2926"/>
      </w:tblGrid>
      <w:tr>
        <w:trPr>
          <w:cantSplit/>
          <w:tblHeader/>
        </w:trPr>
        <w:tc>
          <w:tcPr>
            <w:tcW w:w="2800" w:type="dxa"/>
            <w:shd w:fill="EDEDED"/>
          </w:tcPr>
          <w:p>
            <w:pPr>
              <w:spacing w:before="0" w:after="40" w:line="240" w:lineRule="auto"/>
            </w:pPr>
            <w:r>
              <w:rPr>
                <w:sz w:val="18"/>
                <w:b/>
              </w:rPr>
              <w:t>Modello</w:t>
            </w:r>
          </w:p>
        </w:tc>
        <w:tc>
          <w:tcPr>
            <w:tcW w:w="3300" w:type="dxa"/>
            <w:shd w:fill="EDEDED"/>
          </w:tcPr>
          <w:p>
            <w:pPr>
              <w:spacing w:before="0" w:after="40" w:line="240" w:lineRule="auto"/>
            </w:pPr>
            <w:r>
              <w:rPr>
                <w:sz w:val="18"/>
                <w:b/>
              </w:rPr>
              <w:t>F1 training</w:t>
            </w:r>
          </w:p>
        </w:tc>
        <w:tc>
          <w:tcPr>
            <w:tcW w:w="2926" w:type="dxa"/>
            <w:shd w:fill="EDEDED"/>
          </w:tcPr>
          <w:p>
            <w:pPr>
              <w:spacing w:before="0" w:after="40" w:line="240" w:lineRule="auto"/>
            </w:pPr>
            <w:r>
              <w:rPr>
                <w:sz w:val="18"/>
                <w:b/>
              </w:rPr>
              <w:t>F1 test esterno</w:t>
            </w:r>
          </w:p>
        </w:tc>
      </w:tr>
      <w:tr>
        <w:trPr>
          <w:cantSplit/>
        </w:trPr>
        <w:tc>
          <w:tcPr>
            <w:tcW w:w="2800" w:type="dxa"/>
          </w:tcPr>
          <w:p>
            <w:pPr>
              <w:spacing w:before="0" w:after="40" w:line="240" w:lineRule="auto"/>
            </w:pPr>
            <w:r>
              <w:rPr>
                <w:sz w:val="18"/>
              </w:rPr>
              <w:t>Logistica</w:t>
            </w:r>
          </w:p>
        </w:tc>
        <w:tc>
          <w:tcPr>
            <w:tcW w:w="3300" w:type="dxa"/>
          </w:tcPr>
          <w:p>
            <w:pPr>
              <w:spacing w:before="0" w:after="40" w:line="240" w:lineRule="auto"/>
            </w:pPr>
            <w:r>
              <w:rPr>
                <w:sz w:val="18"/>
              </w:rPr>
              <w:t>0,642 ± 0,008</w:t>
            </w:r>
          </w:p>
        </w:tc>
        <w:tc>
          <w:tcPr>
            <w:tcW w:w="2926" w:type="dxa"/>
          </w:tcPr>
          <w:p>
            <w:pPr>
              <w:spacing w:before="0" w:after="40" w:line="240" w:lineRule="auto"/>
            </w:pPr>
            <w:r>
              <w:rPr>
                <w:sz w:val="18"/>
              </w:rPr>
              <w:t>0,616 ± 0,033</w:t>
            </w:r>
          </w:p>
        </w:tc>
      </w:tr>
      <w:tr>
        <w:trPr>
          <w:cantSplit/>
        </w:trPr>
        <w:tc>
          <w:tcPr>
            <w:tcW w:w="2800" w:type="dxa"/>
          </w:tcPr>
          <w:p>
            <w:pPr>
              <w:spacing w:before="0" w:after="40" w:line="240" w:lineRule="auto"/>
            </w:pPr>
            <w:r>
              <w:rPr>
                <w:sz w:val="18"/>
              </w:rPr>
              <w:t>Random Forest</w:t>
            </w:r>
          </w:p>
        </w:tc>
        <w:tc>
          <w:tcPr>
            <w:tcW w:w="3300" w:type="dxa"/>
          </w:tcPr>
          <w:p>
            <w:pPr>
              <w:spacing w:before="0" w:after="40" w:line="240" w:lineRule="auto"/>
            </w:pPr>
            <w:r>
              <w:rPr>
                <w:sz w:val="18"/>
              </w:rPr>
              <w:t>0,665 ± 0,019</w:t>
            </w:r>
          </w:p>
        </w:tc>
        <w:tc>
          <w:tcPr>
            <w:tcW w:w="2926" w:type="dxa"/>
          </w:tcPr>
          <w:p>
            <w:pPr>
              <w:spacing w:before="0" w:after="40" w:line="240" w:lineRule="auto"/>
            </w:pPr>
            <w:r>
              <w:rPr>
                <w:sz w:val="18"/>
              </w:rPr>
              <w:t>0,555 ± 0,028</w:t>
            </w:r>
          </w:p>
        </w:tc>
      </w:tr>
      <w:tr>
        <w:trPr>
          <w:cantSplit/>
        </w:trPr>
        <w:tc>
          <w:tcPr>
            <w:tcW w:w="2800" w:type="dxa"/>
          </w:tcPr>
          <w:p>
            <w:pPr>
              <w:spacing w:before="0" w:after="40" w:line="240" w:lineRule="auto"/>
            </w:pPr>
            <w:r>
              <w:rPr>
                <w:sz w:val="18"/>
              </w:rPr>
              <w:t>Gradient Boosting</w:t>
            </w:r>
          </w:p>
        </w:tc>
        <w:tc>
          <w:tcPr>
            <w:tcW w:w="3300" w:type="dxa"/>
          </w:tcPr>
          <w:p>
            <w:pPr>
              <w:spacing w:before="0" w:after="40" w:line="240" w:lineRule="auto"/>
            </w:pPr>
            <w:r>
              <w:rPr>
                <w:sz w:val="18"/>
              </w:rPr>
              <w:t>0,648 ± 0,017</w:t>
            </w:r>
          </w:p>
        </w:tc>
        <w:tc>
          <w:tcPr>
            <w:tcW w:w="2926" w:type="dxa"/>
          </w:tcPr>
          <w:p>
            <w:pPr>
              <w:spacing w:before="0" w:after="40" w:line="240" w:lineRule="auto"/>
            </w:pPr>
            <w:r>
              <w:rPr>
                <w:sz w:val="18"/>
              </w:rPr>
              <w:t>0,554 ± 0,034</w:t>
            </w:r>
          </w:p>
        </w:tc>
      </w:tr>
    </w:tbl>
    <w:p>
      <w:r>
        <w:rPr/>
        <w:t xml:space="preserve">I gap medi training/test sono circa 0,026, 0,110 e 0,095: nei modelli ad albero rimane un divario più ampio. La sintesi seguente mostra la feature con maggiore importanza media per ciascun modello; tutte le 17 sono conservate nei CSV:</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800"/>
        <w:gridCol w:w="3300"/>
        <w:gridCol w:w="2926"/>
      </w:tblGrid>
      <w:tr>
        <w:trPr>
          <w:cantSplit/>
          <w:tblHeader/>
        </w:trPr>
        <w:tc>
          <w:tcPr>
            <w:tcW w:w="2800" w:type="dxa"/>
            <w:shd w:fill="EDEDED"/>
          </w:tcPr>
          <w:p>
            <w:pPr>
              <w:spacing w:before="0" w:after="40" w:line="240" w:lineRule="auto"/>
            </w:pPr>
            <w:r>
              <w:rPr>
                <w:sz w:val="18"/>
                <w:b/>
              </w:rPr>
              <w:t>Modello</w:t>
            </w:r>
          </w:p>
        </w:tc>
        <w:tc>
          <w:tcPr>
            <w:tcW w:w="3300" w:type="dxa"/>
            <w:shd w:fill="EDEDED"/>
          </w:tcPr>
          <w:p>
            <w:pPr>
              <w:spacing w:before="0" w:after="40" w:line="240" w:lineRule="auto"/>
            </w:pPr>
            <w:r>
              <w:rPr>
                <w:sz w:val="18"/>
                <w:b/>
              </w:rPr>
              <w:t>Feature</w:t>
            </w:r>
          </w:p>
        </w:tc>
        <w:tc>
          <w:tcPr>
            <w:tcW w:w="2926" w:type="dxa"/>
            <w:shd w:fill="EDEDED"/>
          </w:tcPr>
          <w:p>
            <w:pPr>
              <w:spacing w:before="0" w:after="40" w:line="240" w:lineRule="auto"/>
            </w:pPr>
            <w:r>
              <w:rPr>
                <w:sz w:val="18"/>
                <w:b/>
              </w:rPr>
              <w:t>Riduzione F1 per permutazione</w:t>
            </w:r>
          </w:p>
        </w:tc>
      </w:tr>
      <w:tr>
        <w:trPr>
          <w:cantSplit/>
        </w:trPr>
        <w:tc>
          <w:tcPr>
            <w:tcW w:w="2800" w:type="dxa"/>
          </w:tcPr>
          <w:p>
            <w:pPr>
              <w:spacing w:before="0" w:after="40" w:line="240" w:lineRule="auto"/>
            </w:pPr>
            <w:r>
              <w:rPr>
                <w:sz w:val="18"/>
              </w:rPr>
              <w:t>Logistica</w:t>
            </w:r>
          </w:p>
        </w:tc>
        <w:tc>
          <w:tcPr>
            <w:tcW w:w="3300" w:type="dxa"/>
          </w:tcPr>
          <w:p>
            <w:pPr>
              <w:spacing w:before="0" w:after="40" w:line="240" w:lineRule="auto"/>
            </w:pPr>
            <w:r>
              <w:rPr>
                <w:sz w:val="18"/>
              </w:rPr>
              <w:t>root_down</w:t>
            </w:r>
          </w:p>
        </w:tc>
        <w:tc>
          <w:tcPr>
            <w:tcW w:w="2926" w:type="dxa"/>
          </w:tcPr>
          <w:p>
            <w:pPr>
              <w:spacing w:before="0" w:after="40" w:line="240" w:lineRule="auto"/>
            </w:pPr>
            <w:r>
              <w:rPr>
                <w:sz w:val="18"/>
              </w:rPr>
              <w:t>0,064 ± 0,023</w:t>
            </w:r>
          </w:p>
        </w:tc>
      </w:tr>
      <w:tr>
        <w:trPr>
          <w:cantSplit/>
        </w:trPr>
        <w:tc>
          <w:tcPr>
            <w:tcW w:w="2800" w:type="dxa"/>
          </w:tcPr>
          <w:p>
            <w:pPr>
              <w:spacing w:before="0" w:after="40" w:line="240" w:lineRule="auto"/>
            </w:pPr>
            <w:r>
              <w:rPr>
                <w:sz w:val="18"/>
              </w:rPr>
              <w:t>Random Forest</w:t>
            </w:r>
          </w:p>
        </w:tc>
        <w:tc>
          <w:tcPr>
            <w:tcW w:w="3300" w:type="dxa"/>
          </w:tcPr>
          <w:p>
            <w:pPr>
              <w:spacing w:before="0" w:after="40" w:line="240" w:lineRule="auto"/>
            </w:pPr>
            <w:r>
              <w:rPr>
                <w:sz w:val="18"/>
              </w:rPr>
              <w:t>mean_errors</w:t>
            </w:r>
          </w:p>
        </w:tc>
        <w:tc>
          <w:tcPr>
            <w:tcW w:w="2926" w:type="dxa"/>
          </w:tcPr>
          <w:p>
            <w:pPr>
              <w:spacing w:before="0" w:after="40" w:line="240" w:lineRule="auto"/>
            </w:pPr>
            <w:r>
              <w:rPr>
                <w:sz w:val="18"/>
              </w:rPr>
              <w:t>0,031 ± 0,023</w:t>
            </w:r>
          </w:p>
        </w:tc>
      </w:tr>
      <w:tr>
        <w:trPr>
          <w:cantSplit/>
        </w:trPr>
        <w:tc>
          <w:tcPr>
            <w:tcW w:w="2800" w:type="dxa"/>
          </w:tcPr>
          <w:p>
            <w:pPr>
              <w:spacing w:before="0" w:after="40" w:line="240" w:lineRule="auto"/>
            </w:pPr>
            <w:r>
              <w:rPr>
                <w:sz w:val="18"/>
              </w:rPr>
              <w:t>Gradient Boosting</w:t>
            </w:r>
          </w:p>
        </w:tc>
        <w:tc>
          <w:tcPr>
            <w:tcW w:w="3300" w:type="dxa"/>
          </w:tcPr>
          <w:p>
            <w:pPr>
              <w:spacing w:before="0" w:after="40" w:line="240" w:lineRule="auto"/>
            </w:pPr>
            <w:r>
              <w:rPr>
                <w:sz w:val="18"/>
              </w:rPr>
              <w:t>root_down</w:t>
            </w:r>
          </w:p>
        </w:tc>
        <w:tc>
          <w:tcPr>
            <w:tcW w:w="2926" w:type="dxa"/>
          </w:tcPr>
          <w:p>
            <w:pPr>
              <w:spacing w:before="0" w:after="40" w:line="240" w:lineRule="auto"/>
            </w:pPr>
            <w:r>
              <w:rPr>
                <w:sz w:val="18"/>
              </w:rPr>
              <w:t>0,062 ± 0,030</w:t>
            </w:r>
          </w:p>
        </w:tc>
      </w:tr>
    </w:tbl>
    <w:p>
      <w:r>
        <w:rPr/>
        <w:t xml:space="preserve">Le importanze sono descrittive e non causali: feature correlate possono condividere il contributo, e permutazioni isolate possono violare dipendenze della KB. L’esperimento supervisionato produce 110 valutazioni e 21.120 predizioni; l’audit ne verifica copertura, gruppi e ricostruzione delle metriche. I grafici aggregati sono in results/figures/. Questi valori si riferiscono al dataset standard. La tabella seguente confronta F1 macro, media ± deviazione standard dei dieci test esterni per ciascun dataset; non si mescolano i fold di famiglie differenti:</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500"/>
        <w:gridCol w:w="2176"/>
        <w:gridCol w:w="2175"/>
        <w:gridCol w:w="2175"/>
      </w:tblGrid>
      <w:tr>
        <w:trPr>
          <w:cantSplit/>
          <w:tblHeader/>
        </w:trPr>
        <w:tc>
          <w:tcPr>
            <w:tcW w:w="2500" w:type="dxa"/>
            <w:shd w:fill="EDEDED"/>
          </w:tcPr>
          <w:p>
            <w:pPr>
              <w:spacing w:before="0" w:after="40" w:line="240" w:lineRule="auto"/>
            </w:pPr>
            <w:r>
              <w:rPr>
                <w:sz w:val="18"/>
                <w:b/>
              </w:rPr>
              <w:t>Modello / feature</w:t>
            </w:r>
          </w:p>
        </w:tc>
        <w:tc>
          <w:tcPr>
            <w:tcW w:w="2176" w:type="dxa"/>
            <w:shd w:fill="EDEDED"/>
          </w:tcPr>
          <w:p>
            <w:pPr>
              <w:spacing w:before="0" w:after="40" w:line="240" w:lineRule="auto"/>
            </w:pPr>
            <w:r>
              <w:rPr>
                <w:sz w:val="18"/>
                <w:b/>
              </w:rPr>
              <w:t>standard</w:t>
            </w:r>
          </w:p>
        </w:tc>
        <w:tc>
          <w:tcPr>
            <w:tcW w:w="2175" w:type="dxa"/>
            <w:shd w:fill="EDEDED"/>
          </w:tcPr>
          <w:p>
            <w:pPr>
              <w:spacing w:before="0" w:after="40" w:line="240" w:lineRule="auto"/>
            </w:pPr>
            <w:r>
              <w:rPr>
                <w:sz w:val="18"/>
                <w:b/>
              </w:rPr>
              <w:t>redundant</w:t>
            </w:r>
          </w:p>
        </w:tc>
        <w:tc>
          <w:tcPr>
            <w:tcW w:w="2175" w:type="dxa"/>
            <w:shd w:fill="EDEDED"/>
          </w:tcPr>
          <w:p>
            <w:pPr>
              <w:spacing w:before="0" w:after="40" w:line="240" w:lineRule="auto"/>
            </w:pPr>
            <w:r>
              <w:rPr>
                <w:sz w:val="18"/>
                <w:b/>
              </w:rPr>
              <w:t>dense</w:t>
            </w:r>
          </w:p>
        </w:tc>
      </w:tr>
      <w:tr>
        <w:trPr>
          <w:cantSplit/>
        </w:trPr>
        <w:tc>
          <w:tcPr>
            <w:tcW w:w="2500" w:type="dxa"/>
          </w:tcPr>
          <w:p>
            <w:pPr>
              <w:spacing w:before="0" w:after="40" w:line="240" w:lineRule="auto"/>
            </w:pPr>
            <w:r>
              <w:rPr>
                <w:sz w:val="18"/>
              </w:rPr>
              <w:t>Prior / -</w:t>
            </w:r>
          </w:p>
        </w:tc>
        <w:tc>
          <w:tcPr>
            <w:tcW w:w="2176" w:type="dxa"/>
          </w:tcPr>
          <w:p>
            <w:pPr>
              <w:spacing w:before="0" w:after="40" w:line="240" w:lineRule="auto"/>
            </w:pPr>
            <w:r>
              <w:rPr>
                <w:sz w:val="18"/>
              </w:rPr>
              <w:t>0,401 ± 0,012</w:t>
            </w:r>
          </w:p>
        </w:tc>
        <w:tc>
          <w:tcPr>
            <w:tcW w:w="2175" w:type="dxa"/>
          </w:tcPr>
          <w:p>
            <w:pPr>
              <w:spacing w:before="0" w:after="40" w:line="240" w:lineRule="auto"/>
            </w:pPr>
            <w:r>
              <w:rPr>
                <w:sz w:val="18"/>
              </w:rPr>
              <w:t>0,441 ± 0,011</w:t>
            </w:r>
          </w:p>
        </w:tc>
        <w:tc>
          <w:tcPr>
            <w:tcW w:w="2175" w:type="dxa"/>
          </w:tcPr>
          <w:p>
            <w:pPr>
              <w:spacing w:before="0" w:after="40" w:line="240" w:lineRule="auto"/>
            </w:pPr>
            <w:r>
              <w:rPr>
                <w:sz w:val="18"/>
              </w:rPr>
              <w:t>0,367 ± 0,013</w:t>
            </w:r>
          </w:p>
        </w:tc>
      </w:tr>
      <w:tr>
        <w:trPr>
          <w:cantSplit/>
        </w:trPr>
        <w:tc>
          <w:tcPr>
            <w:tcW w:w="2500" w:type="dxa"/>
          </w:tcPr>
          <w:p>
            <w:pPr>
              <w:spacing w:before="0" w:after="40" w:line="240" w:lineRule="auto"/>
            </w:pPr>
            <w:r>
              <w:rPr>
                <w:sz w:val="18"/>
              </w:rPr>
              <w:t>Gradient Boosting / BASE</w:t>
            </w:r>
          </w:p>
        </w:tc>
        <w:tc>
          <w:tcPr>
            <w:tcW w:w="2176" w:type="dxa"/>
          </w:tcPr>
          <w:p>
            <w:pPr>
              <w:spacing w:before="0" w:after="40" w:line="240" w:lineRule="auto"/>
            </w:pPr>
            <w:r>
              <w:rPr>
                <w:sz w:val="18"/>
              </w:rPr>
              <w:t>0,489 ± 0,048</w:t>
            </w:r>
          </w:p>
        </w:tc>
        <w:tc>
          <w:tcPr>
            <w:tcW w:w="2175" w:type="dxa"/>
          </w:tcPr>
          <w:p>
            <w:pPr>
              <w:spacing w:before="0" w:after="40" w:line="240" w:lineRule="auto"/>
            </w:pPr>
            <w:r>
              <w:rPr>
                <w:sz w:val="18"/>
              </w:rPr>
              <w:t>0,491 ± 0,037</w:t>
            </w:r>
          </w:p>
        </w:tc>
        <w:tc>
          <w:tcPr>
            <w:tcW w:w="2175" w:type="dxa"/>
          </w:tcPr>
          <w:p>
            <w:pPr>
              <w:spacing w:before="0" w:after="40" w:line="240" w:lineRule="auto"/>
            </w:pPr>
            <w:r>
              <w:rPr>
                <w:sz w:val="18"/>
              </w:rPr>
              <w:t>0,551 ± 0,040</w:t>
            </w:r>
          </w:p>
        </w:tc>
      </w:tr>
      <w:tr>
        <w:trPr>
          <w:cantSplit/>
        </w:trPr>
        <w:tc>
          <w:tcPr>
            <w:tcW w:w="2500" w:type="dxa"/>
          </w:tcPr>
          <w:p>
            <w:pPr>
              <w:spacing w:before="0" w:after="40" w:line="240" w:lineRule="auto"/>
            </w:pPr>
            <w:r>
              <w:rPr>
                <w:sz w:val="18"/>
              </w:rPr>
              <w:t>Gradient Boosting / BASE+KB</w:t>
            </w:r>
          </w:p>
        </w:tc>
        <w:tc>
          <w:tcPr>
            <w:tcW w:w="2176" w:type="dxa"/>
          </w:tcPr>
          <w:p>
            <w:pPr>
              <w:spacing w:before="0" w:after="40" w:line="240" w:lineRule="auto"/>
            </w:pPr>
            <w:r>
              <w:rPr>
                <w:sz w:val="18"/>
              </w:rPr>
              <w:t>0,561 ± 0,026</w:t>
            </w:r>
          </w:p>
        </w:tc>
        <w:tc>
          <w:tcPr>
            <w:tcW w:w="2175" w:type="dxa"/>
          </w:tcPr>
          <w:p>
            <w:pPr>
              <w:spacing w:before="0" w:after="40" w:line="240" w:lineRule="auto"/>
            </w:pPr>
            <w:r>
              <w:rPr>
                <w:sz w:val="18"/>
              </w:rPr>
              <w:t>0,476 ± 0,028</w:t>
            </w:r>
          </w:p>
        </w:tc>
        <w:tc>
          <w:tcPr>
            <w:tcW w:w="2175" w:type="dxa"/>
          </w:tcPr>
          <w:p>
            <w:pPr>
              <w:spacing w:before="0" w:after="40" w:line="240" w:lineRule="auto"/>
            </w:pPr>
            <w:r>
              <w:rPr>
                <w:sz w:val="18"/>
              </w:rPr>
              <w:t>0,646 ± 0,041</w:t>
            </w:r>
          </w:p>
        </w:tc>
      </w:tr>
      <w:tr>
        <w:trPr>
          <w:cantSplit/>
        </w:trPr>
        <w:tc>
          <w:tcPr>
            <w:tcW w:w="2500" w:type="dxa"/>
          </w:tcPr>
          <w:p>
            <w:pPr>
              <w:spacing w:before="0" w:after="40" w:line="240" w:lineRule="auto"/>
            </w:pPr>
            <w:r>
              <w:rPr>
                <w:sz w:val="18"/>
              </w:rPr>
              <w:t>Gradient Boosting / BASE+LOCAL</w:t>
            </w:r>
          </w:p>
        </w:tc>
        <w:tc>
          <w:tcPr>
            <w:tcW w:w="2176" w:type="dxa"/>
          </w:tcPr>
          <w:p>
            <w:pPr>
              <w:spacing w:before="0" w:after="40" w:line="240" w:lineRule="auto"/>
            </w:pPr>
            <w:r>
              <w:rPr>
                <w:sz w:val="18"/>
              </w:rPr>
              <w:t>0,520 ± 0,035</w:t>
            </w:r>
          </w:p>
        </w:tc>
        <w:tc>
          <w:tcPr>
            <w:tcW w:w="2175" w:type="dxa"/>
          </w:tcPr>
          <w:p>
            <w:pPr>
              <w:spacing w:before="0" w:after="40" w:line="240" w:lineRule="auto"/>
            </w:pPr>
            <w:r>
              <w:rPr>
                <w:sz w:val="18"/>
              </w:rPr>
              <w:t>0,481 ± 0,041</w:t>
            </w:r>
          </w:p>
        </w:tc>
        <w:tc>
          <w:tcPr>
            <w:tcW w:w="2175" w:type="dxa"/>
          </w:tcPr>
          <w:p>
            <w:pPr>
              <w:spacing w:before="0" w:after="40" w:line="240" w:lineRule="auto"/>
            </w:pPr>
            <w:r>
              <w:rPr>
                <w:sz w:val="18"/>
              </w:rPr>
              <w:t>0,591 ± 0,050</w:t>
            </w:r>
          </w:p>
        </w:tc>
      </w:tr>
      <w:tr>
        <w:trPr>
          <w:cantSplit/>
        </w:trPr>
        <w:tc>
          <w:tcPr>
            <w:tcW w:w="2500" w:type="dxa"/>
          </w:tcPr>
          <w:p>
            <w:pPr>
              <w:spacing w:before="0" w:after="40" w:line="240" w:lineRule="auto"/>
            </w:pPr>
            <w:r>
              <w:rPr>
                <w:sz w:val="18"/>
              </w:rPr>
              <w:t>Sola logica / -</w:t>
            </w:r>
          </w:p>
        </w:tc>
        <w:tc>
          <w:tcPr>
            <w:tcW w:w="2176" w:type="dxa"/>
          </w:tcPr>
          <w:p>
            <w:pPr>
              <w:spacing w:before="0" w:after="40" w:line="240" w:lineRule="auto"/>
            </w:pPr>
            <w:r>
              <w:rPr>
                <w:sz w:val="18"/>
              </w:rPr>
              <w:t>0,627 ± 0,021</w:t>
            </w:r>
          </w:p>
        </w:tc>
        <w:tc>
          <w:tcPr>
            <w:tcW w:w="2175" w:type="dxa"/>
          </w:tcPr>
          <w:p>
            <w:pPr>
              <w:spacing w:before="0" w:after="40" w:line="240" w:lineRule="auto"/>
            </w:pPr>
            <w:r>
              <w:rPr>
                <w:sz w:val="18"/>
              </w:rPr>
              <w:t>0,601 ± 0,053</w:t>
            </w:r>
          </w:p>
        </w:tc>
        <w:tc>
          <w:tcPr>
            <w:tcW w:w="2175" w:type="dxa"/>
          </w:tcPr>
          <w:p>
            <w:pPr>
              <w:spacing w:before="0" w:after="40" w:line="240" w:lineRule="auto"/>
            </w:pPr>
            <w:r>
              <w:rPr>
                <w:sz w:val="18"/>
              </w:rPr>
              <w:t>0,655 ± 0,038</w:t>
            </w:r>
          </w:p>
        </w:tc>
      </w:tr>
      <w:tr>
        <w:trPr>
          <w:cantSplit/>
        </w:trPr>
        <w:tc>
          <w:tcPr>
            <w:tcW w:w="2500" w:type="dxa"/>
          </w:tcPr>
          <w:p>
            <w:pPr>
              <w:spacing w:before="0" w:after="40" w:line="240" w:lineRule="auto"/>
            </w:pPr>
            <w:r>
              <w:rPr>
                <w:sz w:val="18"/>
              </w:rPr>
              <w:t>Logistica / BASE</w:t>
            </w:r>
          </w:p>
        </w:tc>
        <w:tc>
          <w:tcPr>
            <w:tcW w:w="2176" w:type="dxa"/>
          </w:tcPr>
          <w:p>
            <w:pPr>
              <w:spacing w:before="0" w:after="40" w:line="240" w:lineRule="auto"/>
            </w:pPr>
            <w:r>
              <w:rPr>
                <w:sz w:val="18"/>
              </w:rPr>
              <w:t>0,573 ± 0,043</w:t>
            </w:r>
          </w:p>
        </w:tc>
        <w:tc>
          <w:tcPr>
            <w:tcW w:w="2175" w:type="dxa"/>
          </w:tcPr>
          <w:p>
            <w:pPr>
              <w:spacing w:before="0" w:after="40" w:line="240" w:lineRule="auto"/>
            </w:pPr>
            <w:r>
              <w:rPr>
                <w:sz w:val="18"/>
              </w:rPr>
              <w:t>0,581 ± 0,035</w:t>
            </w:r>
          </w:p>
        </w:tc>
        <w:tc>
          <w:tcPr>
            <w:tcW w:w="2175" w:type="dxa"/>
          </w:tcPr>
          <w:p>
            <w:pPr>
              <w:spacing w:before="0" w:after="40" w:line="240" w:lineRule="auto"/>
            </w:pPr>
            <w:r>
              <w:rPr>
                <w:sz w:val="18"/>
              </w:rPr>
              <w:t>0,580 ± 0,044</w:t>
            </w:r>
          </w:p>
        </w:tc>
      </w:tr>
      <w:tr>
        <w:trPr>
          <w:cantSplit/>
        </w:trPr>
        <w:tc>
          <w:tcPr>
            <w:tcW w:w="2500" w:type="dxa"/>
          </w:tcPr>
          <w:p>
            <w:pPr>
              <w:spacing w:before="0" w:after="40" w:line="240" w:lineRule="auto"/>
            </w:pPr>
            <w:r>
              <w:rPr>
                <w:sz w:val="18"/>
              </w:rPr>
              <w:t>Logistica / BASE+KB</w:t>
            </w:r>
          </w:p>
        </w:tc>
        <w:tc>
          <w:tcPr>
            <w:tcW w:w="2176" w:type="dxa"/>
          </w:tcPr>
          <w:p>
            <w:pPr>
              <w:spacing w:before="0" w:after="40" w:line="240" w:lineRule="auto"/>
            </w:pPr>
            <w:r>
              <w:rPr>
                <w:sz w:val="18"/>
              </w:rPr>
              <w:t>0,615 ± 0,032</w:t>
            </w:r>
          </w:p>
        </w:tc>
        <w:tc>
          <w:tcPr>
            <w:tcW w:w="2175" w:type="dxa"/>
          </w:tcPr>
          <w:p>
            <w:pPr>
              <w:spacing w:before="0" w:after="40" w:line="240" w:lineRule="auto"/>
            </w:pPr>
            <w:r>
              <w:rPr>
                <w:sz w:val="18"/>
              </w:rPr>
              <w:t>0,553 ± 0,038</w:t>
            </w:r>
          </w:p>
        </w:tc>
        <w:tc>
          <w:tcPr>
            <w:tcW w:w="2175" w:type="dxa"/>
          </w:tcPr>
          <w:p>
            <w:pPr>
              <w:spacing w:before="0" w:after="40" w:line="240" w:lineRule="auto"/>
            </w:pPr>
            <w:r>
              <w:rPr>
                <w:sz w:val="18"/>
              </w:rPr>
              <w:t>0,665 ± 0,032</w:t>
            </w:r>
          </w:p>
        </w:tc>
      </w:tr>
      <w:tr>
        <w:trPr>
          <w:cantSplit/>
        </w:trPr>
        <w:tc>
          <w:tcPr>
            <w:tcW w:w="2500" w:type="dxa"/>
          </w:tcPr>
          <w:p>
            <w:pPr>
              <w:spacing w:before="0" w:after="40" w:line="240" w:lineRule="auto"/>
            </w:pPr>
            <w:r>
              <w:rPr>
                <w:sz w:val="18"/>
              </w:rPr>
              <w:t>Logistica / BASE+LOCAL</w:t>
            </w:r>
          </w:p>
        </w:tc>
        <w:tc>
          <w:tcPr>
            <w:tcW w:w="2176" w:type="dxa"/>
          </w:tcPr>
          <w:p>
            <w:pPr>
              <w:spacing w:before="0" w:after="40" w:line="240" w:lineRule="auto"/>
            </w:pPr>
            <w:r>
              <w:rPr>
                <w:sz w:val="18"/>
              </w:rPr>
              <w:t>0,602 ± 0,048</w:t>
            </w:r>
          </w:p>
        </w:tc>
        <w:tc>
          <w:tcPr>
            <w:tcW w:w="2175" w:type="dxa"/>
          </w:tcPr>
          <w:p>
            <w:pPr>
              <w:spacing w:before="0" w:after="40" w:line="240" w:lineRule="auto"/>
            </w:pPr>
            <w:r>
              <w:rPr>
                <w:sz w:val="18"/>
              </w:rPr>
              <w:t>0,568 ± 0,031</w:t>
            </w:r>
          </w:p>
        </w:tc>
        <w:tc>
          <w:tcPr>
            <w:tcW w:w="2175" w:type="dxa"/>
          </w:tcPr>
          <w:p>
            <w:pPr>
              <w:spacing w:before="0" w:after="40" w:line="240" w:lineRule="auto"/>
            </w:pPr>
            <w:r>
              <w:rPr>
                <w:sz w:val="18"/>
              </w:rPr>
              <w:t>0,614 ± 0,049</w:t>
            </w:r>
          </w:p>
        </w:tc>
      </w:tr>
      <w:tr>
        <w:trPr>
          <w:cantSplit/>
        </w:trPr>
        <w:tc>
          <w:tcPr>
            <w:tcW w:w="2500" w:type="dxa"/>
          </w:tcPr>
          <w:p>
            <w:pPr>
              <w:spacing w:before="0" w:after="40" w:line="240" w:lineRule="auto"/>
            </w:pPr>
            <w:r>
              <w:rPr>
                <w:sz w:val="18"/>
              </w:rPr>
              <w:t>Random Forest / BASE</w:t>
            </w:r>
          </w:p>
        </w:tc>
        <w:tc>
          <w:tcPr>
            <w:tcW w:w="2176" w:type="dxa"/>
          </w:tcPr>
          <w:p>
            <w:pPr>
              <w:spacing w:before="0" w:after="40" w:line="240" w:lineRule="auto"/>
            </w:pPr>
            <w:r>
              <w:rPr>
                <w:sz w:val="18"/>
              </w:rPr>
              <w:t>0,543 ± 0,034</w:t>
            </w:r>
          </w:p>
        </w:tc>
        <w:tc>
          <w:tcPr>
            <w:tcW w:w="2175" w:type="dxa"/>
          </w:tcPr>
          <w:p>
            <w:pPr>
              <w:spacing w:before="0" w:after="40" w:line="240" w:lineRule="auto"/>
            </w:pPr>
            <w:r>
              <w:rPr>
                <w:sz w:val="18"/>
              </w:rPr>
              <w:t>0,487 ± 0,037</w:t>
            </w:r>
          </w:p>
        </w:tc>
        <w:tc>
          <w:tcPr>
            <w:tcW w:w="2175" w:type="dxa"/>
          </w:tcPr>
          <w:p>
            <w:pPr>
              <w:spacing w:before="0" w:after="40" w:line="240" w:lineRule="auto"/>
            </w:pPr>
            <w:r>
              <w:rPr>
                <w:sz w:val="18"/>
              </w:rPr>
              <w:t>0,555 ± 0,036</w:t>
            </w:r>
          </w:p>
        </w:tc>
      </w:tr>
      <w:tr>
        <w:trPr>
          <w:cantSplit/>
        </w:trPr>
        <w:tc>
          <w:tcPr>
            <w:tcW w:w="2500" w:type="dxa"/>
          </w:tcPr>
          <w:p>
            <w:pPr>
              <w:spacing w:before="0" w:after="40" w:line="240" w:lineRule="auto"/>
            </w:pPr>
            <w:r>
              <w:rPr>
                <w:sz w:val="18"/>
              </w:rPr>
              <w:t>Random Forest / BASE+KB</w:t>
            </w:r>
          </w:p>
        </w:tc>
        <w:tc>
          <w:tcPr>
            <w:tcW w:w="2176" w:type="dxa"/>
          </w:tcPr>
          <w:p>
            <w:pPr>
              <w:spacing w:before="0" w:after="40" w:line="240" w:lineRule="auto"/>
            </w:pPr>
            <w:r>
              <w:rPr>
                <w:sz w:val="18"/>
              </w:rPr>
              <w:t>0,574 ± 0,038</w:t>
            </w:r>
          </w:p>
        </w:tc>
        <w:tc>
          <w:tcPr>
            <w:tcW w:w="2175" w:type="dxa"/>
          </w:tcPr>
          <w:p>
            <w:pPr>
              <w:spacing w:before="0" w:after="40" w:line="240" w:lineRule="auto"/>
            </w:pPr>
            <w:r>
              <w:rPr>
                <w:sz w:val="18"/>
              </w:rPr>
              <w:t>0,501 ± 0,033</w:t>
            </w:r>
          </w:p>
        </w:tc>
        <w:tc>
          <w:tcPr>
            <w:tcW w:w="2175" w:type="dxa"/>
          </w:tcPr>
          <w:p>
            <w:pPr>
              <w:spacing w:before="0" w:after="40" w:line="240" w:lineRule="auto"/>
            </w:pPr>
            <w:r>
              <w:rPr>
                <w:sz w:val="18"/>
              </w:rPr>
              <w:t>0,658 ± 0,039</w:t>
            </w:r>
          </w:p>
        </w:tc>
      </w:tr>
      <w:tr>
        <w:trPr>
          <w:cantSplit/>
        </w:trPr>
        <w:tc>
          <w:tcPr>
            <w:tcW w:w="2500" w:type="dxa"/>
          </w:tcPr>
          <w:p>
            <w:pPr>
              <w:spacing w:before="0" w:after="40" w:line="240" w:lineRule="auto"/>
            </w:pPr>
            <w:r>
              <w:rPr>
                <w:sz w:val="18"/>
              </w:rPr>
              <w:t>Random Forest / BASE+LOCAL</w:t>
            </w:r>
          </w:p>
        </w:tc>
        <w:tc>
          <w:tcPr>
            <w:tcW w:w="2176" w:type="dxa"/>
          </w:tcPr>
          <w:p>
            <w:pPr>
              <w:spacing w:before="0" w:after="40" w:line="240" w:lineRule="auto"/>
            </w:pPr>
            <w:r>
              <w:rPr>
                <w:sz w:val="18"/>
              </w:rPr>
              <w:t>0,536 ± 0,039</w:t>
            </w:r>
          </w:p>
        </w:tc>
        <w:tc>
          <w:tcPr>
            <w:tcW w:w="2175" w:type="dxa"/>
          </w:tcPr>
          <w:p>
            <w:pPr>
              <w:spacing w:before="0" w:after="40" w:line="240" w:lineRule="auto"/>
            </w:pPr>
            <w:r>
              <w:rPr>
                <w:sz w:val="18"/>
              </w:rPr>
              <w:t>0,493 ± 0,025</w:t>
            </w:r>
          </w:p>
        </w:tc>
        <w:tc>
          <w:tcPr>
            <w:tcW w:w="2175" w:type="dxa"/>
          </w:tcPr>
          <w:p>
            <w:pPr>
              <w:spacing w:before="0" w:after="40" w:line="240" w:lineRule="auto"/>
            </w:pPr>
            <w:r>
              <w:rPr>
                <w:sz w:val="18"/>
              </w:rPr>
              <w:t>0,600 ± 0,055</w:t>
            </w:r>
          </w:p>
        </w:tc>
      </w:tr>
    </w:tbl>
    <w:p>
      <w:r>
        <w:rPr/>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100"/>
        <w:gridCol w:w="2100"/>
        <w:gridCol w:w="2413"/>
        <w:gridCol w:w="2413"/>
      </w:tblGrid>
      <w:tr>
        <w:trPr>
          <w:cantSplit/>
          <w:tblHeader/>
        </w:trPr>
        <w:tc>
          <w:tcPr>
            <w:tcW w:w="2100" w:type="dxa"/>
            <w:shd w:fill="EDEDED"/>
          </w:tcPr>
          <w:p>
            <w:pPr>
              <w:spacing w:before="0" w:after="40" w:line="240" w:lineRule="auto"/>
            </w:pPr>
            <w:r>
              <w:rPr>
                <w:sz w:val="18"/>
                <w:b/>
              </w:rPr>
              <w:t>Modello</w:t>
            </w:r>
          </w:p>
        </w:tc>
        <w:tc>
          <w:tcPr>
            <w:tcW w:w="2100" w:type="dxa"/>
            <w:shd w:fill="EDEDED"/>
          </w:tcPr>
          <w:p>
            <w:pPr>
              <w:spacing w:before="0" w:after="40" w:line="240" w:lineRule="auto"/>
            </w:pPr>
            <w:r>
              <w:rPr>
                <w:sz w:val="18"/>
                <w:b/>
              </w:rPr>
              <w:t>Scenario</w:t>
            </w:r>
          </w:p>
        </w:tc>
        <w:tc>
          <w:tcPr>
            <w:tcW w:w="2413" w:type="dxa"/>
            <w:shd w:fill="EDEDED"/>
          </w:tcPr>
          <w:p>
            <w:pPr>
              <w:spacing w:before="0" w:after="40" w:line="240" w:lineRule="auto"/>
            </w:pPr>
            <w:r>
              <w:rPr>
                <w:sz w:val="18"/>
                <w:b/>
              </w:rPr>
              <w:t>Δ KB–LOCAL, F1</w:t>
            </w:r>
          </w:p>
        </w:tc>
        <w:tc>
          <w:tcPr>
            <w:tcW w:w="2413" w:type="dxa"/>
            <w:shd w:fill="EDEDED"/>
          </w:tcPr>
          <w:p>
            <w:pPr>
              <w:spacing w:before="0" w:after="40" w:line="240" w:lineRule="auto"/>
            </w:pPr>
            <w:r>
              <w:rPr>
                <w:sz w:val="18"/>
                <w:b/>
              </w:rPr>
              <w:t>Fold Δ positivo</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standard</w:t>
            </w:r>
          </w:p>
        </w:tc>
        <w:tc>
          <w:tcPr>
            <w:tcW w:w="2413" w:type="dxa"/>
          </w:tcPr>
          <w:p>
            <w:pPr>
              <w:spacing w:before="0" w:after="40" w:line="240" w:lineRule="auto"/>
            </w:pPr>
            <w:r>
              <w:rPr>
                <w:sz w:val="18"/>
              </w:rPr>
              <w:t>0,013 ± 0,046</w:t>
            </w:r>
          </w:p>
        </w:tc>
        <w:tc>
          <w:tcPr>
            <w:tcW w:w="2413" w:type="dxa"/>
          </w:tcPr>
          <w:p>
            <w:pPr>
              <w:spacing w:before="0" w:after="40" w:line="240" w:lineRule="auto"/>
            </w:pPr>
            <w:r>
              <w:rPr>
                <w:sz w:val="18"/>
              </w:rPr>
              <w:t>7/10</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standard</w:t>
            </w:r>
          </w:p>
        </w:tc>
        <w:tc>
          <w:tcPr>
            <w:tcW w:w="2413" w:type="dxa"/>
          </w:tcPr>
          <w:p>
            <w:pPr>
              <w:spacing w:before="0" w:after="40" w:line="240" w:lineRule="auto"/>
            </w:pPr>
            <w:r>
              <w:rPr>
                <w:sz w:val="18"/>
              </w:rPr>
              <w:t>0,038 ± 0,042</w:t>
            </w:r>
          </w:p>
        </w:tc>
        <w:tc>
          <w:tcPr>
            <w:tcW w:w="2413" w:type="dxa"/>
          </w:tcPr>
          <w:p>
            <w:pPr>
              <w:spacing w:before="0" w:after="40" w:line="240" w:lineRule="auto"/>
            </w:pPr>
            <w:r>
              <w:rPr>
                <w:sz w:val="18"/>
              </w:rPr>
              <w:t>8/10</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standard</w:t>
            </w:r>
          </w:p>
        </w:tc>
        <w:tc>
          <w:tcPr>
            <w:tcW w:w="2413" w:type="dxa"/>
          </w:tcPr>
          <w:p>
            <w:pPr>
              <w:spacing w:before="0" w:after="40" w:line="240" w:lineRule="auto"/>
            </w:pPr>
            <w:r>
              <w:rPr>
                <w:sz w:val="18"/>
              </w:rPr>
              <w:t>0,041 ± 0,035</w:t>
            </w:r>
          </w:p>
        </w:tc>
        <w:tc>
          <w:tcPr>
            <w:tcW w:w="2413" w:type="dxa"/>
          </w:tcPr>
          <w:p>
            <w:pPr>
              <w:spacing w:before="0" w:after="40" w:line="240" w:lineRule="auto"/>
            </w:pPr>
            <w:r>
              <w:rPr>
                <w:sz w:val="18"/>
              </w:rPr>
              <w:t>9/10</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redundant</w:t>
            </w:r>
          </w:p>
        </w:tc>
        <w:tc>
          <w:tcPr>
            <w:tcW w:w="2413" w:type="dxa"/>
          </w:tcPr>
          <w:p>
            <w:pPr>
              <w:spacing w:before="0" w:after="40" w:line="240" w:lineRule="auto"/>
            </w:pPr>
            <w:r>
              <w:rPr>
                <w:sz w:val="18"/>
              </w:rPr>
              <w:t>-0,014 ± 0,021</w:t>
            </w:r>
          </w:p>
        </w:tc>
        <w:tc>
          <w:tcPr>
            <w:tcW w:w="2413" w:type="dxa"/>
          </w:tcPr>
          <w:p>
            <w:pPr>
              <w:spacing w:before="0" w:after="40" w:line="240" w:lineRule="auto"/>
            </w:pPr>
            <w:r>
              <w:rPr>
                <w:sz w:val="18"/>
              </w:rPr>
              <w:t>3/10</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redundant</w:t>
            </w:r>
          </w:p>
        </w:tc>
        <w:tc>
          <w:tcPr>
            <w:tcW w:w="2413" w:type="dxa"/>
          </w:tcPr>
          <w:p>
            <w:pPr>
              <w:spacing w:before="0" w:after="40" w:line="240" w:lineRule="auto"/>
            </w:pPr>
            <w:r>
              <w:rPr>
                <w:sz w:val="18"/>
              </w:rPr>
              <w:t>0,007 ± 0,030</w:t>
            </w:r>
          </w:p>
        </w:tc>
        <w:tc>
          <w:tcPr>
            <w:tcW w:w="2413" w:type="dxa"/>
          </w:tcPr>
          <w:p>
            <w:pPr>
              <w:spacing w:before="0" w:after="40" w:line="240" w:lineRule="auto"/>
            </w:pPr>
            <w:r>
              <w:rPr>
                <w:sz w:val="18"/>
              </w:rPr>
              <w:t>4/10</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redundant</w:t>
            </w:r>
          </w:p>
        </w:tc>
        <w:tc>
          <w:tcPr>
            <w:tcW w:w="2413" w:type="dxa"/>
          </w:tcPr>
          <w:p>
            <w:pPr>
              <w:spacing w:before="0" w:after="40" w:line="240" w:lineRule="auto"/>
            </w:pPr>
            <w:r>
              <w:rPr>
                <w:sz w:val="18"/>
              </w:rPr>
              <w:t>-0,005 ± 0,049</w:t>
            </w:r>
          </w:p>
        </w:tc>
        <w:tc>
          <w:tcPr>
            <w:tcW w:w="2413" w:type="dxa"/>
          </w:tcPr>
          <w:p>
            <w:pPr>
              <w:spacing w:before="0" w:after="40" w:line="240" w:lineRule="auto"/>
            </w:pPr>
            <w:r>
              <w:rPr>
                <w:sz w:val="18"/>
              </w:rPr>
              <w:t>4/10</w:t>
            </w:r>
          </w:p>
        </w:tc>
      </w:tr>
      <w:tr>
        <w:trPr>
          <w:cantSplit/>
        </w:trPr>
        <w:tc>
          <w:tcPr>
            <w:tcW w:w="2100" w:type="dxa"/>
          </w:tcPr>
          <w:p>
            <w:pPr>
              <w:spacing w:before="0" w:after="40" w:line="240" w:lineRule="auto"/>
            </w:pPr>
            <w:r>
              <w:rPr>
                <w:sz w:val="18"/>
              </w:rPr>
              <w:t>Logistica</w:t>
            </w:r>
          </w:p>
        </w:tc>
        <w:tc>
          <w:tcPr>
            <w:tcW w:w="2100" w:type="dxa"/>
          </w:tcPr>
          <w:p>
            <w:pPr>
              <w:spacing w:before="0" w:after="40" w:line="240" w:lineRule="auto"/>
            </w:pPr>
            <w:r>
              <w:rPr>
                <w:sz w:val="18"/>
              </w:rPr>
              <w:t>dense</w:t>
            </w:r>
          </w:p>
        </w:tc>
        <w:tc>
          <w:tcPr>
            <w:tcW w:w="2413" w:type="dxa"/>
          </w:tcPr>
          <w:p>
            <w:pPr>
              <w:spacing w:before="0" w:after="40" w:line="240" w:lineRule="auto"/>
            </w:pPr>
            <w:r>
              <w:rPr>
                <w:sz w:val="18"/>
              </w:rPr>
              <w:t>0,052 ± 0,034</w:t>
            </w:r>
          </w:p>
        </w:tc>
        <w:tc>
          <w:tcPr>
            <w:tcW w:w="2413" w:type="dxa"/>
          </w:tcPr>
          <w:p>
            <w:pPr>
              <w:spacing w:before="0" w:after="40" w:line="240" w:lineRule="auto"/>
            </w:pPr>
            <w:r>
              <w:rPr>
                <w:sz w:val="18"/>
              </w:rPr>
              <w:t>9/10</w:t>
            </w:r>
          </w:p>
        </w:tc>
      </w:tr>
      <w:tr>
        <w:trPr>
          <w:cantSplit/>
        </w:trPr>
        <w:tc>
          <w:tcPr>
            <w:tcW w:w="2100" w:type="dxa"/>
          </w:tcPr>
          <w:p>
            <w:pPr>
              <w:spacing w:before="0" w:after="40" w:line="240" w:lineRule="auto"/>
            </w:pPr>
            <w:r>
              <w:rPr>
                <w:sz w:val="18"/>
              </w:rPr>
              <w:t>Random Forest</w:t>
            </w:r>
          </w:p>
        </w:tc>
        <w:tc>
          <w:tcPr>
            <w:tcW w:w="2100" w:type="dxa"/>
          </w:tcPr>
          <w:p>
            <w:pPr>
              <w:spacing w:before="0" w:after="40" w:line="240" w:lineRule="auto"/>
            </w:pPr>
            <w:r>
              <w:rPr>
                <w:sz w:val="18"/>
              </w:rPr>
              <w:t>dense</w:t>
            </w:r>
          </w:p>
        </w:tc>
        <w:tc>
          <w:tcPr>
            <w:tcW w:w="2413" w:type="dxa"/>
          </w:tcPr>
          <w:p>
            <w:pPr>
              <w:spacing w:before="0" w:after="40" w:line="240" w:lineRule="auto"/>
            </w:pPr>
            <w:r>
              <w:rPr>
                <w:sz w:val="18"/>
              </w:rPr>
              <w:t>0,058 ± 0,037</w:t>
            </w:r>
          </w:p>
        </w:tc>
        <w:tc>
          <w:tcPr>
            <w:tcW w:w="2413" w:type="dxa"/>
          </w:tcPr>
          <w:p>
            <w:pPr>
              <w:spacing w:before="0" w:after="40" w:line="240" w:lineRule="auto"/>
            </w:pPr>
            <w:r>
              <w:rPr>
                <w:sz w:val="18"/>
              </w:rPr>
              <w:t>9/10</w:t>
            </w:r>
          </w:p>
        </w:tc>
      </w:tr>
      <w:tr>
        <w:trPr>
          <w:cantSplit/>
        </w:trPr>
        <w:tc>
          <w:tcPr>
            <w:tcW w:w="2100" w:type="dxa"/>
          </w:tcPr>
          <w:p>
            <w:pPr>
              <w:spacing w:before="0" w:after="40" w:line="240" w:lineRule="auto"/>
            </w:pPr>
            <w:r>
              <w:rPr>
                <w:sz w:val="18"/>
              </w:rPr>
              <w:t>Gradient Boosting</w:t>
            </w:r>
          </w:p>
        </w:tc>
        <w:tc>
          <w:tcPr>
            <w:tcW w:w="2100" w:type="dxa"/>
          </w:tcPr>
          <w:p>
            <w:pPr>
              <w:spacing w:before="0" w:after="40" w:line="240" w:lineRule="auto"/>
            </w:pPr>
            <w:r>
              <w:rPr>
                <w:sz w:val="18"/>
              </w:rPr>
              <w:t>dense</w:t>
            </w:r>
          </w:p>
        </w:tc>
        <w:tc>
          <w:tcPr>
            <w:tcW w:w="2413" w:type="dxa"/>
          </w:tcPr>
          <w:p>
            <w:pPr>
              <w:spacing w:before="0" w:after="40" w:line="240" w:lineRule="auto"/>
            </w:pPr>
            <w:r>
              <w:rPr>
                <w:sz w:val="18"/>
              </w:rPr>
              <w:t>0,055 ± 0,045</w:t>
            </w:r>
          </w:p>
        </w:tc>
        <w:tc>
          <w:tcPr>
            <w:tcW w:w="2413" w:type="dxa"/>
          </w:tcPr>
          <w:p>
            <w:pPr>
              <w:spacing w:before="0" w:after="40" w:line="240" w:lineRule="auto"/>
            </w:pPr>
            <w:r>
              <w:rPr>
                <w:sz w:val="18"/>
              </w:rPr>
              <w:t>9/10</w:t>
            </w:r>
          </w:p>
        </w:tc>
      </w:tr>
    </w:tbl>
    <w:p>
      <w:r>
        <w:rPr/>
        <w:t xml:space="preserve">Per le quattro metriche complete si conservano anche le sintesi CSV separate. Il confronto va letto insieme alla prevalenza e al prior: un F1 più alto in un dataset non dimostra che quel modello generalizzi meglio a tutti i contesti. Gli audit dei tre dataset controllano 330 valutazioni supervisionate e 63.360 predizioni esterne.</w:t>
      </w:r>
    </w:p>
    <w:p w14:paraId="76DF4843" w14:textId="1C590F92" w:rsidR="0390B43B" w:rsidRDefault="0390B43B" w:rsidP="0390B43B"/>
    <w:p w14:paraId="14D57359" w14:textId="5848E148" w:rsidR="0390B43B" w:rsidRDefault="0390B43B" w:rsidP="0390B43B"/>
    <w:p w14:paraId="1EB68BB2" w14:textId="78C4967F" w:rsidR="0390B43B" w:rsidRDefault="0390B43B" w:rsidP="0390B43B"/>
    <w:p w14:paraId="15BBB088" w14:textId="30C45C3B" w:rsidR="0390B43B" w:rsidRDefault="0390B43B">
      <w:r>
        <w:br w:type="page"/>
      </w:r>
    </w:p>
    <w:p w14:paraId="7DB23CC5" w14:textId="55E33F18" w:rsidR="0DD3BE42" w:rsidRDefault="0DD3BE42" w:rsidP="0390B43B">
      <w:pPr>
        <w:pStyle w:val="Titolo1"/>
      </w:pPr>
      <w:r>
        <w:lastRenderedPageBreak/>
        <w:t xml:space="preserve">Sezione Argomento </w:t>
      </w:r>
      <w:r w:rsidR="4F6D0AA9">
        <w:t>3</w:t>
      </w:r>
    </w:p>
    <w:p w14:paraId="4281AA47" w14:textId="6CC57FAB" w:rsidR="0390B43B" w:rsidRDefault="0390B43B" w:rsidP="0390B43B"/>
    <w:p w14:paraId="6F4CF2AC" w14:textId="4F9F3F0D" w:rsidR="128494F0" w:rsidRDefault="128494F0" w:rsidP="0390B43B">
      <w:pPr>
        <w:pStyle w:val="Titolo2"/>
      </w:pPr>
      <w:r>
        <w:t>Sommario</w:t>
      </w:r>
    </w:p>
    <w:p w14:paraId="60469765" w14:textId="6C37F427" w:rsidR="128494F0" w:rsidRDefault="128494F0" w:rsidP="0390B43B">
      <w:r>
        <w:rPr/>
        <w:t xml:space="preserve">La rete bayesiana stima P(future_down | evidenza). Contiene sei variabili binarie: future_down, root_errors, mean_errors, root_down, exposed_fraction e degraded_fraction. Le ultime cinque indicano il superamento della mediana del training. Alcuni osservabili derivano dal ragionamento della KB; il target futuro non viene usato come evidenza. Struttura e CPD sono apprese, mentre le query ammettono anche evidenza parziale.</w:t>
      </w:r>
    </w:p>
    <w:p w14:paraId="106CDA12" w14:textId="5EA83E63" w:rsidR="0390B43B" w:rsidRDefault="0390B43B" w:rsidP="0390B43B">
      <w:pPr>
        <w:pStyle w:val="Titolo2"/>
      </w:pPr>
    </w:p>
    <w:p w14:paraId="276F0CF9" w14:textId="43627E81" w:rsidR="128494F0" w:rsidRDefault="128494F0" w:rsidP="0390B43B">
      <w:pPr>
        <w:pStyle w:val="Titolo2"/>
      </w:pPr>
      <w:r>
        <w:t>Strumenti utilizzati</w:t>
      </w:r>
    </w:p>
    <w:p w14:paraId="79F71D72" w14:textId="60F9A20E" w:rsidR="128494F0" w:rsidRDefault="128494F0" w:rsidP="0390B43B">
      <w:r>
        <w:rPr/>
        <w:t xml:space="preserve">NumPy gestisce conteggi e tabelle, SciPy calcoli stabili in logaritmi, scikit-learn la selezione annidata [3]. Il modulo src/servicerescue/bayesian.py implementa ricerca BIC entro un ordine prefissato e inferenza per enumerazione.</w:t>
      </w:r>
    </w:p>
    <w:p w14:paraId="7508C101" w14:textId="1F43B859" w:rsidR="128494F0" w:rsidRDefault="128494F0" w:rsidP="0390B43B">
      <w:r>
        <w:rPr/>
        <w:t xml:space="preserve">L’implementazione compatta espone struttura, soglie, CPD e posteriori di ogni fold in bayesian_networks.json. I test controllano un arco predittivo noto, normalizzazione delle CPD e della congiunta, marginalizzazione, accordo fra query e predizione e assenza di modifiche del discretizzatore durante la previsione.</w:t>
      </w:r>
    </w:p>
    <w:p w14:paraId="457317CC" w14:textId="0B56AE63" w:rsidR="0390B43B" w:rsidRDefault="0390B43B" w:rsidP="0390B43B"/>
    <w:p w14:paraId="2252A2CB" w14:textId="33195B4C" w:rsidR="128494F0" w:rsidRDefault="128494F0" w:rsidP="0390B43B">
      <w:pPr>
        <w:pStyle w:val="Titolo2"/>
      </w:pPr>
      <w:r>
        <w:t>Decisioni di Progetto</w:t>
      </w:r>
    </w:p>
    <w:p w14:paraId="130D2D80" w14:textId="4E02F79B" w:rsidR="128494F0" w:rsidRDefault="128494F0" w:rsidP="0390B43B">
      <w:r>
        <w:rPr/>
        <w:t xml:space="preserve">L’ordine topologico è fissato a priori: il target precede gli osservabili nell’ordine dichiarato. Per ogni nodo si enumerano sottoinsiemi dei predecessori fino al limite dei genitori. Il punteggio locale è log-verosimiglianza multinomiale meno 0,5×numero_parametri×log(N); per un nodo binario con p genitori binari il numero di parametri liberi è 2^p. Il criterio decomponibile consente l’ottimo entro lo spazio vincolato dall’ordine, non fra tutti i DAG possibili.</w:t>
      </w:r>
    </w:p>
    <w:p>
      <w:r>
        <w:rPr/>
        <w:t xml:space="preserve">Le CPD usano smoothing: (conteggio+alpha)/(totale+2×alpha). La griglia interna combina alpha∈{0,5;1;2} e max_parents∈{1;2}, sei configurazioni. Mediane, struttura e parametri sono ristimati a ogni fit interno ed esterno. Gli split sono gli stessi della valutazione supervisionata, con infrastrutture separate e selezione basata su F1 macro. La soglia di decisione rimane 0,5.</w:t>
      </w:r>
    </w:p>
    <w:p>
      <w:r>
        <w:rPr/>
        <w:t xml:space="preserve">Con evidenza completa si valuta la fattorizzazione per entrambe le classi e si normalizza. Con evidenza parziale si enumerano i 64 assegnamenti e si marginalizzano le variabili non osservate. Le CPD positive evitano probabilità nulle senza fallback sulla classe più frequente. Gli archi sono statistici: la posizione del target nell’ordine non identifica cause fisiche.</w:t>
      </w:r>
    </w:p>
    <w:p>
      <w:r>
        <w:rPr/>
        <w:t xml:space="preserve">Con m variabili e al massimo due genitori vengono esaminati O(m³) insiemi candidati; il conteggio richiede O(N) per candidato, oltre alle piccole tabelle. L’inferenza per enumerazione costa O(m·2^m). Il limite a sei variabili rende praticabile l’inferenza esatta, ma restringe lo spazio del modello. Usare feature relazionali aggregate non rende questa rete un modello probabilistico relazionale.</w:t>
      </w:r>
    </w:p>
    <w:p w14:paraId="56F15017" w14:textId="7F2CEFBB" w:rsidR="0390B43B" w:rsidRDefault="0390B43B" w:rsidP="0390B43B"/>
    <w:p w14:paraId="02D8E3BF" w14:textId="2BB3773A" w:rsidR="128494F0" w:rsidRDefault="128494F0" w:rsidP="0390B43B">
      <w:pPr>
        <w:pStyle w:val="Titolo2"/>
      </w:pPr>
      <w:r>
        <w:t>Valutazione</w:t>
      </w:r>
    </w:p>
    <w:p w14:paraId="75C68136" w14:textId="70386451" w:rsidR="128494F0" w:rsidRDefault="128494F0" w:rsidP="0390B43B">
      <w:r>
        <w:rPr/>
        <w:t xml:space="preserve">Risultati della rete sul dataset standard, sui dieci fold esterni con tuning nei rispettivi training. Il numero di archi appresi è 8,5 ± 1,269:</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100"/>
        <w:gridCol w:w="2100"/>
        <w:gridCol w:w="2413"/>
        <w:gridCol w:w="2413"/>
      </w:tblGrid>
      <w:tr>
        <w:trPr>
          <w:cantSplit/>
          <w:tblHeader/>
        </w:trPr>
        <w:tc>
          <w:tcPr>
            <w:tcW w:w="2100" w:type="dxa"/>
            <w:shd w:fill="EDEDED"/>
          </w:tcPr>
          <w:p>
            <w:pPr>
              <w:spacing w:before="0" w:after="40" w:line="240" w:lineRule="auto"/>
            </w:pPr>
            <w:r>
              <w:rPr>
                <w:sz w:val="18"/>
                <w:b/>
              </w:rPr>
              <w:t>F1 macro</w:t>
            </w:r>
          </w:p>
        </w:tc>
        <w:tc>
          <w:tcPr>
            <w:tcW w:w="2100" w:type="dxa"/>
            <w:shd w:fill="EDEDED"/>
          </w:tcPr>
          <w:p>
            <w:pPr>
              <w:spacing w:before="0" w:after="40" w:line="240" w:lineRule="auto"/>
            </w:pPr>
            <w:r>
              <w:rPr>
                <w:sz w:val="18"/>
                <w:b/>
              </w:rPr>
              <w:t>Balanced accuracy</w:t>
            </w:r>
          </w:p>
        </w:tc>
        <w:tc>
          <w:tcPr>
            <w:tcW w:w="2413" w:type="dxa"/>
            <w:shd w:fill="EDEDED"/>
          </w:tcPr>
          <w:p>
            <w:pPr>
              <w:spacing w:before="0" w:after="40" w:line="240" w:lineRule="auto"/>
            </w:pPr>
            <w:r>
              <w:rPr>
                <w:sz w:val="18"/>
                <w:b/>
              </w:rPr>
              <w:t>Average precision</w:t>
            </w:r>
          </w:p>
        </w:tc>
        <w:tc>
          <w:tcPr>
            <w:tcW w:w="2413" w:type="dxa"/>
            <w:shd w:fill="EDEDED"/>
          </w:tcPr>
          <w:p>
            <w:pPr>
              <w:spacing w:before="0" w:after="40" w:line="240" w:lineRule="auto"/>
            </w:pPr>
            <w:r>
              <w:rPr>
                <w:sz w:val="18"/>
                <w:b/>
              </w:rPr>
              <w:t>Brier</w:t>
            </w:r>
          </w:p>
        </w:tc>
      </w:tr>
      <w:tr>
        <w:trPr>
          <w:cantSplit/>
        </w:trPr>
        <w:tc>
          <w:tcPr>
            <w:tcW w:w="2100" w:type="dxa"/>
          </w:tcPr>
          <w:p>
            <w:pPr>
              <w:spacing w:before="0" w:after="40" w:line="240" w:lineRule="auto"/>
            </w:pPr>
            <w:r>
              <w:rPr>
                <w:sz w:val="18"/>
              </w:rPr>
              <w:t>0,401 ± 0,012</w:t>
            </w:r>
          </w:p>
        </w:tc>
        <w:tc>
          <w:tcPr>
            <w:tcW w:w="2100" w:type="dxa"/>
          </w:tcPr>
          <w:p>
            <w:pPr>
              <w:spacing w:before="0" w:after="40" w:line="240" w:lineRule="auto"/>
            </w:pPr>
            <w:r>
              <w:rPr>
                <w:sz w:val="18"/>
              </w:rPr>
              <w:t>0,500 ± 0,000</w:t>
            </w:r>
          </w:p>
        </w:tc>
        <w:tc>
          <w:tcPr>
            <w:tcW w:w="2413" w:type="dxa"/>
          </w:tcPr>
          <w:p>
            <w:pPr>
              <w:spacing w:before="0" w:after="40" w:line="240" w:lineRule="auto"/>
            </w:pPr>
            <w:r>
              <w:rPr>
                <w:sz w:val="18"/>
              </w:rPr>
              <w:t>0,416 ± 0,047</w:t>
            </w:r>
          </w:p>
        </w:tc>
        <w:tc>
          <w:tcPr>
            <w:tcW w:w="2413" w:type="dxa"/>
          </w:tcPr>
          <w:p>
            <w:pPr>
              <w:spacing w:before="0" w:after="40" w:line="240" w:lineRule="auto"/>
            </w:pPr>
            <w:r>
              <w:rPr>
                <w:sz w:val="18"/>
              </w:rPr>
              <w:t>0,216 ± 0,015</w:t>
            </w:r>
          </w:p>
        </w:tc>
      </w:tr>
    </w:tbl>
    <w:p>
      <w:r>
        <w:rPr/>
        <w:t xml:space="preserve">Alla soglia 0,5 la rete predice soltanto la classe maggioritaria: F1 e balanced accuracy coincidono con il prior. Gli score contengono qualche informazione (AP 0,416 e Brier 0,216), ma il modello non discrimina utilmente la classe positiva con la decisione adottata. Struttura vincolata, discretizzazione e aggregazione sono limiti plausibili, non cause isolate sperimentalmente. La soglia resta quella fissata prima della valutazione. Il confronto con classificatori a 17 feature è descrittivo, poiché la rete usa cinque osservabili.</w:t>
      </w:r>
    </w:p>
    <w:p>
      <w:r>
        <w:rPr/>
        <w:t xml:space="preserve">Query esatta con evidenza parziale, aggregata fra le dieci reti di training; si riporta P(future_down=1):</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800"/>
        <w:gridCol w:w="3300"/>
        <w:gridCol w:w="2926"/>
      </w:tblGrid>
      <w:tr>
        <w:trPr>
          <w:cantSplit/>
          <w:tblHeader/>
        </w:trPr>
        <w:tc>
          <w:tcPr>
            <w:tcW w:w="2800" w:type="dxa"/>
            <w:shd w:fill="EDEDED"/>
          </w:tcPr>
          <w:p>
            <w:pPr>
              <w:spacing w:before="0" w:after="40" w:line="240" w:lineRule="auto"/>
            </w:pPr>
            <w:r>
              <w:rPr>
                <w:sz w:val="18"/>
                <w:b/>
              </w:rPr>
              <w:t>Evidenza</w:t>
            </w:r>
          </w:p>
        </w:tc>
        <w:tc>
          <w:tcPr>
            <w:tcW w:w="3300" w:type="dxa"/>
            <w:shd w:fill="EDEDED"/>
          </w:tcPr>
          <w:p>
            <w:pPr>
              <w:spacing w:before="0" w:after="40" w:line="240" w:lineRule="auto"/>
            </w:pPr>
            <w:r>
              <w:rPr>
                <w:sz w:val="18"/>
                <w:b/>
              </w:rPr>
              <w:t>Media</w:t>
            </w:r>
          </w:p>
        </w:tc>
        <w:tc>
          <w:tcPr>
            <w:tcW w:w="2926" w:type="dxa"/>
            <w:shd w:fill="EDEDED"/>
          </w:tcPr>
          <w:p>
            <w:pPr>
              <w:spacing w:before="0" w:after="40" w:line="240" w:lineRule="auto"/>
            </w:pPr>
            <w:r>
              <w:rPr>
                <w:sz w:val="18"/>
                <w:b/>
              </w:rPr>
              <w:t>Dev. standard</w:t>
            </w:r>
          </w:p>
        </w:tc>
      </w:tr>
      <w:tr>
        <w:trPr>
          <w:cantSplit/>
        </w:trPr>
        <w:tc>
          <w:tcPr>
            <w:tcW w:w="2800" w:type="dxa"/>
          </w:tcPr>
          <w:p>
            <w:pPr>
              <w:spacing w:before="0" w:after="40" w:line="240" w:lineRule="auto"/>
            </w:pPr>
            <w:r>
              <w:rPr>
                <w:sz w:val="18"/>
              </w:rPr>
              <w:t>Nessuna</w:t>
            </w:r>
          </w:p>
        </w:tc>
        <w:tc>
          <w:tcPr>
            <w:tcW w:w="3300" w:type="dxa"/>
          </w:tcPr>
          <w:p>
            <w:pPr>
              <w:spacing w:before="0" w:after="40" w:line="240" w:lineRule="auto"/>
            </w:pPr>
            <w:r>
              <w:rPr>
                <w:sz w:val="18"/>
              </w:rPr>
              <w:t>0.330</w:t>
            </w:r>
          </w:p>
        </w:tc>
        <w:tc>
          <w:tcPr>
            <w:tcW w:w="2926" w:type="dxa"/>
          </w:tcPr>
          <w:p>
            <w:pPr>
              <w:spacing w:before="0" w:after="40" w:line="240" w:lineRule="auto"/>
            </w:pPr>
            <w:r>
              <w:rPr>
                <w:sz w:val="18"/>
              </w:rPr>
              <w:t>0.008</w:t>
            </w:r>
          </w:p>
        </w:tc>
      </w:tr>
      <w:tr>
        <w:trPr>
          <w:cantSplit/>
        </w:trPr>
        <w:tc>
          <w:tcPr>
            <w:tcW w:w="2800" w:type="dxa"/>
          </w:tcPr>
          <w:p>
            <w:pPr>
              <w:spacing w:before="0" w:after="40" w:line="240" w:lineRule="auto"/>
            </w:pPr>
            <w:r>
              <w:rPr>
                <w:sz w:val="18"/>
              </w:rPr>
              <w:t>root_down=1, exposed_fraction=1</w:t>
            </w:r>
          </w:p>
        </w:tc>
        <w:tc>
          <w:tcPr>
            <w:tcW w:w="3300" w:type="dxa"/>
          </w:tcPr>
          <w:p>
            <w:pPr>
              <w:spacing w:before="0" w:after="40" w:line="240" w:lineRule="auto"/>
            </w:pPr>
            <w:r>
              <w:rPr>
                <w:sz w:val="18"/>
              </w:rPr>
              <w:t>0.388</w:t>
            </w:r>
          </w:p>
        </w:tc>
        <w:tc>
          <w:tcPr>
            <w:tcW w:w="2926" w:type="dxa"/>
          </w:tcPr>
          <w:p>
            <w:pPr>
              <w:spacing w:before="0" w:after="40" w:line="240" w:lineRule="auto"/>
            </w:pPr>
            <w:r>
              <w:rPr>
                <w:sz w:val="18"/>
              </w:rPr>
              <w:t>0.027</w:t>
            </w:r>
          </w:p>
        </w:tc>
      </w:tr>
    </w:tbl>
    <w:p>
      <w:r>
        <w:rPr/>
        <w:t xml:space="preserve">I valori 1 indicano superamento della mediana del relativo training; le altre tre variabili sono marginalizzate. La variabilità dei posteriori non è una misura di accuratezza dello scenario. Per ogni dataset le 1.920 predizioni della rete sono conservate e auditate, incluse le soglie stimate sul solo training. Le valutazioni aggiuntive usano lo stesso tuning annidato e producono la seguente sintesi per dataset; complessivamente vengono auditate 5.760 predizioni bayesiane:</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1450"/>
        <w:gridCol w:w="1850"/>
        <w:gridCol w:w="1950"/>
        <w:gridCol w:w="1926"/>
        <w:gridCol w:w="1850"/>
      </w:tblGrid>
      <w:tr>
        <w:trPr>
          <w:cantSplit/>
          <w:tblHeader/>
        </w:trPr>
        <w:tc>
          <w:tcPr>
            <w:tcW w:w="1450" w:type="dxa"/>
            <w:shd w:fill="EDEDED"/>
          </w:tcPr>
          <w:p>
            <w:pPr>
              <w:spacing w:before="0" w:after="40" w:line="240" w:lineRule="auto"/>
            </w:pPr>
            <w:r>
              <w:rPr>
                <w:sz w:val="18"/>
                <w:b/>
              </w:rPr>
              <w:t>Scenario</w:t>
            </w:r>
          </w:p>
        </w:tc>
        <w:tc>
          <w:tcPr>
            <w:tcW w:w="1850" w:type="dxa"/>
            <w:shd w:fill="EDEDED"/>
          </w:tcPr>
          <w:p>
            <w:pPr>
              <w:spacing w:before="0" w:after="40" w:line="240" w:lineRule="auto"/>
            </w:pPr>
            <w:r>
              <w:rPr>
                <w:sz w:val="18"/>
                <w:b/>
              </w:rPr>
              <w:t>F1 macro</w:t>
            </w:r>
          </w:p>
        </w:tc>
        <w:tc>
          <w:tcPr>
            <w:tcW w:w="1950" w:type="dxa"/>
            <w:shd w:fill="EDEDED"/>
          </w:tcPr>
          <w:p>
            <w:pPr>
              <w:spacing w:before="0" w:after="40" w:line="240" w:lineRule="auto"/>
            </w:pPr>
            <w:r>
              <w:rPr>
                <w:sz w:val="18"/>
                <w:b/>
              </w:rPr>
              <w:t>Balanced accuracy</w:t>
            </w:r>
          </w:p>
        </w:tc>
        <w:tc>
          <w:tcPr>
            <w:tcW w:w="1926" w:type="dxa"/>
            <w:shd w:fill="EDEDED"/>
          </w:tcPr>
          <w:p>
            <w:pPr>
              <w:spacing w:before="0" w:after="40" w:line="240" w:lineRule="auto"/>
            </w:pPr>
            <w:r>
              <w:rPr>
                <w:sz w:val="18"/>
                <w:b/>
              </w:rPr>
              <w:t>Average precision</w:t>
            </w:r>
          </w:p>
        </w:tc>
        <w:tc>
          <w:tcPr>
            <w:tcW w:w="1850" w:type="dxa"/>
            <w:shd w:fill="EDEDED"/>
          </w:tcPr>
          <w:p>
            <w:pPr>
              <w:spacing w:before="0" w:after="40" w:line="240" w:lineRule="auto"/>
            </w:pPr>
            <w:r>
              <w:rPr>
                <w:sz w:val="18"/>
                <w:b/>
              </w:rPr>
              <w:t>Brier</w:t>
            </w:r>
          </w:p>
        </w:tc>
      </w:tr>
      <w:tr>
        <w:trPr>
          <w:cantSplit/>
        </w:trPr>
        <w:tc>
          <w:tcPr>
            <w:tcW w:w="1450" w:type="dxa"/>
          </w:tcPr>
          <w:p>
            <w:pPr>
              <w:spacing w:before="0" w:after="40" w:line="240" w:lineRule="auto"/>
            </w:pPr>
            <w:r>
              <w:rPr>
                <w:sz w:val="18"/>
              </w:rPr>
              <w:t>standard</w:t>
            </w:r>
          </w:p>
        </w:tc>
        <w:tc>
          <w:tcPr>
            <w:tcW w:w="1850" w:type="dxa"/>
          </w:tcPr>
          <w:p>
            <w:pPr>
              <w:spacing w:before="0" w:after="40" w:line="240" w:lineRule="auto"/>
            </w:pPr>
            <w:r>
              <w:rPr>
                <w:sz w:val="18"/>
              </w:rPr>
              <w:t>0,401 ± 0,012</w:t>
            </w:r>
          </w:p>
        </w:tc>
        <w:tc>
          <w:tcPr>
            <w:tcW w:w="1950" w:type="dxa"/>
          </w:tcPr>
          <w:p>
            <w:pPr>
              <w:spacing w:before="0" w:after="40" w:line="240" w:lineRule="auto"/>
            </w:pPr>
            <w:r>
              <w:rPr>
                <w:sz w:val="18"/>
              </w:rPr>
              <w:t>0,500 ± 0,000</w:t>
            </w:r>
          </w:p>
        </w:tc>
        <w:tc>
          <w:tcPr>
            <w:tcW w:w="1926" w:type="dxa"/>
          </w:tcPr>
          <w:p>
            <w:pPr>
              <w:spacing w:before="0" w:after="40" w:line="240" w:lineRule="auto"/>
            </w:pPr>
            <w:r>
              <w:rPr>
                <w:sz w:val="18"/>
              </w:rPr>
              <w:t>0,416 ± 0,047</w:t>
            </w:r>
          </w:p>
        </w:tc>
        <w:tc>
          <w:tcPr>
            <w:tcW w:w="1850" w:type="dxa"/>
          </w:tcPr>
          <w:p>
            <w:pPr>
              <w:spacing w:before="0" w:after="40" w:line="240" w:lineRule="auto"/>
            </w:pPr>
            <w:r>
              <w:rPr>
                <w:sz w:val="18"/>
              </w:rPr>
              <w:t>0,216 ± 0,015</w:t>
            </w:r>
          </w:p>
        </w:tc>
      </w:tr>
      <w:tr>
        <w:trPr>
          <w:cantSplit/>
        </w:trPr>
        <w:tc>
          <w:tcPr>
            <w:tcW w:w="1450" w:type="dxa"/>
          </w:tcPr>
          <w:p>
            <w:pPr>
              <w:spacing w:before="0" w:after="40" w:line="240" w:lineRule="auto"/>
            </w:pPr>
            <w:r>
              <w:rPr>
                <w:sz w:val="18"/>
              </w:rPr>
              <w:t>redundant</w:t>
            </w:r>
          </w:p>
        </w:tc>
        <w:tc>
          <w:tcPr>
            <w:tcW w:w="1850" w:type="dxa"/>
          </w:tcPr>
          <w:p>
            <w:pPr>
              <w:spacing w:before="0" w:after="40" w:line="240" w:lineRule="auto"/>
            </w:pPr>
            <w:r>
              <w:rPr>
                <w:sz w:val="18"/>
              </w:rPr>
              <w:t>0,441 ± 0,011</w:t>
            </w:r>
          </w:p>
        </w:tc>
        <w:tc>
          <w:tcPr>
            <w:tcW w:w="1950" w:type="dxa"/>
          </w:tcPr>
          <w:p>
            <w:pPr>
              <w:spacing w:before="0" w:after="40" w:line="240" w:lineRule="auto"/>
            </w:pPr>
            <w:r>
              <w:rPr>
                <w:sz w:val="18"/>
              </w:rPr>
              <w:t>0,500 ± 0,000</w:t>
            </w:r>
          </w:p>
        </w:tc>
        <w:tc>
          <w:tcPr>
            <w:tcW w:w="1926" w:type="dxa"/>
          </w:tcPr>
          <w:p>
            <w:pPr>
              <w:spacing w:before="0" w:after="40" w:line="240" w:lineRule="auto"/>
            </w:pPr>
            <w:r>
              <w:rPr>
                <w:sz w:val="18"/>
              </w:rPr>
              <w:t>0,292 ± 0,046</w:t>
            </w:r>
          </w:p>
        </w:tc>
        <w:tc>
          <w:tcPr>
            <w:tcW w:w="1850" w:type="dxa"/>
          </w:tcPr>
          <w:p>
            <w:pPr>
              <w:spacing w:before="0" w:after="40" w:line="240" w:lineRule="auto"/>
            </w:pPr>
            <w:r>
              <w:rPr>
                <w:sz w:val="18"/>
              </w:rPr>
              <w:t>0,159 ± 0,020</w:t>
            </w:r>
          </w:p>
        </w:tc>
      </w:tr>
      <w:tr>
        <w:trPr>
          <w:cantSplit/>
        </w:trPr>
        <w:tc>
          <w:tcPr>
            <w:tcW w:w="1450" w:type="dxa"/>
          </w:tcPr>
          <w:p>
            <w:pPr>
              <w:spacing w:before="0" w:after="40" w:line="240" w:lineRule="auto"/>
            </w:pPr>
            <w:r>
              <w:rPr>
                <w:sz w:val="18"/>
              </w:rPr>
              <w:t>dense</w:t>
            </w:r>
          </w:p>
        </w:tc>
        <w:tc>
          <w:tcPr>
            <w:tcW w:w="1850" w:type="dxa"/>
          </w:tcPr>
          <w:p>
            <w:pPr>
              <w:spacing w:before="0" w:after="40" w:line="240" w:lineRule="auto"/>
            </w:pPr>
            <w:r>
              <w:rPr>
                <w:sz w:val="18"/>
              </w:rPr>
              <w:t>0,578 ± 0,056</w:t>
            </w:r>
          </w:p>
        </w:tc>
        <w:tc>
          <w:tcPr>
            <w:tcW w:w="1950" w:type="dxa"/>
          </w:tcPr>
          <w:p>
            <w:pPr>
              <w:spacing w:before="0" w:after="40" w:line="240" w:lineRule="auto"/>
            </w:pPr>
            <w:r>
              <w:rPr>
                <w:sz w:val="18"/>
              </w:rPr>
              <w:t>0,581 ± 0,053</w:t>
            </w:r>
          </w:p>
        </w:tc>
        <w:tc>
          <w:tcPr>
            <w:tcW w:w="1926" w:type="dxa"/>
          </w:tcPr>
          <w:p>
            <w:pPr>
              <w:spacing w:before="0" w:after="40" w:line="240" w:lineRule="auto"/>
            </w:pPr>
            <w:r>
              <w:rPr>
                <w:sz w:val="18"/>
              </w:rPr>
              <w:t>0,668 ± 0,041</w:t>
            </w:r>
          </w:p>
        </w:tc>
        <w:tc>
          <w:tcPr>
            <w:tcW w:w="1850" w:type="dxa"/>
          </w:tcPr>
          <w:p>
            <w:pPr>
              <w:spacing w:before="0" w:after="40" w:line="240" w:lineRule="auto"/>
            </w:pPr>
            <w:r>
              <w:rPr>
                <w:sz w:val="18"/>
              </w:rPr>
              <w:t>0,237 ± 0,013</w:t>
            </w:r>
          </w:p>
        </w:tc>
      </w:tr>
    </w:tbl>
    <w:p w14:paraId="41A7B225" w14:textId="0C65EDF9" w:rsidR="0390B43B" w:rsidRDefault="0390B43B" w:rsidP="0390B43B"/>
    <w:p w14:paraId="504B00F1" w14:textId="2DA6B0FA" w:rsidR="0390B43B" w:rsidRDefault="0390B43B" w:rsidP="0390B43B"/>
    <w:p w14:paraId="0CB8E762" w14:textId="2CBBB07C" w:rsidR="0390B43B" w:rsidRDefault="0390B43B" w:rsidP="0390B43B"/>
    <w:p w14:paraId="44852D67" w14:textId="55D00F9E" w:rsidR="0390B43B" w:rsidRDefault="0390B43B"/>
    <w:p w14:paraId="2680A149" w14:textId="56C6EE90" w:rsidR="0390B43B" w:rsidRDefault="0390B43B">
      <w:r>
        <w:br w:type="page"/>
      </w:r>
    </w:p>
    <w:p w14:paraId="4B7A70B8" w14:textId="12C21998" w:rsidR="159216E3" w:rsidRDefault="159216E3" w:rsidP="0390B43B">
      <w:pPr>
        <w:pStyle w:val="Titolo1"/>
      </w:pPr>
      <w:r>
        <w:lastRenderedPageBreak/>
        <w:t>Conclusioni</w:t>
      </w:r>
    </w:p>
    <w:p w14:paraId="705F4EE1" w14:textId="3E0254E1" w:rsidR="159216E3" w:rsidRDefault="159216E3" w:rsidP="0390B43B">
      <w:r>
        <w:rPr/>
        <w:t xml:space="preserve">Il contributo più solido è la KB condivisa per deduzioni spiegabili e verifica degli stati nella ricerca: accordo completo dei motori sui casi valutati e piani UCS ottimi rispetto all’oracolo esaustivo. Nel dataset standard la BK migliora in media i tre classificatori rispetto a input comparabili, ma la sola logica rimane superiore in F1. La rete bayesiana dimostra apprendimento e inferenza con evidenza parziale, senza superiorità predittiva. La suite conta 29 test superati, di cui tre per l’estensione esterna; gli audit confermano integrità dei file e metriche. La pipeline dello scenario standard ha richiesto circa 123.5 s sulla macchina usata.</w:t>
      </w:r>
    </w:p>
    <w:p>
      <w:r>
        <w:rPr/>
        <w:t xml:space="preserve">Nel monitoraggio, K-Means alimenta la KB con allarmi ricavati da uno storico nominale senza etichette di guasto. Il confronto con un unico centro mostra benefici modesti nei primi due scenari e un peggioramento nel terzo. Il clustering è dunque una soluzione candidata valutata sul compito, non una componente di cui si presume indispensabilità. Sono auditate 17.280 predizioni del monitoraggio sui tre metodi e sulle tre famiglie, oltre alle predizioni supervisionate e bayesiane.</w:t>
      </w:r>
    </w:p>
    <w:p>
      <w:r>
        <w:rPr/>
        <w:t xml:space="preserve">La conclusione non si estende uniformemente agli altri dataset: nello scenario redundant il delta F1 di KB rispetto a LOCAL è −0,014 per logistica, +0,007 per foresta e −0,005 per boosting. La sola logica resta un riferimento competitivo. La conoscenza formalizzata correttamente può essere utile al ragionamento e alla ricerca anche quando le sue aggregazioni non migliorano il classificatore; i risultati sconsigliano di assumere un vantaggio predittivo universale dell’integrazione. Nel dataset dense i delta sono invece +0,052/+0,058/+0,055: logistica e foresta con KB raggiungono F1 0,665 e 0,658, contro 0,655 della sola logica. I piccoli divari non dimostrano superiorità statisticamente significativa. Densità, dimensione, prevalenza e seed variano congiuntamente, quindi il confronto non identifica quale fattore causi le differenze.</w:t>
      </w:r>
    </w:p>
    <w:p>
      <w:r>
        <w:rPr/>
        <w:t xml:space="preserve">Generatore e KB condividono deliberatamente la semantica delle dipendenze: i risultati sono interni al benchmark sintetico. RCAEval amplia la valutazione del monitoraggio su telemetria misurata, con un vantaggio piccolo di K-Means sul centro unico e falsi allarmi ancora frequenti. Restano da valutare incidenti spontanei in produzione, dipendenze mancanti, topologie cicliche nella valutazione predittiva, drift, effetti incerti e tempi delle riparazioni. Le tre famiglie sintetiche ampliano la valutazione nel dominio dei servizi; non sostituiscono esperimenti su domini indipendenti. La ricerca ha spazio esponenziale e la rete è limitata a sei variabili; non si rivendica scalabilità industriale. Le deviazioni standard dei fold non provano significatività.</w:t>
      </w:r>
    </w:p>
    <w:p>
      <w:r>
        <w:rPr/>
        <w:t xml:space="preserve">La stima iniziale del nucleo sintetico è di 25 ore: 2 per analisi, 4 per KB e verifica, 2 per generatore, 4 per ML supervisionato, 2 per clustering e monitoraggio, 3 per rete bayesiana, 1 per il benchmark aggiuntivo di ricerca, 4 per valutazione e relazione, 3 per verifica della riproducibilità e revisione finale. È una stima organizzativa, non un rendiconto di ore svolte; non comprende l’estensione RCAEval, che non è stata cronometrata. K-Means ha un ruolo operativo nella produzione degli allarmi e viene valutato contro due baseline; la ricerca delle riparazioni resta un contributo aggiuntivo. La KB sviluppata è specifica del dominio, mentre interprete e ricerca operano su regole e topologie esterne. Il contributo riguarda l’applicazione e il confronto di algoritmi esistenti nel dominio dei servizi.</w:t>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2200"/>
        <w:gridCol w:w="6826"/>
      </w:tblGrid>
      <w:tr>
        <w:trPr>
          <w:cantSplit/>
          <w:tblHeader/>
        </w:trPr>
        <w:tc>
          <w:tcPr>
            <w:tcW w:w="2200" w:type="dxa"/>
            <w:shd w:fill="EDEDED"/>
          </w:tcPr>
          <w:p>
            <w:pPr>
              <w:spacing w:before="0" w:after="40" w:line="240" w:lineRule="auto"/>
            </w:pPr>
            <w:r>
              <w:rPr>
                <w:sz w:val="18"/>
                <w:b/>
              </w:rPr>
              <w:t>Criterio tecnico</w:t>
            </w:r>
          </w:p>
        </w:tc>
        <w:tc>
          <w:tcPr>
            <w:tcW w:w="6826" w:type="dxa"/>
            <w:shd w:fill="EDEDED"/>
          </w:tcPr>
          <w:p>
            <w:pPr>
              <w:spacing w:before="0" w:after="40" w:line="240" w:lineRule="auto"/>
            </w:pPr>
            <w:r>
              <w:rPr>
                <w:sz w:val="18"/>
                <w:b/>
              </w:rPr>
              <w:t>Evidenza e autovalutazione</w:t>
            </w:r>
          </w:p>
        </w:tc>
      </w:tr>
      <w:tr>
        <w:trPr>
          <w:cantSplit/>
        </w:trPr>
        <w:tc>
          <w:tcPr>
            <w:tcW w:w="2200" w:type="dxa"/>
          </w:tcPr>
          <w:p>
            <w:pPr>
              <w:spacing w:before="0" w:after="40" w:line="240" w:lineRule="auto"/>
            </w:pPr>
            <w:r>
              <w:rPr>
                <w:sz w:val="18"/>
              </w:rPr>
              <w:t>Originalità</w:t>
            </w:r>
          </w:p>
        </w:tc>
        <w:tc>
          <w:tcPr>
            <w:tcW w:w="6826" w:type="dxa"/>
          </w:tcPr>
          <w:p>
            <w:pPr>
              <w:spacing w:before="0" w:after="40" w:line="240" w:lineRule="auto"/>
            </w:pPr>
            <w:r>
              <w:rPr>
                <w:sz w:val="18"/>
              </w:rPr>
              <w:t>Integrazione di KB, generatore, feature e ricerca per il dominio dei servizi mediante algoritmi standard documentati.</w:t>
            </w:r>
          </w:p>
        </w:tc>
      </w:tr>
      <w:tr>
        <w:trPr>
          <w:cantSplit/>
        </w:trPr>
        <w:tc>
          <w:tcPr>
            <w:tcW w:w="2200" w:type="dxa"/>
          </w:tcPr>
          <w:p>
            <w:pPr>
              <w:spacing w:before="0" w:after="40" w:line="240" w:lineRule="auto"/>
            </w:pPr>
            <w:r>
              <w:rPr>
                <w:sz w:val="18"/>
              </w:rPr>
              <w:t>Completezza</w:t>
            </w:r>
          </w:p>
        </w:tc>
        <w:tc>
          <w:tcPr>
            <w:tcW w:w="6826" w:type="dxa"/>
          </w:tcPr>
          <w:p>
            <w:pPr>
              <w:spacing w:before="0" w:after="40" w:line="240" w:lineRule="auto"/>
            </w:pPr>
            <w:r>
              <w:rPr>
                <w:sz w:val="18"/>
              </w:rPr>
              <w:t>Rappresentazione, ragionamento ricorsivo, clustering, ricerca, apprendimento supervisionato e probabilistico.</w:t>
            </w:r>
          </w:p>
        </w:tc>
      </w:tr>
      <w:tr>
        <w:trPr>
          <w:cantSplit/>
        </w:trPr>
        <w:tc>
          <w:tcPr>
            <w:tcW w:w="2200" w:type="dxa"/>
          </w:tcPr>
          <w:p>
            <w:pPr>
              <w:spacing w:before="0" w:after="40" w:line="240" w:lineRule="auto"/>
            </w:pPr>
            <w:r>
              <w:rPr>
                <w:sz w:val="18"/>
              </w:rPr>
              <w:t>Significatività</w:t>
            </w:r>
          </w:p>
        </w:tc>
        <w:tc>
          <w:tcPr>
            <w:tcW w:w="6826" w:type="dxa"/>
          </w:tcPr>
          <w:p>
            <w:pPr>
              <w:spacing w:before="0" w:after="40" w:line="240" w:lineRule="auto"/>
            </w:pPr>
            <w:r>
              <w:rPr>
                <w:sz w:val="18"/>
              </w:rPr>
              <w:t>Confronti con sola logica, prior, feature senza relazioni e strategia di riparazione economica; utilità condizionata al simulatore.</w:t>
            </w:r>
          </w:p>
        </w:tc>
      </w:tr>
      <w:tr>
        <w:trPr>
          <w:cantSplit/>
        </w:trPr>
        <w:tc>
          <w:tcPr>
            <w:tcW w:w="2200" w:type="dxa"/>
          </w:tcPr>
          <w:p>
            <w:pPr>
              <w:spacing w:before="0" w:after="40" w:line="240" w:lineRule="auto"/>
            </w:pPr>
            <w:r>
              <w:rPr>
                <w:sz w:val="18"/>
              </w:rPr>
              <w:t>Complessità</w:t>
            </w:r>
          </w:p>
        </w:tc>
        <w:tc>
          <w:tcPr>
            <w:tcW w:w="6826" w:type="dxa"/>
          </w:tcPr>
          <w:p>
            <w:pPr>
              <w:spacing w:before="0" w:after="40" w:line="240" w:lineRule="auto"/>
            </w:pPr>
            <w:r>
              <w:rPr>
                <w:sz w:val="18"/>
              </w:rPr>
              <w:t>Congiunzione delle repliche, dipendenze transitive e condivise; analisi dei join, del punto fisso e dello spazio di ricerca.</w:t>
            </w:r>
          </w:p>
        </w:tc>
      </w:tr>
      <w:tr>
        <w:trPr>
          <w:cantSplit/>
        </w:trPr>
        <w:tc>
          <w:tcPr>
            <w:tcW w:w="2200" w:type="dxa"/>
          </w:tcPr>
          <w:p>
            <w:pPr>
              <w:spacing w:before="0" w:after="40" w:line="240" w:lineRule="auto"/>
            </w:pPr>
            <w:r>
              <w:rPr>
                <w:sz w:val="18"/>
              </w:rPr>
              <w:t>Generalità</w:t>
            </w:r>
          </w:p>
        </w:tc>
        <w:tc>
          <w:tcPr>
            <w:tcW w:w="6826" w:type="dxa"/>
          </w:tcPr>
          <w:p>
            <w:pPr>
              <w:spacing w:before="0" w:after="40" w:line="240" w:lineRule="auto"/>
            </w:pPr>
            <w:r>
              <w:rPr>
                <w:sz w:val="18"/>
              </w:rPr>
              <w:t>Tre famiglie sintetiche e monitoraggio su 90 esperimenti RCAEval; assente validazione causale o delle riparazioni in produzione.</w:t>
            </w:r>
          </w:p>
        </w:tc>
      </w:tr>
      <w:tr>
        <w:trPr>
          <w:cantSplit/>
        </w:trPr>
        <w:tc>
          <w:tcPr>
            <w:tcW w:w="2200" w:type="dxa"/>
          </w:tcPr>
          <w:p>
            <w:pPr>
              <w:spacing w:before="0" w:after="40" w:line="240" w:lineRule="auto"/>
            </w:pPr>
            <w:r>
              <w:rPr>
                <w:sz w:val="18"/>
              </w:rPr>
              <w:t>Valutazione</w:t>
            </w:r>
          </w:p>
        </w:tc>
        <w:tc>
          <w:tcPr>
            <w:tcW w:w="6826" w:type="dxa"/>
          </w:tcPr>
          <w:p>
            <w:pPr>
              <w:spacing w:before="0" w:after="40" w:line="240" w:lineRule="auto"/>
            </w:pPr>
            <w:r>
              <w:rPr>
                <w:sz w:val="18"/>
              </w:rPr>
              <w:t>CV annidata a gruppi su tre dataset sintetici; test temporali RCAEval, medie e deviazioni standard, oracoli e 29 test.</w:t>
            </w:r>
          </w:p>
        </w:tc>
      </w:tr>
      <w:tr>
        <w:trPr>
          <w:cantSplit/>
        </w:trPr>
        <w:tc>
          <w:tcPr>
            <w:tcW w:w="2200" w:type="dxa"/>
          </w:tcPr>
          <w:p>
            <w:pPr>
              <w:spacing w:before="0" w:after="40" w:line="240" w:lineRule="auto"/>
            </w:pPr>
            <w:r>
              <w:rPr>
                <w:sz w:val="18"/>
              </w:rPr>
              <w:t>Documentazione</w:t>
            </w:r>
          </w:p>
        </w:tc>
        <w:tc>
          <w:tcPr>
            <w:tcW w:w="6826" w:type="dxa"/>
          </w:tcPr>
          <w:p>
            <w:pPr>
              <w:spacing w:before="0" w:after="40" w:line="240" w:lineRule="auto"/>
            </w:pPr>
            <w:r>
              <w:rPr>
                <w:sz w:val="18"/>
              </w:rPr>
              <w:t>Scelte tecniche, regole, risultati e limiti raccolti nella relazione; dati dell’autore nel frontespizio.</w:t>
            </w:r>
          </w:p>
        </w:tc>
      </w:tr>
    </w:tbl>
    <w:p>
      <w:r>
        <w:rPr/>
      </w:r>
    </w:p>
    <w:tbl>
      <w:tblPr>
        <w:tblW w:w="9026" w:type="dxa"/>
        <w:tblLayout w:type="fixed"/>
        <w:tblBorders>
          <w:top w:val="single" w:sz="4" w:color="B7B7B7"/>
          <w:left w:val="single" w:sz="4" w:color="B7B7B7"/>
          <w:bottom w:val="single" w:sz="4" w:color="B7B7B7"/>
          <w:right w:val="single" w:sz="4" w:color="B7B7B7"/>
          <w:insideH w:val="single" w:sz="4" w:color="B7B7B7"/>
          <w:insideV w:val="single" w:sz="4" w:color="B7B7B7"/>
        </w:tblBorders>
        <w:tblCellMar>
          <w:top w:w="70" w:type="dxa"/>
          <w:bottom w:w="70" w:type="dxa"/>
          <w:left w:w="70" w:type="dxa"/>
          <w:right w:w="70" w:type="dxa"/>
        </w:tblCellMar>
      </w:tblPr>
      <w:tblGrid>
        <w:gridCol w:w="3150"/>
        <w:gridCol w:w="5876"/>
      </w:tblGrid>
      <w:tr>
        <w:trPr>
          <w:cantSplit/>
          <w:tblHeader/>
        </w:trPr>
        <w:tc>
          <w:tcPr>
            <w:tcW w:w="3150" w:type="dxa"/>
            <w:shd w:fill="EDEDED"/>
          </w:tcPr>
          <w:p>
            <w:pPr>
              <w:spacing w:before="0" w:after="40" w:line="240" w:lineRule="auto"/>
            </w:pPr>
            <w:r>
              <w:rPr>
                <w:sz w:val="18"/>
                <w:b/>
              </w:rPr>
              <w:t>Modulo o cartella</w:t>
            </w:r>
          </w:p>
        </w:tc>
        <w:tc>
          <w:tcPr>
            <w:tcW w:w="5876" w:type="dxa"/>
            <w:shd w:fill="EDEDED"/>
          </w:tcPr>
          <w:p>
            <w:pPr>
              <w:spacing w:before="0" w:after="40" w:line="240" w:lineRule="auto"/>
            </w:pPr>
            <w:r>
              <w:rPr>
                <w:sz w:val="18"/>
                <w:b/>
              </w:rPr>
              <w:t>Funzione in ServiceRescue-KB</w:t>
            </w:r>
          </w:p>
        </w:tc>
      </w:tr>
      <w:tr>
        <w:trPr>
          <w:cantSplit/>
        </w:trPr>
        <w:tc>
          <w:tcPr>
            <w:tcW w:w="3150" w:type="dxa"/>
          </w:tcPr>
          <w:p>
            <w:pPr>
              <w:spacing w:before="0" w:after="40" w:line="240" w:lineRule="auto"/>
            </w:pPr>
            <w:r>
              <w:rPr>
                <w:sz w:val="18"/>
              </w:rPr>
              <w:t>src/main.py</w:t>
            </w:r>
          </w:p>
        </w:tc>
        <w:tc>
          <w:tcPr>
            <w:tcW w:w="5876" w:type="dxa"/>
          </w:tcPr>
          <w:p>
            <w:pPr>
              <w:spacing w:before="0" w:after="40" w:line="240" w:lineRule="auto"/>
            </w:pPr>
            <w:r>
              <w:rPr>
                <w:sz w:val="18"/>
              </w:rPr>
              <w:t>Orchestrazione della pipeline nel dominio dei servizi.</w:t>
            </w:r>
          </w:p>
        </w:tc>
      </w:tr>
      <w:tr>
        <w:trPr>
          <w:cantSplit/>
        </w:trPr>
        <w:tc>
          <w:tcPr>
            <w:tcW w:w="3150" w:type="dxa"/>
          </w:tcPr>
          <w:p>
            <w:pPr>
              <w:spacing w:before="0" w:after="40" w:line="240" w:lineRule="auto"/>
            </w:pPr>
            <w:r>
              <w:rPr>
                <w:sz w:val="18"/>
              </w:rPr>
              <w:t>src/serviceProlog.py</w:t>
            </w:r>
          </w:p>
        </w:tc>
        <w:tc>
          <w:tcPr>
            <w:tcW w:w="5876" w:type="dxa"/>
          </w:tcPr>
          <w:p>
            <w:pPr>
              <w:spacing w:before="0" w:after="40" w:line="240" w:lineRule="auto"/>
            </w:pPr>
            <w:r>
              <w:rPr>
                <w:sz w:val="18"/>
              </w:rPr>
              <w:t>Preparazione dei dati e inferenza SWI-Prolog.</w:t>
            </w:r>
          </w:p>
        </w:tc>
      </w:tr>
      <w:tr>
        <w:trPr>
          <w:cantSplit/>
        </w:trPr>
        <w:tc>
          <w:tcPr>
            <w:tcW w:w="3150" w:type="dxa"/>
          </w:tcPr>
          <w:p>
            <w:pPr>
              <w:spacing w:before="0" w:after="40" w:line="240" w:lineRule="auto"/>
            </w:pPr>
            <w:r>
              <w:rPr>
                <w:sz w:val="18"/>
              </w:rPr>
              <w:t>src/unsupervisedLearning.py</w:t>
            </w:r>
          </w:p>
        </w:tc>
        <w:tc>
          <w:tcPr>
            <w:tcW w:w="5876" w:type="dxa"/>
          </w:tcPr>
          <w:p>
            <w:pPr>
              <w:spacing w:before="0" w:after="40" w:line="240" w:lineRule="auto"/>
            </w:pPr>
            <w:r>
              <w:rPr>
                <w:sz w:val="18"/>
              </w:rPr>
              <w:t>K-Means e silhouette per anomalie che alimentano la KB.</w:t>
            </w:r>
          </w:p>
        </w:tc>
      </w:tr>
      <w:tr>
        <w:trPr>
          <w:cantSplit/>
        </w:trPr>
        <w:tc>
          <w:tcPr>
            <w:tcW w:w="3150" w:type="dxa"/>
          </w:tcPr>
          <w:p>
            <w:pPr>
              <w:spacing w:before="0" w:after="40" w:line="240" w:lineRule="auto"/>
            </w:pPr>
            <w:r>
              <w:rPr>
                <w:sz w:val="18"/>
              </w:rPr>
              <w:t>src/supervisedLearning.py</w:t>
            </w:r>
          </w:p>
        </w:tc>
        <w:tc>
          <w:tcPr>
            <w:tcW w:w="5876" w:type="dxa"/>
          </w:tcPr>
          <w:p>
            <w:pPr>
              <w:spacing w:before="0" w:after="40" w:line="240" w:lineRule="auto"/>
            </w:pPr>
            <w:r>
              <w:rPr>
                <w:sz w:val="18"/>
              </w:rPr>
              <w:t>Tre classificatori, ablation e CV annidata a gruppi.</w:t>
            </w:r>
          </w:p>
        </w:tc>
      </w:tr>
      <w:tr>
        <w:trPr>
          <w:cantSplit/>
        </w:trPr>
        <w:tc>
          <w:tcPr>
            <w:tcW w:w="3150" w:type="dxa"/>
          </w:tcPr>
          <w:p>
            <w:pPr>
              <w:spacing w:before="0" w:after="40" w:line="240" w:lineRule="auto"/>
            </w:pPr>
            <w:r>
              <w:rPr>
                <w:sz w:val="18"/>
              </w:rPr>
              <w:t>src/bayesianNetwork.py</w:t>
            </w:r>
          </w:p>
        </w:tc>
        <w:tc>
          <w:tcPr>
            <w:tcW w:w="5876" w:type="dxa"/>
          </w:tcPr>
          <w:p>
            <w:pPr>
              <w:spacing w:before="0" w:after="40" w:line="240" w:lineRule="auto"/>
            </w:pPr>
            <w:r>
              <w:rPr>
                <w:sz w:val="18"/>
              </w:rPr>
              <w:t>Apprendimento BIC vincolato e inferenza esatta implementati in NumPy.</w:t>
            </w:r>
          </w:p>
        </w:tc>
      </w:tr>
      <w:tr>
        <w:trPr>
          <w:cantSplit/>
        </w:trPr>
        <w:tc>
          <w:tcPr>
            <w:tcW w:w="3150" w:type="dxa"/>
          </w:tcPr>
          <w:p>
            <w:pPr>
              <w:spacing w:before="0" w:after="40" w:line="240" w:lineRule="auto"/>
            </w:pPr>
            <w:r>
              <w:rPr>
                <w:sz w:val="18"/>
              </w:rPr>
              <w:t>src/extraAnalysis.py</w:t>
            </w:r>
          </w:p>
        </w:tc>
        <w:tc>
          <w:tcPr>
            <w:tcW w:w="5876" w:type="dxa"/>
          </w:tcPr>
          <w:p>
            <w:pPr>
              <w:spacing w:before="0" w:after="40" w:line="240" w:lineRule="auto"/>
            </w:pPr>
            <w:r>
              <w:rPr>
                <w:sz w:val="18"/>
              </w:rPr>
              <w:t>Curve di apprendimento e importanze aggregate.</w:t>
            </w:r>
          </w:p>
        </w:tc>
      </w:tr>
      <w:tr>
        <w:trPr>
          <w:cantSplit/>
        </w:trPr>
        <w:tc>
          <w:tcPr>
            <w:tcW w:w="3150" w:type="dxa"/>
          </w:tcPr>
          <w:p>
            <w:pPr>
              <w:spacing w:before="0" w:after="40" w:line="240" w:lineRule="auto"/>
            </w:pPr>
            <w:r>
              <w:rPr>
                <w:sz w:val="18"/>
              </w:rPr>
              <w:t>kb/, data/raw/, data/processed/</w:t>
            </w:r>
          </w:p>
        </w:tc>
        <w:tc>
          <w:tcPr>
            <w:tcW w:w="5876" w:type="dxa"/>
          </w:tcPr>
          <w:p>
            <w:pPr>
              <w:spacing w:before="0" w:after="40" w:line="240" w:lineRule="auto"/>
            </w:pPr>
            <w:r>
              <w:rPr>
                <w:sz w:val="18"/>
              </w:rPr>
              <w:t>Regole e dati del dominio dei servizi.</w:t>
            </w:r>
          </w:p>
        </w:tc>
      </w:tr>
      <w:tr>
        <w:trPr>
          <w:cantSplit/>
        </w:trPr>
        <w:tc>
          <w:tcPr>
            <w:tcW w:w="3150" w:type="dxa"/>
          </w:tcPr>
          <w:p>
            <w:pPr>
              <w:spacing w:before="0" w:after="40" w:line="240" w:lineRule="auto"/>
            </w:pPr>
            <w:r>
              <w:rPr>
                <w:sz w:val="18"/>
              </w:rPr>
              <w:t>results/tables/, results/figures/, docs/</w:t>
            </w:r>
          </w:p>
        </w:tc>
        <w:tc>
          <w:tcPr>
            <w:tcW w:w="5876" w:type="dxa"/>
          </w:tcPr>
          <w:p>
            <w:pPr>
              <w:spacing w:before="0" w:after="40" w:line="240" w:lineRule="auto"/>
            </w:pPr>
            <w:r>
              <w:rPr>
                <w:sz w:val="18"/>
              </w:rPr>
              <w:t>Risultati verificabili e documento unico sul template.</w:t>
            </w:r>
          </w:p>
        </w:tc>
      </w:tr>
    </w:tbl>
    <w:p>
      <w:r>
        <w:rPr/>
        <w:t xml:space="preserve">L’organizzazione modulare distingue le responsabilità della pipeline. Le cartelle tests/ e tools/ conservano verifiche e comandi riproducibili; src/servicerescue/ separa il codice riutilizzabile dagli entrypoint.</w:t>
      </w:r>
    </w:p>
    <w:p>
      <w:r>
        <w:rPr/>
        <w:t xml:space="preserve">L’autovalutazione sintetizza la coerenza con i requisiti tecnici del progetto e i limiti emersi dalla valutazione. OWL, RDF2Vec, SVM logiche e modelli probabilistici relazionali sono possibili approcci alternativi, esterni al perimetro implementato.</w:t>
      </w:r>
    </w:p>
    <w:p>
      <w:r>
        <w:rPr/>
        <w:t xml:space="preserve">Il repository raccoglie documentazione, codice, KB, dati, test, strumenti e risultati necessari alla riproduzione degli esperimenti. L’ambiente virtuale e le cache restano locali e sono esclusi dal versionamento.</w:t>
      </w:r>
    </w:p>
    <w:p w14:paraId="48B84E57" w14:textId="39CDA244" w:rsidR="0390B43B" w:rsidRDefault="0390B43B" w:rsidP="0390B43B"/>
    <w:p w14:paraId="08F313FE" w14:textId="2FDABE6A" w:rsidR="0390B43B" w:rsidRDefault="0390B43B" w:rsidP="0390B43B"/>
    <w:p w14:paraId="7EA07B9A" w14:textId="29562016" w:rsidR="0390B43B" w:rsidRDefault="0390B43B" w:rsidP="0390B43B"/>
    <w:p w14:paraId="350CEE5D" w14:textId="26F7D6BA" w:rsidR="0390B43B" w:rsidRDefault="0390B43B" w:rsidP="0390B43B"/>
    <w:p w14:paraId="71D33705" w14:textId="3EBC4A23" w:rsidR="159216E3" w:rsidRDefault="159216E3" w:rsidP="0390B43B">
      <w:pPr>
        <w:pStyle w:val="Titolo1"/>
      </w:pPr>
      <w:r>
        <w:t>Riferimenti Bibliografici</w:t>
      </w:r>
    </w:p>
    <w:p w14:paraId="712BA72C" w14:textId="70384EC0" w:rsidR="159216E3" w:rsidRDefault="159216E3" w:rsidP="0390B43B">
      <w:r>
        <w:rPr/>
        <w:t xml:space="preserve">[1] D. L. Poole, A. K. Mackworth, Artificial Intelligence: Foundations of Computational Agents, 3ª ed., Cambridge University Press, 2023. Riferimenti per Datalog e ricerca: https://artint.info/3e/html/ArtInt3e.Ch15.S4.html e https://artint.info/3e/html/ArtInt3e.Ch3.S5.html.</w:t>
      </w:r>
    </w:p>
    <w:p w14:paraId="2F413FAB" w14:textId="5287A6B9" w:rsidR="159216E3" w:rsidRDefault="159216E3" w:rsidP="0390B43B">
      <w:r>
        <w:rPr/>
        <w:t xml:space="preserve">[2] SWI-Prolog, Reference Manual, Tabled execution (SLG resolution): https://www.swi-prolog.org/pldoc/man?section=tabling. Motore usato: SWI-Prolog 9.0.4.</w:t>
      </w:r>
    </w:p>
    <w:p w14:paraId="1F0AD89B" w14:textId="254BC232" w:rsidR="159216E3" w:rsidRDefault="159216E3" w:rsidP="0390B43B">
      <w:r>
        <w:rPr/>
        <w:t xml:space="preserve">[3] Scikit-learn, documentazione ufficiale: Cross-validation, https://scikit-learn.org/stable/modules/cross_validation.html; StratifiedGroupKFold, https://scikit-learn.org/stable/modules/generated/sklearn.model_selection.StratifiedGroupKFold.html; Common pitfalls, https://scikit-learn.org/stable/common_pitfalls.html; Permutation importance, https://scikit-learn.org/stable/modules/permutation_importance.html. Versione usata: 1.7.2; i collegamenti stable possono descrivere versioni successive.</w:t>
      </w:r>
    </w:p>
    <w:p>
      <w:r>
        <w:rPr/>
        <w:t xml:space="preserve">[4] L. Pham, H. Zhang, H. Ha, F. Salim, X. Zhang, RCAEval: A Benchmark for Root Cause Analysis of Microservice Systems with Telemetry Data, WWW Companion 2025. https://doi.org/10.1145/3701716.3715290. Dataset: https://huggingface.co/datasets/phamquiluan/RCAEval; https://github.com/phamquiluan/RCAEval. Licenza MIT degli autori conservata con gli estratti.</w:t>
      </w:r>
    </w:p>
    <w:sectPr w:rsidR="159216E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BC4"/>
    <w:multiLevelType w:val="hybridMultilevel"/>
    <w:tmpl w:val="2BACEC36"/>
    <w:lvl w:ilvl="0" w:tplc="638A36F4">
      <w:start w:val="1"/>
      <w:numFmt w:val="bullet"/>
      <w:lvlText w:val=""/>
      <w:lvlJc w:val="left"/>
      <w:pPr>
        <w:ind w:left="720" w:hanging="360"/>
      </w:pPr>
      <w:rPr>
        <w:rFonts w:ascii="Symbol" w:hAnsi="Symbol" w:hint="default"/>
      </w:rPr>
    </w:lvl>
    <w:lvl w:ilvl="1" w:tplc="A0B4C89E">
      <w:start w:val="1"/>
      <w:numFmt w:val="bullet"/>
      <w:lvlText w:val="o"/>
      <w:lvlJc w:val="left"/>
      <w:pPr>
        <w:ind w:left="1440" w:hanging="360"/>
      </w:pPr>
      <w:rPr>
        <w:rFonts w:ascii="Courier New" w:hAnsi="Courier New" w:hint="default"/>
      </w:rPr>
    </w:lvl>
    <w:lvl w:ilvl="2" w:tplc="D8222AC2">
      <w:start w:val="1"/>
      <w:numFmt w:val="bullet"/>
      <w:lvlText w:val=""/>
      <w:lvlJc w:val="left"/>
      <w:pPr>
        <w:ind w:left="2160" w:hanging="360"/>
      </w:pPr>
      <w:rPr>
        <w:rFonts w:ascii="Wingdings" w:hAnsi="Wingdings" w:hint="default"/>
      </w:rPr>
    </w:lvl>
    <w:lvl w:ilvl="3" w:tplc="D2F20B76">
      <w:start w:val="1"/>
      <w:numFmt w:val="bullet"/>
      <w:lvlText w:val=""/>
      <w:lvlJc w:val="left"/>
      <w:pPr>
        <w:ind w:left="2880" w:hanging="360"/>
      </w:pPr>
      <w:rPr>
        <w:rFonts w:ascii="Symbol" w:hAnsi="Symbol" w:hint="default"/>
      </w:rPr>
    </w:lvl>
    <w:lvl w:ilvl="4" w:tplc="12D84190">
      <w:start w:val="1"/>
      <w:numFmt w:val="bullet"/>
      <w:lvlText w:val="o"/>
      <w:lvlJc w:val="left"/>
      <w:pPr>
        <w:ind w:left="3600" w:hanging="360"/>
      </w:pPr>
      <w:rPr>
        <w:rFonts w:ascii="Courier New" w:hAnsi="Courier New" w:hint="default"/>
      </w:rPr>
    </w:lvl>
    <w:lvl w:ilvl="5" w:tplc="BC160F4E">
      <w:start w:val="1"/>
      <w:numFmt w:val="bullet"/>
      <w:lvlText w:val=""/>
      <w:lvlJc w:val="left"/>
      <w:pPr>
        <w:ind w:left="4320" w:hanging="360"/>
      </w:pPr>
      <w:rPr>
        <w:rFonts w:ascii="Wingdings" w:hAnsi="Wingdings" w:hint="default"/>
      </w:rPr>
    </w:lvl>
    <w:lvl w:ilvl="6" w:tplc="9778564C">
      <w:start w:val="1"/>
      <w:numFmt w:val="bullet"/>
      <w:lvlText w:val=""/>
      <w:lvlJc w:val="left"/>
      <w:pPr>
        <w:ind w:left="5040" w:hanging="360"/>
      </w:pPr>
      <w:rPr>
        <w:rFonts w:ascii="Symbol" w:hAnsi="Symbol" w:hint="default"/>
      </w:rPr>
    </w:lvl>
    <w:lvl w:ilvl="7" w:tplc="3BC45B62">
      <w:start w:val="1"/>
      <w:numFmt w:val="bullet"/>
      <w:lvlText w:val="o"/>
      <w:lvlJc w:val="left"/>
      <w:pPr>
        <w:ind w:left="5760" w:hanging="360"/>
      </w:pPr>
      <w:rPr>
        <w:rFonts w:ascii="Courier New" w:hAnsi="Courier New" w:hint="default"/>
      </w:rPr>
    </w:lvl>
    <w:lvl w:ilvl="8" w:tplc="5AE2EC34">
      <w:start w:val="1"/>
      <w:numFmt w:val="bullet"/>
      <w:lvlText w:val=""/>
      <w:lvlJc w:val="left"/>
      <w:pPr>
        <w:ind w:left="6480" w:hanging="360"/>
      </w:pPr>
      <w:rPr>
        <w:rFonts w:ascii="Wingdings" w:hAnsi="Wingdings" w:hint="default"/>
      </w:rPr>
    </w:lvl>
  </w:abstractNum>
  <w:abstractNum w:abstractNumId="1" w15:restartNumberingAfterBreak="0">
    <w:nsid w:val="5D673A47"/>
    <w:multiLevelType w:val="hybridMultilevel"/>
    <w:tmpl w:val="2410F14C"/>
    <w:lvl w:ilvl="0" w:tplc="7846A588">
      <w:start w:val="1"/>
      <w:numFmt w:val="bullet"/>
      <w:lvlText w:val=""/>
      <w:lvlJc w:val="left"/>
      <w:pPr>
        <w:ind w:left="720" w:hanging="360"/>
      </w:pPr>
      <w:rPr>
        <w:rFonts w:ascii="Symbol" w:hAnsi="Symbol" w:hint="default"/>
      </w:rPr>
    </w:lvl>
    <w:lvl w:ilvl="1" w:tplc="DAC09152">
      <w:start w:val="1"/>
      <w:numFmt w:val="bullet"/>
      <w:lvlText w:val="o"/>
      <w:lvlJc w:val="left"/>
      <w:pPr>
        <w:ind w:left="1440" w:hanging="360"/>
      </w:pPr>
      <w:rPr>
        <w:rFonts w:ascii="Courier New" w:hAnsi="Courier New" w:hint="default"/>
      </w:rPr>
    </w:lvl>
    <w:lvl w:ilvl="2" w:tplc="9BEEA216">
      <w:start w:val="1"/>
      <w:numFmt w:val="bullet"/>
      <w:lvlText w:val=""/>
      <w:lvlJc w:val="left"/>
      <w:pPr>
        <w:ind w:left="2160" w:hanging="360"/>
      </w:pPr>
      <w:rPr>
        <w:rFonts w:ascii="Wingdings" w:hAnsi="Wingdings" w:hint="default"/>
      </w:rPr>
    </w:lvl>
    <w:lvl w:ilvl="3" w:tplc="92F414E6">
      <w:start w:val="1"/>
      <w:numFmt w:val="bullet"/>
      <w:lvlText w:val=""/>
      <w:lvlJc w:val="left"/>
      <w:pPr>
        <w:ind w:left="2880" w:hanging="360"/>
      </w:pPr>
      <w:rPr>
        <w:rFonts w:ascii="Symbol" w:hAnsi="Symbol" w:hint="default"/>
      </w:rPr>
    </w:lvl>
    <w:lvl w:ilvl="4" w:tplc="FC6EAA68">
      <w:start w:val="1"/>
      <w:numFmt w:val="bullet"/>
      <w:lvlText w:val="o"/>
      <w:lvlJc w:val="left"/>
      <w:pPr>
        <w:ind w:left="3600" w:hanging="360"/>
      </w:pPr>
      <w:rPr>
        <w:rFonts w:ascii="Courier New" w:hAnsi="Courier New" w:hint="default"/>
      </w:rPr>
    </w:lvl>
    <w:lvl w:ilvl="5" w:tplc="C99045BA">
      <w:start w:val="1"/>
      <w:numFmt w:val="bullet"/>
      <w:lvlText w:val=""/>
      <w:lvlJc w:val="left"/>
      <w:pPr>
        <w:ind w:left="4320" w:hanging="360"/>
      </w:pPr>
      <w:rPr>
        <w:rFonts w:ascii="Wingdings" w:hAnsi="Wingdings" w:hint="default"/>
      </w:rPr>
    </w:lvl>
    <w:lvl w:ilvl="6" w:tplc="52A2A8D2">
      <w:start w:val="1"/>
      <w:numFmt w:val="bullet"/>
      <w:lvlText w:val=""/>
      <w:lvlJc w:val="left"/>
      <w:pPr>
        <w:ind w:left="5040" w:hanging="360"/>
      </w:pPr>
      <w:rPr>
        <w:rFonts w:ascii="Symbol" w:hAnsi="Symbol" w:hint="default"/>
      </w:rPr>
    </w:lvl>
    <w:lvl w:ilvl="7" w:tplc="285CA4BA">
      <w:start w:val="1"/>
      <w:numFmt w:val="bullet"/>
      <w:lvlText w:val="o"/>
      <w:lvlJc w:val="left"/>
      <w:pPr>
        <w:ind w:left="5760" w:hanging="360"/>
      </w:pPr>
      <w:rPr>
        <w:rFonts w:ascii="Courier New" w:hAnsi="Courier New" w:hint="default"/>
      </w:rPr>
    </w:lvl>
    <w:lvl w:ilvl="8" w:tplc="00D66EB4">
      <w:start w:val="1"/>
      <w:numFmt w:val="bullet"/>
      <w:lvlText w:val=""/>
      <w:lvlJc w:val="left"/>
      <w:pPr>
        <w:ind w:left="6480" w:hanging="360"/>
      </w:pPr>
      <w:rPr>
        <w:rFonts w:ascii="Wingdings" w:hAnsi="Wingdings" w:hint="default"/>
      </w:rPr>
    </w:lvl>
  </w:abstractNum>
  <w:num w:numId="1" w16cid:durableId="1537237116">
    <w:abstractNumId w:val="0"/>
  </w:num>
  <w:num w:numId="2" w16cid:durableId="136991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242976"/>
    <w:rsid w:val="00C1304A"/>
    <w:rsid w:val="00E02200"/>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character" w:styleId="Menzionenonrisolta">
    <w:name w:val="Unresolved Mention"/>
    <w:basedOn w:val="Carpredefinitoparagrafo"/>
    <w:uiPriority w:val="99"/>
    <w:semiHidden/>
    <w:unhideWhenUsed/>
    <w:rsid w:val="00C13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mastrolonardo2@studenti.uniba.i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8AEAB4-D7A6-4943-9ED8-C2A4CE5C8D12}">
  <ds:schemaRefs>
    <ds:schemaRef ds:uri="http://schemas.microsoft.com/sharepoint/v3/contenttype/forms"/>
  </ds:schemaRefs>
</ds:datastoreItem>
</file>

<file path=customXml/itemProps2.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MASTROLONARDO DOMENICO</cp:lastModifiedBy>
  <cp:revision>3</cp:revision>
  <dcterms:created xsi:type="dcterms:W3CDTF">2022-11-21T07:56:00Z</dcterms:created>
  <dcterms:modified xsi:type="dcterms:W3CDTF">2026-09-07T14:00:00Z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