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82B7F">
      <w:pPr>
        <w:keepNext w:val="0"/>
        <w:keepLines w:val="0"/>
        <w:pageBreakBefore w:val="0"/>
        <w:widowControl w:val="0"/>
        <w:kinsoku/>
        <w:wordWrap/>
        <w:overflowPunct/>
        <w:topLinePunct w:val="0"/>
        <w:autoSpaceDE/>
        <w:autoSpaceDN/>
        <w:bidi w:val="0"/>
        <w:adjustRightInd/>
        <w:snapToGrid/>
        <w:spacing w:line="590" w:lineRule="exact"/>
        <w:jc w:val="both"/>
        <w:textAlignment w:val="auto"/>
        <w:outlineLvl w:val="0"/>
        <w:rPr>
          <w:rFonts w:hint="default" w:ascii="Times New Roman" w:hAnsi="Times New Roman" w:eastAsia="方正黑体_GBK" w:cs="Times New Roman"/>
          <w:b w:val="0"/>
          <w:bCs/>
          <w:snapToGrid/>
          <w:color w:val="auto"/>
          <w:kern w:val="2"/>
          <w:sz w:val="32"/>
          <w:szCs w:val="32"/>
          <w:lang w:val="en-US" w:eastAsia="zh-CN"/>
        </w:rPr>
      </w:pPr>
      <w:r>
        <w:rPr>
          <w:rFonts w:hint="eastAsia" w:ascii="方正黑体_GBK" w:hAnsi="方正黑体_GBK" w:eastAsia="方正黑体_GBK" w:cs="方正黑体_GBK"/>
          <w:b w:val="0"/>
          <w:bCs/>
          <w:snapToGrid/>
          <w:color w:val="auto"/>
          <w:kern w:val="2"/>
          <w:sz w:val="32"/>
          <w:szCs w:val="32"/>
          <w:lang w:val="en-US" w:eastAsia="zh-CN"/>
        </w:rPr>
        <w:t>附件</w:t>
      </w:r>
      <w:r>
        <w:rPr>
          <w:rFonts w:hint="default" w:ascii="Times New Roman" w:hAnsi="Times New Roman" w:eastAsia="方正黑体_GBK" w:cs="Times New Roman"/>
          <w:b w:val="0"/>
          <w:bCs/>
          <w:snapToGrid/>
          <w:color w:val="auto"/>
          <w:kern w:val="2"/>
          <w:sz w:val="32"/>
          <w:szCs w:val="32"/>
          <w:lang w:val="en-US" w:eastAsia="zh-CN"/>
        </w:rPr>
        <w:t>1</w:t>
      </w:r>
    </w:p>
    <w:p w14:paraId="3E2A5C0F">
      <w:pPr>
        <w:keepNext w:val="0"/>
        <w:keepLines w:val="0"/>
        <w:pageBreakBefore w:val="0"/>
        <w:widowControl w:val="0"/>
        <w:kinsoku/>
        <w:wordWrap/>
        <w:overflowPunct/>
        <w:topLinePunct w:val="0"/>
        <w:autoSpaceDE/>
        <w:autoSpaceDN/>
        <w:bidi w:val="0"/>
        <w:adjustRightInd/>
        <w:snapToGrid/>
        <w:spacing w:line="590" w:lineRule="exact"/>
        <w:ind w:left="0" w:firstLine="880" w:firstLineChars="200"/>
        <w:jc w:val="both"/>
        <w:textAlignment w:val="auto"/>
        <w:rPr>
          <w:rFonts w:hint="eastAsia" w:ascii="方正小标宋_GBK" w:hAnsi="方正小标宋_GBK" w:eastAsia="方正小标宋_GBK" w:cs="方正小标宋_GBK"/>
          <w:snapToGrid/>
          <w:color w:val="auto"/>
          <w:kern w:val="2"/>
          <w:sz w:val="44"/>
          <w:szCs w:val="44"/>
          <w:lang w:eastAsia="zh-CN"/>
        </w:rPr>
      </w:pPr>
    </w:p>
    <w:p w14:paraId="58202343">
      <w:pPr>
        <w:keepNext w:val="0"/>
        <w:keepLines w:val="0"/>
        <w:pageBreakBefore w:val="0"/>
        <w:widowControl w:val="0"/>
        <w:kinsoku/>
        <w:wordWrap/>
        <w:overflowPunct/>
        <w:topLinePunct w:val="0"/>
        <w:autoSpaceDE/>
        <w:autoSpaceDN/>
        <w:bidi w:val="0"/>
        <w:adjustRightInd/>
        <w:snapToGrid/>
        <w:spacing w:line="630" w:lineRule="exact"/>
        <w:ind w:left="0"/>
        <w:jc w:val="center"/>
        <w:textAlignment w:val="auto"/>
        <w:outlineLvl w:val="9"/>
        <w:rPr>
          <w:rFonts w:hint="eastAsia" w:ascii="方正小标宋_GBK" w:hAnsi="方正小标宋_GBK" w:eastAsia="方正小标宋_GBK" w:cs="方正小标宋_GBK"/>
          <w:snapToGrid/>
          <w:color w:val="auto"/>
          <w:kern w:val="2"/>
          <w:sz w:val="44"/>
          <w:szCs w:val="44"/>
          <w:lang w:eastAsia="zh-CN"/>
        </w:rPr>
      </w:pPr>
      <w:r>
        <w:rPr>
          <w:rFonts w:hint="eastAsia" w:ascii="方正小标宋_GBK" w:hAnsi="方正小标宋_GBK" w:eastAsia="方正小标宋_GBK" w:cs="方正小标宋_GBK"/>
          <w:snapToGrid/>
          <w:color w:val="auto"/>
          <w:kern w:val="2"/>
          <w:sz w:val="44"/>
          <w:szCs w:val="44"/>
          <w:lang w:eastAsia="zh-CN"/>
        </w:rPr>
        <w:t>关于</w:t>
      </w:r>
      <w:r>
        <w:rPr>
          <w:rFonts w:hint="eastAsia" w:ascii="方正小标宋_GBK" w:hAnsi="方正小标宋_GBK" w:eastAsia="方正小标宋_GBK" w:cs="方正小标宋_GBK"/>
          <w:snapToGrid/>
          <w:color w:val="auto"/>
          <w:kern w:val="2"/>
          <w:sz w:val="44"/>
          <w:szCs w:val="44"/>
          <w:u w:val="single"/>
          <w:lang w:eastAsia="zh-CN"/>
        </w:rPr>
        <w:t>（数据产品</w:t>
      </w:r>
      <w:r>
        <w:rPr>
          <w:rFonts w:hint="eastAsia" w:ascii="方正小标宋_GBK" w:hAnsi="方正小标宋_GBK" w:eastAsia="方正小标宋_GBK" w:cs="方正小标宋_GBK"/>
          <w:snapToGrid/>
          <w:color w:val="auto"/>
          <w:kern w:val="2"/>
          <w:sz w:val="44"/>
          <w:szCs w:val="44"/>
          <w:u w:val="single"/>
          <w:lang w:val="en-US" w:eastAsia="zh-CN"/>
        </w:rPr>
        <w:t>系列</w:t>
      </w:r>
      <w:r>
        <w:rPr>
          <w:rFonts w:hint="eastAsia" w:ascii="方正小标宋_GBK" w:hAnsi="方正小标宋_GBK" w:eastAsia="方正小标宋_GBK" w:cs="方正小标宋_GBK"/>
          <w:snapToGrid/>
          <w:color w:val="auto"/>
          <w:kern w:val="2"/>
          <w:sz w:val="44"/>
          <w:szCs w:val="44"/>
          <w:u w:val="single"/>
          <w:lang w:eastAsia="zh-CN"/>
        </w:rPr>
        <w:t>名称）</w:t>
      </w:r>
      <w:r>
        <w:rPr>
          <w:rFonts w:hint="eastAsia" w:ascii="方正小标宋_GBK" w:hAnsi="方正小标宋_GBK" w:eastAsia="方正小标宋_GBK" w:cs="方正小标宋_GBK"/>
          <w:snapToGrid/>
          <w:color w:val="auto"/>
          <w:kern w:val="2"/>
          <w:sz w:val="44"/>
          <w:szCs w:val="44"/>
          <w:lang w:val="en-US" w:eastAsia="zh-CN"/>
        </w:rPr>
        <w:t>系列</w:t>
      </w:r>
      <w:r>
        <w:rPr>
          <w:rFonts w:hint="eastAsia" w:ascii="方正小标宋_GBK" w:hAnsi="方正小标宋_GBK" w:eastAsia="方正小标宋_GBK" w:cs="方正小标宋_GBK"/>
          <w:snapToGrid/>
          <w:color w:val="auto"/>
          <w:kern w:val="2"/>
          <w:sz w:val="44"/>
          <w:szCs w:val="44"/>
          <w:lang w:eastAsia="zh-CN"/>
        </w:rPr>
        <w:t>数据产品在</w:t>
      </w:r>
    </w:p>
    <w:p w14:paraId="0489ABA8">
      <w:pPr>
        <w:keepNext w:val="0"/>
        <w:keepLines w:val="0"/>
        <w:pageBreakBefore w:val="0"/>
        <w:widowControl w:val="0"/>
        <w:kinsoku/>
        <w:wordWrap/>
        <w:overflowPunct/>
        <w:topLinePunct w:val="0"/>
        <w:autoSpaceDE/>
        <w:autoSpaceDN/>
        <w:bidi w:val="0"/>
        <w:adjustRightInd/>
        <w:snapToGrid/>
        <w:spacing w:line="630" w:lineRule="exact"/>
        <w:ind w:left="0"/>
        <w:jc w:val="center"/>
        <w:textAlignment w:val="auto"/>
        <w:outlineLvl w:val="9"/>
        <w:rPr>
          <w:rFonts w:hint="eastAsia" w:ascii="方正小标宋_GBK" w:hAnsi="方正小标宋_GBK" w:eastAsia="方正小标宋_GBK" w:cs="方正小标宋_GBK"/>
          <w:snapToGrid/>
          <w:color w:val="auto"/>
          <w:kern w:val="2"/>
          <w:sz w:val="44"/>
          <w:szCs w:val="44"/>
          <w:lang w:eastAsia="zh-CN"/>
        </w:rPr>
      </w:pPr>
      <w:r>
        <w:rPr>
          <w:rFonts w:hint="eastAsia" w:ascii="方正小标宋_GBK" w:hAnsi="方正小标宋_GBK" w:eastAsia="方正小标宋_GBK" w:cs="方正小标宋_GBK"/>
          <w:snapToGrid/>
          <w:color w:val="auto"/>
          <w:kern w:val="2"/>
          <w:sz w:val="44"/>
          <w:szCs w:val="44"/>
          <w:lang w:val="en-US" w:eastAsia="zh-CN"/>
        </w:rPr>
        <w:t>江苏</w:t>
      </w:r>
      <w:r>
        <w:rPr>
          <w:rFonts w:hint="eastAsia" w:ascii="方正小标宋_GBK" w:hAnsi="方正小标宋_GBK" w:eastAsia="方正小标宋_GBK" w:cs="方正小标宋_GBK"/>
          <w:snapToGrid/>
          <w:color w:val="auto"/>
          <w:kern w:val="2"/>
          <w:sz w:val="44"/>
          <w:szCs w:val="44"/>
          <w:lang w:eastAsia="zh-CN"/>
        </w:rPr>
        <w:t>数据交易所挂牌交易的合规评估</w:t>
      </w:r>
    </w:p>
    <w:p w14:paraId="4FC08831">
      <w:pPr>
        <w:keepNext w:val="0"/>
        <w:keepLines w:val="0"/>
        <w:pageBreakBefore w:val="0"/>
        <w:widowControl w:val="0"/>
        <w:kinsoku/>
        <w:wordWrap/>
        <w:overflowPunct/>
        <w:topLinePunct w:val="0"/>
        <w:autoSpaceDE/>
        <w:autoSpaceDN/>
        <w:bidi w:val="0"/>
        <w:adjustRightInd/>
        <w:snapToGrid/>
        <w:spacing w:line="630" w:lineRule="exact"/>
        <w:ind w:left="0"/>
        <w:jc w:val="center"/>
        <w:textAlignment w:val="auto"/>
        <w:outlineLvl w:val="9"/>
        <w:rPr>
          <w:rFonts w:hint="eastAsia" w:ascii="方正小标宋简体" w:hAnsi="宋体" w:eastAsia="方正小标宋简体" w:cs="黑体"/>
          <w:bCs/>
          <w:kern w:val="0"/>
          <w:sz w:val="40"/>
          <w:szCs w:val="40"/>
          <w:lang w:bidi="ar"/>
        </w:rPr>
      </w:pPr>
      <w:r>
        <w:rPr>
          <w:rFonts w:hint="eastAsia" w:ascii="方正小标宋_GBK" w:hAnsi="方正小标宋_GBK" w:eastAsia="方正小标宋_GBK" w:cs="方正小标宋_GBK"/>
          <w:snapToGrid/>
          <w:color w:val="auto"/>
          <w:kern w:val="2"/>
          <w:sz w:val="44"/>
          <w:szCs w:val="44"/>
          <w:lang w:eastAsia="zh-CN"/>
        </w:rPr>
        <w:t>法律意见书</w:t>
      </w:r>
    </w:p>
    <w:p w14:paraId="12DA9F3F">
      <w:pPr>
        <w:widowControl w:val="0"/>
        <w:kinsoku/>
        <w:autoSpaceDE/>
        <w:autoSpaceDN/>
        <w:spacing w:line="590" w:lineRule="exact"/>
        <w:ind w:firstLine="0" w:firstLineChars="0"/>
        <w:jc w:val="center"/>
        <w:textAlignment w:val="auto"/>
        <w:rPr>
          <w:rFonts w:hint="default" w:ascii="方正楷体_GBK" w:hAnsi="方正楷体_GBK" w:eastAsia="方正楷体_GBK" w:cs="方正楷体_GBK"/>
          <w:snapToGrid/>
          <w:kern w:val="2"/>
          <w:sz w:val="32"/>
          <w:szCs w:val="24"/>
          <w:lang w:val="en-US" w:eastAsia="zh-CN"/>
        </w:rPr>
      </w:pPr>
      <w:r>
        <w:rPr>
          <w:rFonts w:hint="eastAsia" w:ascii="方正楷体_GBK" w:hAnsi="方正楷体_GBK" w:eastAsia="方正楷体_GBK" w:cs="方正楷体_GBK"/>
          <w:snapToGrid/>
          <w:kern w:val="2"/>
          <w:sz w:val="32"/>
          <w:szCs w:val="24"/>
          <w:lang w:val="en-US" w:eastAsia="zh-CN"/>
        </w:rPr>
        <w:t>（试行）</w:t>
      </w:r>
    </w:p>
    <w:p w14:paraId="621CBDDA">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仿宋_GBK" w:eastAsia="方正仿宋_GBK" w:cs="Times New Roman"/>
          <w:snapToGrid/>
          <w:color w:val="auto"/>
          <w:kern w:val="2"/>
          <w:sz w:val="32"/>
          <w:szCs w:val="32"/>
          <w:lang w:val="en-US" w:eastAsia="zh-CN"/>
        </w:rPr>
      </w:pPr>
    </w:p>
    <w:p w14:paraId="249F288C">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仿宋_GBK" w:eastAsia="方正仿宋_GBK" w:cs="Times New Roman"/>
          <w:snapToGrid/>
          <w:color w:val="auto"/>
          <w:kern w:val="2"/>
          <w:sz w:val="32"/>
          <w:szCs w:val="32"/>
          <w:lang w:val="en-US" w:eastAsia="zh-CN"/>
        </w:rPr>
      </w:pPr>
      <w:r>
        <w:rPr>
          <w:rFonts w:hint="eastAsia" w:ascii="方正仿宋_GBK" w:eastAsia="方正仿宋_GBK" w:cs="Times New Roman"/>
          <w:snapToGrid/>
          <w:color w:val="auto"/>
          <w:kern w:val="2"/>
          <w:sz w:val="32"/>
          <w:szCs w:val="32"/>
          <w:lang w:val="en-US" w:eastAsia="zh-CN"/>
        </w:rPr>
        <w:t>数据产品进场交易前需制作数据产品说明书，进行专业评估，完成登记挂牌流程。数据产品提供方提交的合规评估法律意见书，应根据证明材料，按照对</w:t>
      </w:r>
      <w:r>
        <w:rPr>
          <w:rFonts w:hint="eastAsia" w:ascii="方正仿宋_GBK" w:eastAsia="方正仿宋_GBK" w:cs="Times New Roman"/>
          <w:snapToGrid/>
          <w:color w:val="auto"/>
          <w:kern w:val="2"/>
          <w:sz w:val="32"/>
          <w:szCs w:val="32"/>
          <w:lang w:eastAsia="zh-CN"/>
        </w:rPr>
        <w:t>数据产品交易主体的合规评估、系列数据产品的合规评估、数据流通风险的评估、数据安全管理及技术保护能力要求</w:t>
      </w:r>
      <w:r>
        <w:rPr>
          <w:rFonts w:hint="eastAsia" w:ascii="方正仿宋_GBK" w:eastAsia="方正仿宋_GBK" w:cs="Times New Roman"/>
          <w:snapToGrid/>
          <w:color w:val="auto"/>
          <w:kern w:val="2"/>
          <w:sz w:val="32"/>
          <w:szCs w:val="32"/>
          <w:lang w:val="en-US" w:eastAsia="zh-CN"/>
        </w:rPr>
        <w:t>这四大合规要点，针对合规要求出具相应的法律意见书，具体要求模版参考如下：</w:t>
      </w:r>
    </w:p>
    <w:p w14:paraId="515236FC">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黑体_GBK" w:hAnsi="方正黑体_GBK" w:eastAsia="方正黑体_GBK" w:cs="方正黑体_GBK"/>
          <w:b w:val="0"/>
          <w:bCs w:val="0"/>
          <w:sz w:val="32"/>
          <w:szCs w:val="32"/>
        </w:rPr>
      </w:pPr>
      <w:r>
        <w:rPr>
          <w:rFonts w:hint="eastAsia" w:ascii="方正黑体_GBK" w:hAnsi="方正黑体_GBK" w:eastAsia="方正黑体_GBK" w:cs="方正黑体_GBK"/>
          <w:b w:val="0"/>
          <w:bCs w:val="0"/>
          <w:sz w:val="32"/>
          <w:szCs w:val="32"/>
          <w:lang w:val="en-US" w:eastAsia="zh-CN"/>
        </w:rPr>
        <w:t>一、</w:t>
      </w:r>
      <w:r>
        <w:rPr>
          <w:rFonts w:hint="eastAsia" w:ascii="方正黑体_GBK" w:hAnsi="方正黑体_GBK" w:eastAsia="方正黑体_GBK" w:cs="方正黑体_GBK"/>
          <w:b w:val="0"/>
          <w:bCs w:val="0"/>
          <w:sz w:val="32"/>
          <w:szCs w:val="32"/>
        </w:rPr>
        <w:t>对数据产品交易主体的合规评估</w:t>
      </w:r>
    </w:p>
    <w:p w14:paraId="5F7C2D9A">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eastAsia="zh-CN"/>
        </w:rPr>
      </w:pPr>
      <w:r>
        <w:rPr>
          <w:rFonts w:hint="eastAsia" w:ascii="方正楷体_GBK" w:hAnsi="方正楷体_GBK" w:eastAsia="方正楷体_GBK" w:cs="方正楷体_GBK"/>
          <w:b w:val="0"/>
          <w:bCs/>
          <w:snapToGrid/>
          <w:color w:val="auto"/>
          <w:kern w:val="2"/>
          <w:sz w:val="32"/>
          <w:szCs w:val="32"/>
          <w:lang w:eastAsia="zh-CN"/>
        </w:rPr>
        <w:t>（</w:t>
      </w:r>
      <w:r>
        <w:rPr>
          <w:rFonts w:hint="eastAsia" w:ascii="方正楷体_GBK" w:hAnsi="方正楷体_GBK" w:eastAsia="方正楷体_GBK" w:cs="方正楷体_GBK"/>
          <w:b w:val="0"/>
          <w:bCs/>
          <w:snapToGrid/>
          <w:color w:val="auto"/>
          <w:kern w:val="2"/>
          <w:sz w:val="32"/>
          <w:szCs w:val="32"/>
          <w:lang w:val="en-US" w:eastAsia="zh-CN"/>
        </w:rPr>
        <w:t>一</w:t>
      </w:r>
      <w:r>
        <w:rPr>
          <w:rFonts w:hint="eastAsia" w:ascii="方正楷体_GBK" w:hAnsi="方正楷体_GBK" w:eastAsia="方正楷体_GBK" w:cs="方正楷体_GBK"/>
          <w:b w:val="0"/>
          <w:bCs/>
          <w:snapToGrid/>
          <w:color w:val="auto"/>
          <w:kern w:val="2"/>
          <w:sz w:val="32"/>
          <w:szCs w:val="32"/>
          <w:lang w:eastAsia="zh-CN"/>
        </w:rPr>
        <w:t>）总体要求</w:t>
      </w:r>
    </w:p>
    <w:p w14:paraId="1097D0A8">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w:t>
      </w:r>
      <w:r>
        <w:rPr>
          <w:rFonts w:hint="eastAsia" w:ascii="方正仿宋_GBK" w:hAnsi="方正仿宋_GBK" w:eastAsia="方正仿宋_GBK" w:cs="方正仿宋_GBK"/>
          <w:sz w:val="32"/>
          <w:szCs w:val="32"/>
          <w:lang w:eastAsia="zh-CN"/>
        </w:rPr>
        <w:t xml:space="preserve">. </w:t>
      </w:r>
      <w:r>
        <w:rPr>
          <w:rFonts w:hint="eastAsia" w:ascii="方正仿宋_GBK" w:hAnsi="方正仿宋_GBK" w:eastAsia="方正仿宋_GBK" w:cs="方正仿宋_GBK"/>
          <w:sz w:val="32"/>
          <w:szCs w:val="32"/>
        </w:rPr>
        <w:t>在中国境内依法设立并有效存续，具有固定的经营场所的法人或非法人组织；</w:t>
      </w:r>
    </w:p>
    <w:p w14:paraId="7208F6D2">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w:t>
      </w:r>
      <w:r>
        <w:rPr>
          <w:rFonts w:hint="eastAsia" w:ascii="方正仿宋_GBK" w:hAnsi="方正仿宋_GBK" w:eastAsia="方正仿宋_GBK" w:cs="方正仿宋_GBK"/>
          <w:sz w:val="32"/>
          <w:szCs w:val="32"/>
          <w:lang w:eastAsia="zh-CN"/>
        </w:rPr>
        <w:t xml:space="preserve">. </w:t>
      </w:r>
      <w:r>
        <w:rPr>
          <w:rFonts w:hint="eastAsia" w:ascii="方正仿宋_GBK" w:hAnsi="方正仿宋_GBK" w:eastAsia="方正仿宋_GBK" w:cs="方正仿宋_GBK"/>
          <w:sz w:val="32"/>
          <w:szCs w:val="32"/>
        </w:rPr>
        <w:t>董事、监事、高级管理人员等不存在对数据交易活动构成实质性重大不利影响的情形；被列为失信被执行人以及其他可能对数据交易活动构成实质性重大不利影响的情形；</w:t>
      </w:r>
    </w:p>
    <w:p w14:paraId="4BA6AEC4">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w:t>
      </w:r>
      <w:r>
        <w:rPr>
          <w:rFonts w:hint="eastAsia" w:ascii="方正仿宋_GBK" w:hAnsi="方正仿宋_GBK" w:eastAsia="方正仿宋_GBK" w:cs="方正仿宋_GBK"/>
          <w:sz w:val="32"/>
          <w:szCs w:val="32"/>
          <w:lang w:eastAsia="zh-CN"/>
        </w:rPr>
        <w:t xml:space="preserve">. </w:t>
      </w:r>
      <w:r>
        <w:rPr>
          <w:rFonts w:hint="eastAsia" w:ascii="方正仿宋_GBK" w:hAnsi="方正仿宋_GBK" w:eastAsia="方正仿宋_GBK" w:cs="方正仿宋_GBK"/>
          <w:sz w:val="32"/>
          <w:szCs w:val="32"/>
        </w:rPr>
        <w:t>三年内未发生过数据泄露等安全事件，不存在重大数据类违法违规行为以及其他可能对数据交易活动构成实质性重大不利影响的情形；</w:t>
      </w:r>
    </w:p>
    <w:p w14:paraId="63F1A41E">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4</w:t>
      </w:r>
      <w:r>
        <w:rPr>
          <w:rFonts w:hint="eastAsia" w:ascii="方正仿宋_GBK" w:hAnsi="方正仿宋_GBK" w:eastAsia="方正仿宋_GBK" w:cs="方正仿宋_GBK"/>
          <w:sz w:val="32"/>
          <w:szCs w:val="32"/>
          <w:lang w:eastAsia="zh-CN"/>
        </w:rPr>
        <w:t xml:space="preserve">. </w:t>
      </w:r>
      <w:r>
        <w:rPr>
          <w:rFonts w:hint="eastAsia" w:ascii="方正仿宋_GBK" w:hAnsi="方正仿宋_GBK" w:eastAsia="方正仿宋_GBK" w:cs="方正仿宋_GBK"/>
          <w:sz w:val="32"/>
          <w:szCs w:val="32"/>
        </w:rPr>
        <w:t>数据产品挂牌交易应当具备的其他条件。</w:t>
      </w:r>
    </w:p>
    <w:p w14:paraId="64A158E8">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证明材料</w:t>
      </w:r>
      <w:r>
        <w:rPr>
          <w:rFonts w:hint="eastAsia" w:ascii="方正仿宋_GBK" w:hAnsi="方正仿宋_GBK" w:eastAsia="方正仿宋_GBK" w:cs="方正仿宋_GBK"/>
          <w:sz w:val="32"/>
          <w:szCs w:val="32"/>
          <w:lang w:eastAsia="zh-CN"/>
        </w:rPr>
        <w:t>】</w:t>
      </w:r>
    </w:p>
    <w:p w14:paraId="15E36CBC">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营业执照、事业单位法人证书、社会团体法人登记证书等。</w:t>
      </w:r>
    </w:p>
    <w:p w14:paraId="59CB5AEB">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eastAsia="zh-CN"/>
        </w:rPr>
      </w:pPr>
      <w:r>
        <w:rPr>
          <w:rFonts w:hint="eastAsia" w:ascii="方正楷体_GBK" w:hAnsi="方正楷体_GBK" w:eastAsia="方正楷体_GBK" w:cs="方正楷体_GBK"/>
          <w:b w:val="0"/>
          <w:bCs/>
          <w:snapToGrid/>
          <w:color w:val="auto"/>
          <w:kern w:val="2"/>
          <w:sz w:val="32"/>
          <w:szCs w:val="32"/>
          <w:lang w:eastAsia="zh-CN"/>
        </w:rPr>
        <w:t>（</w:t>
      </w:r>
      <w:r>
        <w:rPr>
          <w:rFonts w:hint="eastAsia" w:ascii="方正楷体_GBK" w:hAnsi="方正楷体_GBK" w:eastAsia="方正楷体_GBK" w:cs="方正楷体_GBK"/>
          <w:b w:val="0"/>
          <w:bCs/>
          <w:snapToGrid/>
          <w:color w:val="auto"/>
          <w:kern w:val="2"/>
          <w:sz w:val="32"/>
          <w:szCs w:val="32"/>
          <w:lang w:val="en-US" w:eastAsia="zh-CN"/>
        </w:rPr>
        <w:t>二</w:t>
      </w:r>
      <w:r>
        <w:rPr>
          <w:rFonts w:hint="eastAsia" w:ascii="方正楷体_GBK" w:hAnsi="方正楷体_GBK" w:eastAsia="方正楷体_GBK" w:cs="方正楷体_GBK"/>
          <w:b w:val="0"/>
          <w:bCs/>
          <w:snapToGrid/>
          <w:color w:val="auto"/>
          <w:kern w:val="2"/>
          <w:sz w:val="32"/>
          <w:szCs w:val="32"/>
          <w:lang w:eastAsia="zh-CN"/>
        </w:rPr>
        <w:t>）合规经营能力</w:t>
      </w:r>
    </w:p>
    <w:p w14:paraId="5A6A2FE6">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w:t>
      </w:r>
      <w:r>
        <w:rPr>
          <w:rFonts w:hint="eastAsia" w:ascii="方正仿宋_GBK" w:hAnsi="方正仿宋_GBK" w:eastAsia="方正仿宋_GBK" w:cs="方正仿宋_GBK"/>
          <w:sz w:val="32"/>
          <w:szCs w:val="32"/>
          <w:lang w:eastAsia="zh-CN"/>
        </w:rPr>
        <w:t xml:space="preserve">. </w:t>
      </w:r>
      <w:r>
        <w:rPr>
          <w:rFonts w:hint="eastAsia" w:ascii="方正仿宋_GBK" w:hAnsi="方正仿宋_GBK" w:eastAsia="方正仿宋_GBK" w:cs="方正仿宋_GBK"/>
          <w:sz w:val="32"/>
          <w:szCs w:val="32"/>
        </w:rPr>
        <w:t>企业及关联企业的主营业务类型、涉及数据相关业务、主要经营场所等企业基本情况；不存在影响持续经营的重大财务等风险；</w:t>
      </w:r>
    </w:p>
    <w:p w14:paraId="0D2E15D7">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w:t>
      </w:r>
      <w:r>
        <w:rPr>
          <w:rFonts w:hint="eastAsia" w:ascii="方正仿宋_GBK" w:hAnsi="方正仿宋_GBK" w:eastAsia="方正仿宋_GBK" w:cs="方正仿宋_GBK"/>
          <w:sz w:val="32"/>
          <w:szCs w:val="32"/>
          <w:lang w:eastAsia="zh-CN"/>
        </w:rPr>
        <w:t xml:space="preserve">. </w:t>
      </w:r>
      <w:r>
        <w:rPr>
          <w:rFonts w:hint="eastAsia" w:ascii="方正仿宋_GBK" w:hAnsi="方正仿宋_GBK" w:eastAsia="方正仿宋_GBK" w:cs="方正仿宋_GBK"/>
          <w:sz w:val="32"/>
          <w:szCs w:val="32"/>
        </w:rPr>
        <w:t>企业信用报告等企业信用信息；</w:t>
      </w:r>
    </w:p>
    <w:p w14:paraId="29332172">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w:t>
      </w:r>
      <w:r>
        <w:rPr>
          <w:rFonts w:hint="eastAsia" w:ascii="方正仿宋_GBK" w:hAnsi="方正仿宋_GBK" w:eastAsia="方正仿宋_GBK" w:cs="方正仿宋_GBK"/>
          <w:sz w:val="32"/>
          <w:szCs w:val="32"/>
          <w:lang w:eastAsia="zh-CN"/>
        </w:rPr>
        <w:t xml:space="preserve">. </w:t>
      </w:r>
      <w:r>
        <w:rPr>
          <w:rFonts w:hint="eastAsia" w:ascii="方正仿宋_GBK" w:hAnsi="方正仿宋_GBK" w:eastAsia="方正仿宋_GBK" w:cs="方正仿宋_GBK"/>
          <w:sz w:val="32"/>
          <w:szCs w:val="32"/>
        </w:rPr>
        <w:t>经营风险有效控制，主要资产不存在重大权属纠纷，不存在重大偿债风险，不存在影响持续经营的担保、诉讼以及仲裁等重大事项；</w:t>
      </w:r>
    </w:p>
    <w:p w14:paraId="6CA33363">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4</w:t>
      </w:r>
      <w:r>
        <w:rPr>
          <w:rFonts w:hint="eastAsia" w:ascii="方正仿宋_GBK" w:hAnsi="方正仿宋_GBK" w:eastAsia="方正仿宋_GBK" w:cs="方正仿宋_GBK"/>
          <w:sz w:val="32"/>
          <w:szCs w:val="32"/>
          <w:lang w:eastAsia="zh-CN"/>
        </w:rPr>
        <w:t xml:space="preserve">. </w:t>
      </w:r>
      <w:r>
        <w:rPr>
          <w:rFonts w:hint="eastAsia" w:ascii="方正仿宋_GBK" w:hAnsi="方正仿宋_GBK" w:eastAsia="方正仿宋_GBK" w:cs="方正仿宋_GBK"/>
          <w:sz w:val="32"/>
          <w:szCs w:val="32"/>
        </w:rPr>
        <w:t>三年内无数据相关行政处罚或其他重大行政处罚记录，对三年内数据相关诉讼或其他重大涉诉事项应予调查并记载。</w:t>
      </w:r>
    </w:p>
    <w:p w14:paraId="1CB287E9">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证明材料</w:t>
      </w:r>
      <w:r>
        <w:rPr>
          <w:rFonts w:hint="eastAsia" w:ascii="方正仿宋_GBK" w:hAnsi="方正仿宋_GBK" w:eastAsia="方正仿宋_GBK" w:cs="方正仿宋_GBK"/>
          <w:sz w:val="32"/>
          <w:szCs w:val="32"/>
          <w:lang w:eastAsia="zh-CN"/>
        </w:rPr>
        <w:t>】</w:t>
      </w:r>
    </w:p>
    <w:p w14:paraId="53EFCDAB">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）信用中国企业信用报告；</w:t>
      </w:r>
    </w:p>
    <w:p w14:paraId="7EAB939F">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）书面承诺等。</w:t>
      </w:r>
    </w:p>
    <w:p w14:paraId="5D8BAB39">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黑体_GBK" w:hAnsi="方正黑体_GBK" w:eastAsia="方正黑体_GBK" w:cs="方正黑体_GBK"/>
          <w:b w:val="0"/>
          <w:bCs w:val="0"/>
          <w:sz w:val="32"/>
          <w:szCs w:val="32"/>
        </w:rPr>
      </w:pPr>
      <w:r>
        <w:rPr>
          <w:rFonts w:hint="eastAsia" w:ascii="方正黑体_GBK" w:hAnsi="方正黑体_GBK" w:eastAsia="方正黑体_GBK" w:cs="方正黑体_GBK"/>
          <w:b w:val="0"/>
          <w:bCs w:val="0"/>
          <w:sz w:val="32"/>
          <w:szCs w:val="32"/>
          <w:lang w:val="en-US" w:eastAsia="zh-CN"/>
        </w:rPr>
        <w:t>二、</w:t>
      </w:r>
      <w:r>
        <w:rPr>
          <w:rFonts w:hint="eastAsia" w:ascii="方正黑体_GBK" w:hAnsi="方正黑体_GBK" w:eastAsia="方正黑体_GBK" w:cs="方正黑体_GBK"/>
          <w:b w:val="0"/>
          <w:bCs w:val="0"/>
          <w:sz w:val="32"/>
          <w:szCs w:val="32"/>
        </w:rPr>
        <w:t>对系列数据产品的合规评估</w:t>
      </w:r>
    </w:p>
    <w:p w14:paraId="709821F3">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eastAsia="zh-CN"/>
        </w:rPr>
      </w:pPr>
      <w:r>
        <w:rPr>
          <w:rFonts w:hint="eastAsia" w:ascii="方正楷体_GBK" w:hAnsi="方正楷体_GBK" w:eastAsia="方正楷体_GBK" w:cs="方正楷体_GBK"/>
          <w:b w:val="0"/>
          <w:bCs/>
          <w:snapToGrid/>
          <w:color w:val="auto"/>
          <w:kern w:val="2"/>
          <w:sz w:val="32"/>
          <w:szCs w:val="32"/>
          <w:lang w:eastAsia="zh-CN"/>
        </w:rPr>
        <w:t>（</w:t>
      </w:r>
      <w:r>
        <w:rPr>
          <w:rFonts w:hint="eastAsia" w:ascii="方正楷体_GBK" w:hAnsi="方正楷体_GBK" w:eastAsia="方正楷体_GBK" w:cs="方正楷体_GBK"/>
          <w:b w:val="0"/>
          <w:bCs/>
          <w:snapToGrid/>
          <w:color w:val="auto"/>
          <w:kern w:val="2"/>
          <w:sz w:val="32"/>
          <w:szCs w:val="32"/>
          <w:lang w:val="en-US" w:eastAsia="zh-CN"/>
        </w:rPr>
        <w:t>一</w:t>
      </w:r>
      <w:r>
        <w:rPr>
          <w:rFonts w:hint="eastAsia" w:ascii="方正楷体_GBK" w:hAnsi="方正楷体_GBK" w:eastAsia="方正楷体_GBK" w:cs="方正楷体_GBK"/>
          <w:b w:val="0"/>
          <w:bCs/>
          <w:snapToGrid/>
          <w:color w:val="auto"/>
          <w:kern w:val="2"/>
          <w:sz w:val="32"/>
          <w:szCs w:val="32"/>
          <w:lang w:eastAsia="zh-CN"/>
        </w:rPr>
        <w:t>）产品基本信息和总体要求</w:t>
      </w:r>
    </w:p>
    <w:p w14:paraId="43D1E46D">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根据《数据产品说明书》内容及委托人提供的产品相关信息对产品进行逐一介绍。</w:t>
      </w:r>
    </w:p>
    <w:p w14:paraId="6FFA0FC1">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证明材料</w:t>
      </w:r>
      <w:r>
        <w:rPr>
          <w:rFonts w:hint="eastAsia" w:ascii="方正仿宋_GBK" w:hAnsi="方正仿宋_GBK" w:eastAsia="方正仿宋_GBK" w:cs="方正仿宋_GBK"/>
          <w:sz w:val="32"/>
          <w:szCs w:val="32"/>
          <w:lang w:eastAsia="zh-CN"/>
        </w:rPr>
        <w:t>】</w:t>
      </w:r>
    </w:p>
    <w:p w14:paraId="767DC729">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数据产品说明书。</w:t>
      </w:r>
    </w:p>
    <w:p w14:paraId="5118323F">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eastAsia="zh-CN"/>
        </w:rPr>
      </w:pPr>
      <w:r>
        <w:rPr>
          <w:rFonts w:hint="eastAsia" w:ascii="方正楷体_GBK" w:hAnsi="方正楷体_GBK" w:eastAsia="方正楷体_GBK" w:cs="方正楷体_GBK"/>
          <w:b w:val="0"/>
          <w:bCs/>
          <w:snapToGrid/>
          <w:color w:val="auto"/>
          <w:kern w:val="2"/>
          <w:sz w:val="32"/>
          <w:szCs w:val="32"/>
          <w:lang w:eastAsia="zh-CN"/>
        </w:rPr>
        <w:t>（</w:t>
      </w:r>
      <w:r>
        <w:rPr>
          <w:rFonts w:hint="eastAsia" w:ascii="方正楷体_GBK" w:hAnsi="方正楷体_GBK" w:eastAsia="方正楷体_GBK" w:cs="方正楷体_GBK"/>
          <w:b w:val="0"/>
          <w:bCs/>
          <w:snapToGrid/>
          <w:color w:val="auto"/>
          <w:kern w:val="2"/>
          <w:sz w:val="32"/>
          <w:szCs w:val="32"/>
          <w:lang w:val="en-US" w:eastAsia="zh-CN"/>
        </w:rPr>
        <w:t>二</w:t>
      </w:r>
      <w:r>
        <w:rPr>
          <w:rFonts w:hint="eastAsia" w:ascii="方正楷体_GBK" w:hAnsi="方正楷体_GBK" w:eastAsia="方正楷体_GBK" w:cs="方正楷体_GBK"/>
          <w:b w:val="0"/>
          <w:bCs/>
          <w:snapToGrid/>
          <w:color w:val="auto"/>
          <w:kern w:val="2"/>
          <w:sz w:val="32"/>
          <w:szCs w:val="32"/>
          <w:lang w:eastAsia="zh-CN"/>
        </w:rPr>
        <w:t>）数据来源、内容的合法性</w:t>
      </w:r>
    </w:p>
    <w:p w14:paraId="60D40EA8">
      <w:pPr>
        <w:keepNext w:val="0"/>
        <w:keepLines w:val="0"/>
        <w:pageBreakBefore w:val="0"/>
        <w:kinsoku/>
        <w:wordWrap/>
        <w:overflowPunct/>
        <w:topLinePunct w:val="0"/>
        <w:autoSpaceDE/>
        <w:autoSpaceDN/>
        <w:bidi w:val="0"/>
        <w:adjustRightInd/>
        <w:snapToGrid/>
        <w:spacing w:line="590" w:lineRule="exact"/>
        <w:ind w:left="0" w:firstLine="643"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1</w:t>
      </w:r>
      <w:r>
        <w:rPr>
          <w:rFonts w:hint="eastAsia" w:ascii="方正仿宋_GBK" w:hAnsi="方正仿宋_GBK" w:eastAsia="方正仿宋_GBK" w:cs="方正仿宋_GBK"/>
          <w:b/>
          <w:bCs/>
          <w:sz w:val="32"/>
          <w:szCs w:val="32"/>
          <w:lang w:eastAsia="zh-CN"/>
        </w:rPr>
        <w:t xml:space="preserve">. </w:t>
      </w:r>
      <w:r>
        <w:rPr>
          <w:rFonts w:hint="eastAsia" w:ascii="方正仿宋_GBK" w:hAnsi="方正仿宋_GBK" w:eastAsia="方正仿宋_GBK" w:cs="方正仿宋_GBK"/>
          <w:b/>
          <w:bCs/>
          <w:sz w:val="32"/>
          <w:szCs w:val="32"/>
        </w:rPr>
        <w:t>数据来源于自行生产的</w:t>
      </w:r>
      <w:r>
        <w:rPr>
          <w:rFonts w:hint="eastAsia" w:ascii="方正仿宋_GBK" w:hAnsi="方正仿宋_GBK" w:eastAsia="方正仿宋_GBK" w:cs="方正仿宋_GBK"/>
          <w:sz w:val="32"/>
          <w:szCs w:val="32"/>
        </w:rPr>
        <w:t>，数据收集行为应具备独立性，涉及其他相关利益方时不存在侵权或权属不清的情形；应当提供建设和运维的系统情况、传感器、智能设备数量和运行及平均采集规模等情况说明，不存在侵犯第三方权益；</w:t>
      </w:r>
    </w:p>
    <w:p w14:paraId="1A9511BE">
      <w:pPr>
        <w:keepNext w:val="0"/>
        <w:keepLines w:val="0"/>
        <w:pageBreakBefore w:val="0"/>
        <w:kinsoku/>
        <w:wordWrap/>
        <w:overflowPunct/>
        <w:topLinePunct w:val="0"/>
        <w:autoSpaceDE/>
        <w:autoSpaceDN/>
        <w:bidi w:val="0"/>
        <w:adjustRightInd/>
        <w:snapToGrid/>
        <w:spacing w:line="590" w:lineRule="exact"/>
        <w:ind w:left="0" w:firstLine="643"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2</w:t>
      </w:r>
      <w:r>
        <w:rPr>
          <w:rFonts w:hint="eastAsia" w:ascii="方正仿宋_GBK" w:hAnsi="方正仿宋_GBK" w:eastAsia="方正仿宋_GBK" w:cs="方正仿宋_GBK"/>
          <w:b/>
          <w:bCs/>
          <w:sz w:val="32"/>
          <w:szCs w:val="32"/>
          <w:lang w:eastAsia="zh-CN"/>
        </w:rPr>
        <w:t xml:space="preserve">. </w:t>
      </w:r>
      <w:r>
        <w:rPr>
          <w:rFonts w:hint="eastAsia" w:ascii="方正仿宋_GBK" w:hAnsi="方正仿宋_GBK" w:eastAsia="方正仿宋_GBK" w:cs="方正仿宋_GBK"/>
          <w:b/>
          <w:bCs/>
          <w:sz w:val="32"/>
          <w:szCs w:val="32"/>
        </w:rPr>
        <w:t>数据来源于协议获得的</w:t>
      </w:r>
      <w:r>
        <w:rPr>
          <w:rFonts w:hint="eastAsia" w:ascii="方正仿宋_GBK" w:hAnsi="方正仿宋_GBK" w:eastAsia="方正仿宋_GBK" w:cs="方正仿宋_GBK"/>
          <w:sz w:val="32"/>
          <w:szCs w:val="32"/>
        </w:rPr>
        <w:t>，应当提供完整的购买协议、合作协议或许可使用协议等证明；对法律法规及相关政策明确规定开展数据采集应当取得特殊资质、许可、认证或备案的，数据供方应当确认数据来源方已取得特殊资质、许可、认证或备案；确认数据来源方向数据供方提供数据获取渠道合法、权利清晰无争议的承诺；</w:t>
      </w:r>
    </w:p>
    <w:p w14:paraId="7650CC5D">
      <w:pPr>
        <w:keepNext w:val="0"/>
        <w:keepLines w:val="0"/>
        <w:pageBreakBefore w:val="0"/>
        <w:kinsoku/>
        <w:wordWrap/>
        <w:overflowPunct/>
        <w:topLinePunct w:val="0"/>
        <w:autoSpaceDE/>
        <w:autoSpaceDN/>
        <w:bidi w:val="0"/>
        <w:adjustRightInd/>
        <w:snapToGrid/>
        <w:spacing w:line="590" w:lineRule="exact"/>
        <w:ind w:left="0" w:firstLine="643"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3</w:t>
      </w:r>
      <w:r>
        <w:rPr>
          <w:rFonts w:hint="eastAsia" w:ascii="方正仿宋_GBK" w:hAnsi="方正仿宋_GBK" w:eastAsia="方正仿宋_GBK" w:cs="方正仿宋_GBK"/>
          <w:b/>
          <w:bCs/>
          <w:sz w:val="32"/>
          <w:szCs w:val="32"/>
          <w:lang w:eastAsia="zh-CN"/>
        </w:rPr>
        <w:t xml:space="preserve">. </w:t>
      </w:r>
      <w:r>
        <w:rPr>
          <w:rFonts w:hint="eastAsia" w:ascii="方正仿宋_GBK" w:hAnsi="方正仿宋_GBK" w:eastAsia="方正仿宋_GBK" w:cs="方正仿宋_GBK"/>
          <w:b/>
          <w:bCs/>
          <w:sz w:val="32"/>
          <w:szCs w:val="32"/>
        </w:rPr>
        <w:t>数据来源于公开收集的</w:t>
      </w:r>
      <w:r>
        <w:rPr>
          <w:rFonts w:hint="eastAsia" w:ascii="方正仿宋_GBK" w:hAnsi="方正仿宋_GBK" w:eastAsia="方正仿宋_GBK" w:cs="方正仿宋_GBK"/>
          <w:sz w:val="32"/>
          <w:szCs w:val="32"/>
        </w:rPr>
        <w:t>，应当提供公开获取方式本身的技术性描述，不得违法侵入涉密网站和计算机信息系统获取数据；不得以非法获取内部访问、操作权限等方式，未经授权或超越授权范围获取数据；不得干扰被访问网站的正常运营或者妨碍计算机信息系统正常运行；不得以技术破解方式突破网站、计算机信息系统为保护数据而设置的技术保护措施。未征得相关主体同意的，不得收集涉及他人知识产权、商业秘密或者非公开的个人信息的数据；</w:t>
      </w:r>
    </w:p>
    <w:p w14:paraId="1ACEB620">
      <w:pPr>
        <w:keepNext w:val="0"/>
        <w:keepLines w:val="0"/>
        <w:pageBreakBefore w:val="0"/>
        <w:kinsoku/>
        <w:wordWrap/>
        <w:overflowPunct/>
        <w:topLinePunct w:val="0"/>
        <w:autoSpaceDE/>
        <w:autoSpaceDN/>
        <w:bidi w:val="0"/>
        <w:adjustRightInd/>
        <w:snapToGrid/>
        <w:spacing w:line="590" w:lineRule="exact"/>
        <w:ind w:left="0" w:firstLine="643"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lang w:val="en-US" w:eastAsia="zh-CN"/>
        </w:rPr>
        <w:t xml:space="preserve">4. </w:t>
      </w:r>
      <w:r>
        <w:rPr>
          <w:rFonts w:hint="eastAsia" w:ascii="方正仿宋_GBK" w:hAnsi="方正仿宋_GBK" w:eastAsia="方正仿宋_GBK" w:cs="方正仿宋_GBK"/>
          <w:b/>
          <w:bCs/>
          <w:sz w:val="32"/>
          <w:szCs w:val="32"/>
        </w:rPr>
        <w:t>数据涉及个人信息采集的</w:t>
      </w:r>
      <w:r>
        <w:rPr>
          <w:rFonts w:hint="eastAsia" w:ascii="方正仿宋_GBK" w:hAnsi="方正仿宋_GBK" w:eastAsia="方正仿宋_GBK" w:cs="方正仿宋_GBK"/>
          <w:sz w:val="32"/>
          <w:szCs w:val="32"/>
        </w:rPr>
        <w:t>，应当提供涉个人信息的数据采集字段、采集方式和已经获得个人同意证明和提供时已经获得单独同意的证明；进行匿名化处理，不再具有关联到个人属性；依据其他合法性基础收集的涉个人信息的数据说明数据产品仍然在该合法性基础范围内；</w:t>
      </w:r>
    </w:p>
    <w:p w14:paraId="5018B24C">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【证明材料】</w:t>
      </w:r>
    </w:p>
    <w:p w14:paraId="5532F6DA">
      <w:pPr>
        <w:keepNext w:val="0"/>
        <w:keepLines w:val="0"/>
        <w:pageBreakBefore w:val="0"/>
        <w:kinsoku/>
        <w:wordWrap/>
        <w:overflowPunct/>
        <w:topLinePunct w:val="0"/>
        <w:autoSpaceDE/>
        <w:autoSpaceDN/>
        <w:bidi w:val="0"/>
        <w:adjustRightInd/>
        <w:snapToGrid/>
        <w:spacing w:line="590" w:lineRule="exact"/>
        <w:ind w:left="0" w:firstLine="643"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b/>
          <w:bCs/>
          <w:sz w:val="32"/>
          <w:szCs w:val="32"/>
          <w:lang w:val="en-US" w:eastAsia="zh-CN"/>
        </w:rPr>
        <w:t>1. 自行生产数据</w:t>
      </w:r>
    </w:p>
    <w:p w14:paraId="02BE860A">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（1）数据独立性、应用独立性的相关说明；</w:t>
      </w:r>
    </w:p>
    <w:p w14:paraId="271D9062">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（2）相关资质文件等。</w:t>
      </w:r>
    </w:p>
    <w:p w14:paraId="1A252E7E">
      <w:pPr>
        <w:keepNext w:val="0"/>
        <w:keepLines w:val="0"/>
        <w:pageBreakBefore w:val="0"/>
        <w:kinsoku/>
        <w:wordWrap/>
        <w:overflowPunct/>
        <w:topLinePunct w:val="0"/>
        <w:autoSpaceDE/>
        <w:autoSpaceDN/>
        <w:bidi w:val="0"/>
        <w:adjustRightInd/>
        <w:snapToGrid/>
        <w:spacing w:line="590" w:lineRule="exact"/>
        <w:ind w:left="0" w:firstLine="643"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b/>
          <w:bCs/>
          <w:sz w:val="32"/>
          <w:szCs w:val="32"/>
          <w:lang w:val="en-US" w:eastAsia="zh-CN"/>
        </w:rPr>
        <w:t>2. 协议获得数据</w:t>
      </w:r>
    </w:p>
    <w:p w14:paraId="424CB342">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（1）采购、合作协议；</w:t>
      </w:r>
    </w:p>
    <w:p w14:paraId="0B5EEFA6">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（2）授权许可证明；</w:t>
      </w:r>
    </w:p>
    <w:p w14:paraId="29D91673">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（3）隐私政策；</w:t>
      </w:r>
    </w:p>
    <w:p w14:paraId="03BFE93F">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（4）特殊资质、许可、备案的相关证明等。</w:t>
      </w:r>
    </w:p>
    <w:p w14:paraId="3F9EF3FF">
      <w:pPr>
        <w:keepNext w:val="0"/>
        <w:keepLines w:val="0"/>
        <w:pageBreakBefore w:val="0"/>
        <w:kinsoku/>
        <w:wordWrap/>
        <w:overflowPunct/>
        <w:topLinePunct w:val="0"/>
        <w:autoSpaceDE/>
        <w:autoSpaceDN/>
        <w:bidi w:val="0"/>
        <w:adjustRightInd/>
        <w:snapToGrid/>
        <w:spacing w:line="590" w:lineRule="exact"/>
        <w:ind w:left="0" w:firstLine="643"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b/>
          <w:bCs/>
          <w:sz w:val="32"/>
          <w:szCs w:val="32"/>
          <w:lang w:val="en-US" w:eastAsia="zh-CN"/>
        </w:rPr>
        <w:t>3. 公开收集数据</w:t>
      </w:r>
    </w:p>
    <w:p w14:paraId="503151A4">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（1）相关风险评估报告或说明等。</w:t>
      </w:r>
    </w:p>
    <w:p w14:paraId="52DB80FF">
      <w:pPr>
        <w:keepNext w:val="0"/>
        <w:keepLines w:val="0"/>
        <w:pageBreakBefore w:val="0"/>
        <w:kinsoku/>
        <w:wordWrap/>
        <w:overflowPunct/>
        <w:topLinePunct w:val="0"/>
        <w:autoSpaceDE/>
        <w:autoSpaceDN/>
        <w:bidi w:val="0"/>
        <w:adjustRightInd/>
        <w:snapToGrid/>
        <w:spacing w:line="590" w:lineRule="exact"/>
        <w:ind w:left="0" w:firstLine="643" w:firstLineChars="200"/>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4. 个人信息收集</w:t>
      </w:r>
    </w:p>
    <w:p w14:paraId="2A47DB20">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（1）隐私政策、授权协议；</w:t>
      </w:r>
    </w:p>
    <w:p w14:paraId="69053653">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（2）用户单独同意的证明材料，如包含单独同意的页面截图、条款；</w:t>
      </w:r>
    </w:p>
    <w:p w14:paraId="541C5D17">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（3）个人信息保护相关制度、流程及操作规范；</w:t>
      </w:r>
    </w:p>
    <w:p w14:paraId="6F12B85B">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（4）个人信息保护影响评估报告等。</w:t>
      </w:r>
    </w:p>
    <w:p w14:paraId="23D15E47">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eastAsia="zh-CN"/>
        </w:rPr>
      </w:pPr>
      <w:r>
        <w:rPr>
          <w:rFonts w:hint="eastAsia" w:ascii="方正楷体_GBK" w:hAnsi="方正楷体_GBK" w:eastAsia="方正楷体_GBK" w:cs="方正楷体_GBK"/>
          <w:b w:val="0"/>
          <w:bCs/>
          <w:snapToGrid/>
          <w:color w:val="auto"/>
          <w:kern w:val="2"/>
          <w:sz w:val="32"/>
          <w:szCs w:val="32"/>
          <w:lang w:eastAsia="zh-CN"/>
        </w:rPr>
        <w:t>（</w:t>
      </w:r>
      <w:r>
        <w:rPr>
          <w:rFonts w:hint="eastAsia" w:ascii="方正楷体_GBK" w:hAnsi="方正楷体_GBK" w:eastAsia="方正楷体_GBK" w:cs="方正楷体_GBK"/>
          <w:b w:val="0"/>
          <w:bCs/>
          <w:snapToGrid/>
          <w:color w:val="auto"/>
          <w:kern w:val="2"/>
          <w:sz w:val="32"/>
          <w:szCs w:val="32"/>
          <w:lang w:val="en-US" w:eastAsia="zh-CN"/>
        </w:rPr>
        <w:t>三</w:t>
      </w:r>
      <w:r>
        <w:rPr>
          <w:rFonts w:hint="eastAsia" w:ascii="方正楷体_GBK" w:hAnsi="方正楷体_GBK" w:eastAsia="方正楷体_GBK" w:cs="方正楷体_GBK"/>
          <w:b w:val="0"/>
          <w:bCs/>
          <w:snapToGrid/>
          <w:color w:val="auto"/>
          <w:kern w:val="2"/>
          <w:sz w:val="32"/>
          <w:szCs w:val="32"/>
          <w:lang w:eastAsia="zh-CN"/>
        </w:rPr>
        <w:t>）数据产品的可交易性</w:t>
      </w:r>
    </w:p>
    <w:p w14:paraId="3652E29E">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 数据产品本身及其交易不危害国家安全、公共安全和公共秩序，不违背公序良俗或侵害他人合法权益等违法信息；</w:t>
      </w:r>
    </w:p>
    <w:p w14:paraId="1FE1C99E">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 数据产品不侵犯数据上的合法权益，包括但不限于数据主体权利、商业秘密、数据使用利益和许可使用利益；</w:t>
      </w:r>
    </w:p>
    <w:p w14:paraId="6E379475">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 对身份信息或直接标识符、私密信息、敏感信息等内容已进行适当处理，保证无法识别特定个人且不能复原；</w:t>
      </w:r>
    </w:p>
    <w:p w14:paraId="4131F54B">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4. 关于知识投入情况（创造性劳动）的说明——数据处理过程说明（如采用何种算法、知识进行加工）；</w:t>
      </w:r>
    </w:p>
    <w:p w14:paraId="1F776CDA">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5. 关于注入劳动情况（实质性加工）的说明——数据处理有关佐证（如人力投入、成本投入等）；</w:t>
      </w:r>
    </w:p>
    <w:p w14:paraId="011A5089">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6. 交易协议内容。数据交易双方应签署数据交易协议，协议内容合法合规，不侵犯他人合法权益。协议应包含但不限于以下条款：数据产品信息；数据交易双方权利和义务；数据产品的质量要求；数据产品的交付期限；数据产品的更新期限；数据安全保护义务；保密义务；权利义务终止；违约责任；通知与传达；争议解决；协议的生效、变更与终止等。</w:t>
      </w:r>
    </w:p>
    <w:p w14:paraId="079B3271">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【证明材料】</w:t>
      </w:r>
    </w:p>
    <w:p w14:paraId="49BFB256">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（1）数据字典；</w:t>
      </w:r>
    </w:p>
    <w:p w14:paraId="17582977">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（2）提供部分数据字段清单予以承诺说明等。</w:t>
      </w:r>
    </w:p>
    <w:p w14:paraId="1709D9F2">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（3）交易标的加工过程说明（如人力投入、成本投入）；</w:t>
      </w:r>
    </w:p>
    <w:p w14:paraId="3A25012E">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（4）运用算法描述；</w:t>
      </w:r>
    </w:p>
    <w:p w14:paraId="7BA26701">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（5）相关专利、软著证书或其他技术性证明等。</w:t>
      </w:r>
    </w:p>
    <w:p w14:paraId="3DB3E756">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（6）交易合同模板等。</w:t>
      </w:r>
    </w:p>
    <w:p w14:paraId="48ADA7CC">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黑体_GBK" w:hAnsi="方正黑体_GBK" w:eastAsia="方正黑体_GBK" w:cs="方正黑体_GBK"/>
          <w:b w:val="0"/>
          <w:bCs w:val="0"/>
          <w:sz w:val="32"/>
          <w:szCs w:val="32"/>
          <w:lang w:val="en-US" w:eastAsia="zh-CN"/>
        </w:rPr>
      </w:pPr>
      <w:r>
        <w:rPr>
          <w:rFonts w:hint="eastAsia" w:ascii="方正黑体_GBK" w:hAnsi="方正黑体_GBK" w:eastAsia="方正黑体_GBK" w:cs="方正黑体_GBK"/>
          <w:b w:val="0"/>
          <w:bCs w:val="0"/>
          <w:sz w:val="32"/>
          <w:szCs w:val="32"/>
          <w:lang w:val="en-US" w:eastAsia="zh-CN"/>
        </w:rPr>
        <w:t>三、对数据流通风险的评估</w:t>
      </w:r>
    </w:p>
    <w:p w14:paraId="2E3068A3">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eastAsia="zh-CN"/>
        </w:rPr>
      </w:pPr>
      <w:r>
        <w:rPr>
          <w:rFonts w:hint="eastAsia" w:ascii="方正楷体_GBK" w:hAnsi="方正楷体_GBK" w:eastAsia="方正楷体_GBK" w:cs="方正楷体_GBK"/>
          <w:b w:val="0"/>
          <w:bCs/>
          <w:snapToGrid/>
          <w:color w:val="auto"/>
          <w:kern w:val="2"/>
          <w:sz w:val="32"/>
          <w:szCs w:val="32"/>
          <w:lang w:eastAsia="zh-CN"/>
        </w:rPr>
        <w:t>（一）应用场景</w:t>
      </w:r>
    </w:p>
    <w:p w14:paraId="14E5E19A">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依数据使用条件、约束机制等评估数据产品的应用场景。法律法规对交易标的应用场景、使用对象等有特别规定的，数据交易双方应当从其规定。</w:t>
      </w:r>
    </w:p>
    <w:p w14:paraId="1D243BF6">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【证明材料】</w:t>
      </w:r>
    </w:p>
    <w:p w14:paraId="489EF777">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（1）行业主管部门审批文件；</w:t>
      </w:r>
    </w:p>
    <w:p w14:paraId="7447850C">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（2）交易标的符合行业主管部门要求的说明或风险评估报告等。</w:t>
      </w:r>
    </w:p>
    <w:p w14:paraId="4293D444">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eastAsia="zh-CN"/>
        </w:rPr>
      </w:pPr>
      <w:r>
        <w:rPr>
          <w:rFonts w:hint="eastAsia" w:ascii="方正楷体_GBK" w:hAnsi="方正楷体_GBK" w:eastAsia="方正楷体_GBK" w:cs="方正楷体_GBK"/>
          <w:b w:val="0"/>
          <w:bCs/>
          <w:snapToGrid/>
          <w:color w:val="auto"/>
          <w:kern w:val="2"/>
          <w:sz w:val="32"/>
          <w:szCs w:val="32"/>
          <w:lang w:eastAsia="zh-CN"/>
        </w:rPr>
        <w:t>（二）其他利益相关方</w:t>
      </w:r>
    </w:p>
    <w:p w14:paraId="7616E02A">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综合评估数据产品可能涉及的其他利益相关方并就利益相关方情况作出风险提示。</w:t>
      </w:r>
    </w:p>
    <w:p w14:paraId="00B8E820">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eastAsia="zh-CN"/>
        </w:rPr>
      </w:pPr>
      <w:r>
        <w:rPr>
          <w:rFonts w:hint="eastAsia" w:ascii="方正楷体_GBK" w:hAnsi="方正楷体_GBK" w:eastAsia="方正楷体_GBK" w:cs="方正楷体_GBK"/>
          <w:b w:val="0"/>
          <w:bCs/>
          <w:snapToGrid/>
          <w:color w:val="auto"/>
          <w:kern w:val="2"/>
          <w:sz w:val="32"/>
          <w:szCs w:val="32"/>
          <w:lang w:eastAsia="zh-CN"/>
        </w:rPr>
        <w:t>（三）国家强制性规定</w:t>
      </w:r>
    </w:p>
    <w:p w14:paraId="55E9EB39">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 依法需要行政许可才能流通的数据产品，应当提示数据交易主体依法取得相关行政许可；</w:t>
      </w:r>
    </w:p>
    <w:p w14:paraId="6362D6DE">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2. 跨境流通的数据产品，应当提示通过相应评估； </w:t>
      </w:r>
    </w:p>
    <w:p w14:paraId="579DA33D">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 其他需要提示的情形。</w:t>
      </w:r>
    </w:p>
    <w:p w14:paraId="27C65AA4">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黑体_GBK" w:hAnsi="方正黑体_GBK" w:eastAsia="方正黑体_GBK" w:cs="方正黑体_GBK"/>
          <w:b w:val="0"/>
          <w:bCs w:val="0"/>
          <w:sz w:val="32"/>
          <w:szCs w:val="32"/>
          <w:lang w:val="en-US" w:eastAsia="zh-CN"/>
        </w:rPr>
      </w:pPr>
      <w:r>
        <w:rPr>
          <w:rFonts w:hint="eastAsia" w:ascii="方正黑体_GBK" w:hAnsi="方正黑体_GBK" w:eastAsia="方正黑体_GBK" w:cs="方正黑体_GBK"/>
          <w:b w:val="0"/>
          <w:bCs w:val="0"/>
          <w:sz w:val="32"/>
          <w:szCs w:val="32"/>
          <w:lang w:val="en-US" w:eastAsia="zh-CN"/>
        </w:rPr>
        <w:t>四、数据安全管理及技术保护能力要求</w:t>
      </w:r>
    </w:p>
    <w:p w14:paraId="3527EC92">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eastAsia="zh-CN"/>
        </w:rPr>
      </w:pPr>
      <w:r>
        <w:rPr>
          <w:rFonts w:hint="eastAsia" w:ascii="方正楷体_GBK" w:hAnsi="方正楷体_GBK" w:eastAsia="方正楷体_GBK" w:cs="方正楷体_GBK"/>
          <w:b w:val="0"/>
          <w:bCs/>
          <w:snapToGrid/>
          <w:color w:val="auto"/>
          <w:kern w:val="2"/>
          <w:sz w:val="32"/>
          <w:szCs w:val="32"/>
          <w:lang w:eastAsia="zh-CN"/>
        </w:rPr>
        <w:t>（一）数据安全管理组织建设</w:t>
      </w:r>
    </w:p>
    <w:p w14:paraId="3462B2AB">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建立健全全流程数据安全管理制度。</w:t>
      </w:r>
    </w:p>
    <w:p w14:paraId="318E37AB">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【证明材料】</w:t>
      </w:r>
    </w:p>
    <w:p w14:paraId="53721122">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（1）数据安全组织架构图及数据安全人员职责分工清单；</w:t>
      </w:r>
    </w:p>
    <w:p w14:paraId="3292A09B">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（2）数据安全负责人、个人信息保护负责人名单；</w:t>
      </w:r>
    </w:p>
    <w:p w14:paraId="7953EBA5">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（3）数据安全治理专业人员资质；</w:t>
      </w:r>
    </w:p>
    <w:p w14:paraId="51795977">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（4）关于数据管理组织建设的相关说明等。</w:t>
      </w:r>
    </w:p>
    <w:p w14:paraId="459E2719">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val="en-US" w:eastAsia="zh-CN"/>
        </w:rPr>
      </w:pPr>
      <w:r>
        <w:rPr>
          <w:rFonts w:hint="eastAsia" w:ascii="方正楷体_GBK" w:hAnsi="方正楷体_GBK" w:eastAsia="方正楷体_GBK" w:cs="方正楷体_GBK"/>
          <w:b w:val="0"/>
          <w:bCs/>
          <w:snapToGrid/>
          <w:color w:val="auto"/>
          <w:kern w:val="2"/>
          <w:sz w:val="32"/>
          <w:szCs w:val="32"/>
          <w:lang w:val="en-US" w:eastAsia="zh-CN"/>
        </w:rPr>
        <w:t>（二）信息化系统安全管理</w:t>
      </w:r>
    </w:p>
    <w:p w14:paraId="7118FEF3">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 建立信息化系统安全管理制度；</w:t>
      </w:r>
    </w:p>
    <w:p w14:paraId="088BF384">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 开展信息化安全相关检测、评估。</w:t>
      </w:r>
    </w:p>
    <w:p w14:paraId="18F3D73C">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【证明材料】</w:t>
      </w:r>
    </w:p>
    <w:p w14:paraId="6EFCEC25">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（1）信息化系统安全管理制度；</w:t>
      </w:r>
    </w:p>
    <w:p w14:paraId="323BB52F">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（2）信息安全等级保护报告；</w:t>
      </w:r>
    </w:p>
    <w:p w14:paraId="67CC5379">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val="en-US" w:eastAsia="zh-CN"/>
        </w:rPr>
      </w:pPr>
      <w:r>
        <w:rPr>
          <w:rFonts w:hint="eastAsia" w:ascii="方正楷体_GBK" w:hAnsi="方正楷体_GBK" w:eastAsia="方正楷体_GBK" w:cs="方正楷体_GBK"/>
          <w:b w:val="0"/>
          <w:bCs/>
          <w:snapToGrid/>
          <w:color w:val="auto"/>
          <w:kern w:val="2"/>
          <w:sz w:val="32"/>
          <w:szCs w:val="32"/>
          <w:lang w:val="en-US" w:eastAsia="zh-CN"/>
        </w:rPr>
        <w:t>（三）数据分类分级保护及管理</w:t>
      </w:r>
    </w:p>
    <w:p w14:paraId="26651123">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采取相匹配的保护和管理措施。</w:t>
      </w:r>
    </w:p>
    <w:p w14:paraId="7531956D">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【证明材料】</w:t>
      </w:r>
    </w:p>
    <w:p w14:paraId="39483371">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数据分类分级管理制度文件等。</w:t>
      </w:r>
    </w:p>
    <w:p w14:paraId="30814BE2">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val="en-US" w:eastAsia="zh-CN"/>
        </w:rPr>
      </w:pPr>
      <w:r>
        <w:rPr>
          <w:rFonts w:hint="eastAsia" w:ascii="方正楷体_GBK" w:hAnsi="方正楷体_GBK" w:eastAsia="方正楷体_GBK" w:cs="方正楷体_GBK"/>
          <w:b w:val="0"/>
          <w:bCs/>
          <w:snapToGrid/>
          <w:color w:val="auto"/>
          <w:kern w:val="2"/>
          <w:sz w:val="32"/>
          <w:szCs w:val="32"/>
          <w:lang w:val="en-US" w:eastAsia="zh-CN"/>
        </w:rPr>
        <w:t>（四）数据全生命周期安全管理制度</w:t>
      </w:r>
    </w:p>
    <w:p w14:paraId="1572CB64">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针对不同类型、级别数据的收集、存储、使用、加工、传输、提供、销毁等环节制定并执行安全策略和操作规程，保障数据的保密性、完整性、可用性和合规性。</w:t>
      </w:r>
    </w:p>
    <w:p w14:paraId="22BD5D79">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【证明材料】</w:t>
      </w:r>
    </w:p>
    <w:p w14:paraId="1B73CB0A">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数据全生命周期安全管理制度；</w:t>
      </w:r>
    </w:p>
    <w:p w14:paraId="006FA6EB">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val="en-US" w:eastAsia="zh-CN"/>
        </w:rPr>
      </w:pPr>
      <w:r>
        <w:rPr>
          <w:rFonts w:hint="eastAsia" w:ascii="方正楷体_GBK" w:hAnsi="方正楷体_GBK" w:eastAsia="方正楷体_GBK" w:cs="方正楷体_GBK"/>
          <w:b w:val="0"/>
          <w:bCs/>
          <w:snapToGrid/>
          <w:color w:val="auto"/>
          <w:kern w:val="2"/>
          <w:sz w:val="32"/>
          <w:szCs w:val="32"/>
          <w:lang w:val="en-US" w:eastAsia="zh-CN"/>
        </w:rPr>
        <w:t>（五）数据安全事件应急响应机制</w:t>
      </w:r>
    </w:p>
    <w:p w14:paraId="69C2D798">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 制定数据安全事件应急预案，明确应急事件响应级别、处置策略、人员职责、事件上报等；</w:t>
      </w:r>
    </w:p>
    <w:p w14:paraId="72A08EFB">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 开展数据安全应急演练。</w:t>
      </w:r>
    </w:p>
    <w:p w14:paraId="615C7E22">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【证明材料】</w:t>
      </w:r>
    </w:p>
    <w:p w14:paraId="0BBEF989">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数据安全应急预案；</w:t>
      </w:r>
    </w:p>
    <w:p w14:paraId="5D090D62">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val="en-US" w:eastAsia="zh-CN"/>
        </w:rPr>
      </w:pPr>
      <w:r>
        <w:rPr>
          <w:rFonts w:hint="eastAsia" w:ascii="方正楷体_GBK" w:hAnsi="方正楷体_GBK" w:eastAsia="方正楷体_GBK" w:cs="方正楷体_GBK"/>
          <w:b w:val="0"/>
          <w:bCs/>
          <w:snapToGrid/>
          <w:color w:val="auto"/>
          <w:kern w:val="2"/>
          <w:sz w:val="32"/>
          <w:szCs w:val="32"/>
          <w:lang w:val="en-US" w:eastAsia="zh-CN"/>
        </w:rPr>
        <w:t>（六）合作方安全管理</w:t>
      </w:r>
    </w:p>
    <w:p w14:paraId="6A900184">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 制定对软件开发商、产品供应商、系统集成商、设备维护商和服务提供商等合作方数据安全能力核查标准；</w:t>
      </w:r>
    </w:p>
    <w:p w14:paraId="076A2E31">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 对合作方进行事前安全评估并保留相关评估报告；</w:t>
      </w:r>
    </w:p>
    <w:p w14:paraId="304C7CEB">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 对合作方人员开展相关业务活动采取相应管理措施。</w:t>
      </w:r>
    </w:p>
    <w:p w14:paraId="1227E934">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【证明材料】</w:t>
      </w:r>
    </w:p>
    <w:p w14:paraId="22076297">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（1）数据合作方管理规范；</w:t>
      </w:r>
    </w:p>
    <w:p w14:paraId="26640670">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（2）合作方保密协议等。</w:t>
      </w:r>
    </w:p>
    <w:p w14:paraId="18B0C5D0">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val="en-US" w:eastAsia="zh-CN"/>
        </w:rPr>
      </w:pPr>
      <w:r>
        <w:rPr>
          <w:rFonts w:hint="eastAsia" w:ascii="方正楷体_GBK" w:hAnsi="方正楷体_GBK" w:eastAsia="方正楷体_GBK" w:cs="方正楷体_GBK"/>
          <w:b w:val="0"/>
          <w:bCs/>
          <w:snapToGrid/>
          <w:color w:val="auto"/>
          <w:kern w:val="2"/>
          <w:sz w:val="32"/>
          <w:szCs w:val="32"/>
          <w:lang w:val="en-US" w:eastAsia="zh-CN"/>
        </w:rPr>
        <w:t>（七）数据安全人员要求</w:t>
      </w:r>
    </w:p>
    <w:p w14:paraId="6A94080C">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1</w:t>
      </w:r>
      <w:r>
        <w:rPr>
          <w:rFonts w:hint="eastAsia" w:ascii="方正仿宋_GBK" w:hAnsi="方正仿宋_GBK" w:eastAsia="方正仿宋_GBK" w:cs="方正仿宋_GBK"/>
          <w:color w:val="auto"/>
          <w:sz w:val="32"/>
          <w:szCs w:val="32"/>
          <w:lang w:eastAsia="zh-CN"/>
        </w:rPr>
        <w:t xml:space="preserve">. </w:t>
      </w:r>
      <w:r>
        <w:rPr>
          <w:rFonts w:hint="eastAsia" w:ascii="方正仿宋_GBK" w:hAnsi="方正仿宋_GBK" w:eastAsia="方正仿宋_GBK" w:cs="方正仿宋_GBK"/>
          <w:color w:val="auto"/>
          <w:sz w:val="32"/>
          <w:szCs w:val="32"/>
        </w:rPr>
        <w:t>定期开展数据安全集中教育培训，并进行相关的考核；</w:t>
      </w:r>
    </w:p>
    <w:p w14:paraId="0394847B">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2</w:t>
      </w:r>
      <w:r>
        <w:rPr>
          <w:rFonts w:hint="eastAsia" w:ascii="方正仿宋_GBK" w:hAnsi="方正仿宋_GBK" w:eastAsia="方正仿宋_GBK" w:cs="方正仿宋_GBK"/>
          <w:color w:val="auto"/>
          <w:sz w:val="32"/>
          <w:szCs w:val="32"/>
          <w:lang w:eastAsia="zh-CN"/>
        </w:rPr>
        <w:t xml:space="preserve">. </w:t>
      </w:r>
      <w:r>
        <w:rPr>
          <w:rFonts w:hint="eastAsia" w:ascii="方正仿宋_GBK" w:hAnsi="方正仿宋_GBK" w:eastAsia="方正仿宋_GBK" w:cs="方正仿宋_GBK"/>
          <w:color w:val="auto"/>
          <w:sz w:val="32"/>
          <w:szCs w:val="32"/>
        </w:rPr>
        <w:t>对关键数据岗位人员建立问责机制。</w:t>
      </w:r>
    </w:p>
    <w:p w14:paraId="7A0D26DE">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lang w:eastAsia="zh-CN"/>
        </w:rPr>
        <w:t>【</w:t>
      </w:r>
      <w:r>
        <w:rPr>
          <w:rFonts w:hint="eastAsia" w:ascii="方正仿宋_GBK" w:hAnsi="方正仿宋_GBK" w:eastAsia="方正仿宋_GBK" w:cs="方正仿宋_GBK"/>
          <w:color w:val="auto"/>
          <w:sz w:val="32"/>
          <w:szCs w:val="32"/>
        </w:rPr>
        <w:t>证明材料</w:t>
      </w:r>
      <w:r>
        <w:rPr>
          <w:rFonts w:hint="eastAsia" w:ascii="方正仿宋_GBK" w:hAnsi="方正仿宋_GBK" w:eastAsia="方正仿宋_GBK" w:cs="方正仿宋_GBK"/>
          <w:color w:val="auto"/>
          <w:sz w:val="32"/>
          <w:szCs w:val="32"/>
          <w:lang w:eastAsia="zh-CN"/>
        </w:rPr>
        <w:t>】</w:t>
      </w:r>
    </w:p>
    <w:p w14:paraId="4EE99DD4">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（1）数据安全培训记录及考核记录；</w:t>
      </w:r>
    </w:p>
    <w:p w14:paraId="6B7733E6">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（2）关键岗位人员保密协议等。</w:t>
      </w:r>
    </w:p>
    <w:p w14:paraId="75EB634A">
      <w:pPr>
        <w:keepNext w:val="0"/>
        <w:keepLines w:val="0"/>
        <w:pageBreakBefore w:val="0"/>
        <w:widowControl w:val="0"/>
        <w:kinsoku/>
        <w:wordWrap/>
        <w:overflowPunct/>
        <w:topLinePunct w:val="0"/>
        <w:autoSpaceDE/>
        <w:autoSpaceDN/>
        <w:bidi w:val="0"/>
        <w:adjustRightInd/>
        <w:snapToGrid/>
        <w:spacing w:line="590" w:lineRule="exact"/>
        <w:ind w:left="0" w:firstLine="640" w:firstLineChars="200"/>
        <w:jc w:val="both"/>
        <w:textAlignment w:val="auto"/>
        <w:rPr>
          <w:rFonts w:hint="eastAsia" w:ascii="方正楷体_GBK" w:hAnsi="方正楷体_GBK" w:eastAsia="方正楷体_GBK" w:cs="方正楷体_GBK"/>
          <w:b w:val="0"/>
          <w:bCs/>
          <w:snapToGrid/>
          <w:color w:val="auto"/>
          <w:kern w:val="2"/>
          <w:sz w:val="32"/>
          <w:szCs w:val="32"/>
          <w:lang w:val="en-US" w:eastAsia="zh-CN"/>
        </w:rPr>
      </w:pPr>
      <w:r>
        <w:rPr>
          <w:rFonts w:hint="eastAsia" w:ascii="方正楷体_GBK" w:hAnsi="方正楷体_GBK" w:eastAsia="方正楷体_GBK" w:cs="方正楷体_GBK"/>
          <w:b w:val="0"/>
          <w:bCs/>
          <w:snapToGrid/>
          <w:color w:val="auto"/>
          <w:kern w:val="2"/>
          <w:sz w:val="32"/>
          <w:szCs w:val="32"/>
          <w:lang w:val="en-US" w:eastAsia="zh-CN"/>
        </w:rPr>
        <w:t>（八）数据安全技术保护体系</w:t>
      </w:r>
    </w:p>
    <w:p w14:paraId="3CC9C785">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w:t>
      </w:r>
      <w:r>
        <w:rPr>
          <w:rFonts w:hint="eastAsia" w:ascii="方正仿宋_GBK" w:hAnsi="方正仿宋_GBK" w:eastAsia="方正仿宋_GBK" w:cs="方正仿宋_GBK"/>
          <w:sz w:val="32"/>
          <w:szCs w:val="32"/>
          <w:lang w:eastAsia="zh-CN"/>
        </w:rPr>
        <w:t xml:space="preserve">. </w:t>
      </w:r>
      <w:r>
        <w:rPr>
          <w:rFonts w:hint="eastAsia" w:ascii="方正仿宋_GBK" w:hAnsi="方正仿宋_GBK" w:eastAsia="方正仿宋_GBK" w:cs="方正仿宋_GBK"/>
          <w:sz w:val="32"/>
          <w:szCs w:val="32"/>
        </w:rPr>
        <w:t>通过技术工具建立数据管理台账，有效识别并管理数据；</w:t>
      </w:r>
    </w:p>
    <w:p w14:paraId="1AAEB3C3">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w:t>
      </w:r>
      <w:r>
        <w:rPr>
          <w:rFonts w:hint="eastAsia" w:ascii="方正仿宋_GBK" w:hAnsi="方正仿宋_GBK" w:eastAsia="方正仿宋_GBK" w:cs="方正仿宋_GBK"/>
          <w:sz w:val="32"/>
          <w:szCs w:val="32"/>
          <w:lang w:eastAsia="zh-CN"/>
        </w:rPr>
        <w:t xml:space="preserve">. </w:t>
      </w:r>
      <w:r>
        <w:rPr>
          <w:rFonts w:hint="eastAsia" w:ascii="方正仿宋_GBK" w:hAnsi="方正仿宋_GBK" w:eastAsia="方正仿宋_GBK" w:cs="方正仿宋_GBK"/>
          <w:sz w:val="32"/>
          <w:szCs w:val="32"/>
        </w:rPr>
        <w:t>采取加密存储、数据脱敏、身份鉴别、访问控制、安全监测等安全保护措施；</w:t>
      </w:r>
    </w:p>
    <w:p w14:paraId="438D4D88">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w:t>
      </w:r>
      <w:r>
        <w:rPr>
          <w:rFonts w:hint="eastAsia" w:ascii="方正仿宋_GBK" w:hAnsi="方正仿宋_GBK" w:eastAsia="方正仿宋_GBK" w:cs="方正仿宋_GBK"/>
          <w:sz w:val="32"/>
          <w:szCs w:val="32"/>
          <w:lang w:eastAsia="zh-CN"/>
        </w:rPr>
        <w:t xml:space="preserve">. </w:t>
      </w:r>
      <w:r>
        <w:rPr>
          <w:rFonts w:hint="eastAsia" w:ascii="方正仿宋_GBK" w:hAnsi="方正仿宋_GBK" w:eastAsia="方正仿宋_GBK" w:cs="方正仿宋_GBK"/>
          <w:sz w:val="32"/>
          <w:szCs w:val="32"/>
        </w:rPr>
        <w:t>通过技术手段对网络入侵防护采取有效控制措施。</w:t>
      </w:r>
    </w:p>
    <w:p w14:paraId="11A4EEAA">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证明材料</w:t>
      </w:r>
      <w:r>
        <w:rPr>
          <w:rFonts w:hint="eastAsia" w:ascii="方正仿宋_GBK" w:hAnsi="方正仿宋_GBK" w:eastAsia="方正仿宋_GBK" w:cs="方正仿宋_GBK"/>
          <w:sz w:val="32"/>
          <w:szCs w:val="32"/>
          <w:lang w:eastAsia="zh-CN"/>
        </w:rPr>
        <w:t>】</w:t>
      </w:r>
    </w:p>
    <w:p w14:paraId="4E5B4C93">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（1）数据安全技术保护架构；</w:t>
      </w:r>
    </w:p>
    <w:p w14:paraId="6486053B">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w:t>
      </w:r>
      <w:r>
        <w:rPr>
          <w:rFonts w:hint="eastAsia" w:ascii="方正仿宋_GBK" w:hAnsi="方正仿宋_GBK" w:eastAsia="方正仿宋_GBK" w:cs="方正仿宋_GBK"/>
          <w:color w:val="auto"/>
          <w:sz w:val="32"/>
          <w:szCs w:val="32"/>
          <w:lang w:val="en-US" w:eastAsia="zh-CN"/>
        </w:rPr>
        <w:t>2</w:t>
      </w:r>
      <w:r>
        <w:rPr>
          <w:rFonts w:hint="eastAsia" w:ascii="方正仿宋_GBK" w:hAnsi="方正仿宋_GBK" w:eastAsia="方正仿宋_GBK" w:cs="方正仿宋_GBK"/>
          <w:color w:val="auto"/>
          <w:sz w:val="32"/>
          <w:szCs w:val="32"/>
        </w:rPr>
        <w:t>）技术保护措施情况说明等。</w:t>
      </w:r>
    </w:p>
    <w:p w14:paraId="5D842FF2">
      <w:pPr>
        <w:keepNext w:val="0"/>
        <w:keepLines w:val="0"/>
        <w:pageBreakBefore w:val="0"/>
        <w:kinsoku/>
        <w:wordWrap/>
        <w:overflowPunct/>
        <w:topLinePunct w:val="0"/>
        <w:autoSpaceDE/>
        <w:autoSpaceDN/>
        <w:bidi w:val="0"/>
        <w:adjustRightInd/>
        <w:snapToGrid/>
        <w:spacing w:line="590" w:lineRule="exact"/>
        <w:ind w:left="0" w:firstLine="640" w:firstLineChars="200"/>
        <w:textAlignment w:val="auto"/>
        <w:rPr>
          <w:rFonts w:hint="eastAsia" w:ascii="方正仿宋_GBK" w:hAnsi="方正仿宋_GBK" w:eastAsia="方正仿宋_GBK" w:cs="方正仿宋_GBK"/>
          <w:i/>
          <w:iCs/>
          <w:color w:val="FF0000"/>
          <w:sz w:val="32"/>
          <w:szCs w:val="32"/>
          <w:lang w:val="en-US" w:eastAsia="zh-CN"/>
        </w:rPr>
      </w:pPr>
    </w:p>
    <w:p w14:paraId="6209A7D8">
      <w:pPr>
        <w:keepNext w:val="0"/>
        <w:keepLines w:val="0"/>
        <w:pageBreakBefore w:val="0"/>
        <w:widowControl/>
        <w:wordWrap/>
        <w:overflowPunct/>
        <w:topLinePunct w:val="0"/>
        <w:bidi w:val="0"/>
        <w:spacing w:line="590" w:lineRule="exact"/>
        <w:ind w:left="0" w:firstLine="640" w:firstLineChars="200"/>
        <w:jc w:val="left"/>
        <w:rPr>
          <w:rFonts w:hint="eastAsia" w:ascii="方正仿宋_GBK" w:hAnsi="方正仿宋_GBK" w:eastAsia="方正仿宋_GBK" w:cs="方正仿宋_GBK"/>
          <w:bCs/>
          <w:color w:val="auto"/>
          <w:kern w:val="0"/>
          <w:sz w:val="32"/>
          <w:szCs w:val="32"/>
          <w:lang w:bidi="ar"/>
        </w:rPr>
      </w:pPr>
      <w:r>
        <w:rPr>
          <w:rFonts w:hint="eastAsia" w:ascii="方正仿宋_GBK" w:hAnsi="方正仿宋_GBK" w:eastAsia="方正仿宋_GBK" w:cs="方正仿宋_GBK"/>
          <w:bCs/>
          <w:color w:val="auto"/>
          <w:kern w:val="0"/>
          <w:sz w:val="32"/>
          <w:szCs w:val="32"/>
          <w:lang w:bidi="ar"/>
        </w:rPr>
        <w:t>附件</w:t>
      </w:r>
      <w:r>
        <w:rPr>
          <w:rFonts w:hint="eastAsia" w:ascii="方正仿宋_GBK" w:hAnsi="方正仿宋_GBK" w:eastAsia="方正仿宋_GBK" w:cs="方正仿宋_GBK"/>
          <w:bCs/>
          <w:color w:val="auto"/>
          <w:kern w:val="0"/>
          <w:sz w:val="32"/>
          <w:szCs w:val="32"/>
          <w:lang w:val="en-US" w:eastAsia="zh-CN" w:bidi="ar"/>
        </w:rPr>
        <w:t>1-1</w:t>
      </w:r>
      <w:r>
        <w:rPr>
          <w:rFonts w:hint="eastAsia" w:ascii="方正仿宋_GBK" w:hAnsi="方正仿宋_GBK" w:eastAsia="方正仿宋_GBK" w:cs="方正仿宋_GBK"/>
          <w:bCs/>
          <w:color w:val="auto"/>
          <w:kern w:val="0"/>
          <w:sz w:val="32"/>
          <w:szCs w:val="32"/>
          <w:lang w:bidi="ar"/>
        </w:rPr>
        <w:t>：本次评估的依据法律文件</w:t>
      </w:r>
    </w:p>
    <w:p w14:paraId="776A345F">
      <w:pPr>
        <w:keepNext w:val="0"/>
        <w:keepLines w:val="0"/>
        <w:pageBreakBefore w:val="0"/>
        <w:widowControl/>
        <w:wordWrap/>
        <w:overflowPunct/>
        <w:topLinePunct w:val="0"/>
        <w:bidi w:val="0"/>
        <w:spacing w:line="590" w:lineRule="exact"/>
        <w:ind w:left="0" w:firstLine="640" w:firstLineChars="200"/>
        <w:jc w:val="left"/>
        <w:rPr>
          <w:rFonts w:hint="eastAsia" w:ascii="方正仿宋_GBK" w:hAnsi="方正仿宋_GBK" w:eastAsia="方正仿宋_GBK" w:cs="方正仿宋_GBK"/>
          <w:bCs/>
          <w:color w:val="auto"/>
          <w:kern w:val="0"/>
          <w:sz w:val="32"/>
          <w:szCs w:val="32"/>
          <w:lang w:bidi="ar"/>
        </w:rPr>
      </w:pPr>
      <w:r>
        <w:rPr>
          <w:rFonts w:hint="eastAsia" w:ascii="方正仿宋_GBK" w:hAnsi="方正仿宋_GBK" w:eastAsia="方正仿宋_GBK" w:cs="方正仿宋_GBK"/>
          <w:bCs/>
          <w:color w:val="auto"/>
          <w:kern w:val="0"/>
          <w:sz w:val="32"/>
          <w:szCs w:val="32"/>
          <w:lang w:bidi="ar"/>
        </w:rPr>
        <w:t>附件</w:t>
      </w:r>
      <w:r>
        <w:rPr>
          <w:rFonts w:hint="eastAsia" w:ascii="方正仿宋_GBK" w:hAnsi="方正仿宋_GBK" w:eastAsia="方正仿宋_GBK" w:cs="方正仿宋_GBK"/>
          <w:bCs/>
          <w:color w:val="auto"/>
          <w:kern w:val="0"/>
          <w:sz w:val="32"/>
          <w:szCs w:val="32"/>
          <w:lang w:val="en-US" w:eastAsia="zh-CN" w:bidi="ar"/>
        </w:rPr>
        <w:t>1-2</w:t>
      </w:r>
      <w:r>
        <w:rPr>
          <w:rFonts w:hint="eastAsia" w:ascii="方正仿宋_GBK" w:hAnsi="方正仿宋_GBK" w:eastAsia="方正仿宋_GBK" w:cs="方正仿宋_GBK"/>
          <w:bCs/>
          <w:color w:val="auto"/>
          <w:kern w:val="0"/>
          <w:sz w:val="32"/>
          <w:szCs w:val="32"/>
          <w:lang w:bidi="ar"/>
        </w:rPr>
        <w:t>：本次评估依据的事实材料</w:t>
      </w:r>
    </w:p>
    <w:p w14:paraId="16E0B79C">
      <w:pPr>
        <w:keepNext w:val="0"/>
        <w:keepLines w:val="0"/>
        <w:pageBreakBefore w:val="0"/>
        <w:widowControl/>
        <w:wordWrap/>
        <w:overflowPunct/>
        <w:topLinePunct w:val="0"/>
        <w:bidi w:val="0"/>
        <w:spacing w:line="590" w:lineRule="exact"/>
        <w:ind w:left="0" w:firstLine="640" w:firstLineChars="200"/>
        <w:jc w:val="left"/>
        <w:rPr>
          <w:rFonts w:hint="eastAsia" w:ascii="方正仿宋_GBK" w:hAnsi="方正仿宋_GBK" w:eastAsia="方正仿宋_GBK" w:cs="方正仿宋_GBK"/>
          <w:bCs/>
          <w:kern w:val="0"/>
          <w:sz w:val="32"/>
          <w:szCs w:val="32"/>
          <w:lang w:bidi="ar"/>
        </w:rPr>
      </w:pPr>
      <w:r>
        <w:rPr>
          <w:rFonts w:hint="eastAsia" w:ascii="方正仿宋_GBK" w:hAnsi="方正仿宋_GBK" w:eastAsia="方正仿宋_GBK" w:cs="方正仿宋_GBK"/>
          <w:bCs/>
          <w:kern w:val="0"/>
          <w:sz w:val="32"/>
          <w:szCs w:val="32"/>
          <w:lang w:eastAsia="zh-CN" w:bidi="ar"/>
        </w:rPr>
        <w:t>（</w:t>
      </w:r>
      <w:r>
        <w:rPr>
          <w:rFonts w:hint="eastAsia" w:ascii="方正仿宋_GBK" w:hAnsi="方正仿宋_GBK" w:eastAsia="方正仿宋_GBK" w:cs="方正仿宋_GBK"/>
          <w:bCs/>
          <w:kern w:val="0"/>
          <w:sz w:val="32"/>
          <w:szCs w:val="32"/>
          <w:lang w:val="en-US" w:eastAsia="zh-CN" w:bidi="ar"/>
        </w:rPr>
        <w:t>1</w:t>
      </w:r>
      <w:r>
        <w:rPr>
          <w:rFonts w:hint="eastAsia" w:ascii="方正仿宋_GBK" w:hAnsi="方正仿宋_GBK" w:eastAsia="方正仿宋_GBK" w:cs="方正仿宋_GBK"/>
          <w:bCs/>
          <w:kern w:val="0"/>
          <w:sz w:val="32"/>
          <w:szCs w:val="32"/>
          <w:lang w:eastAsia="zh-CN" w:bidi="ar"/>
        </w:rPr>
        <w:t>）</w:t>
      </w:r>
      <w:r>
        <w:rPr>
          <w:rFonts w:hint="eastAsia" w:ascii="方正仿宋_GBK" w:hAnsi="方正仿宋_GBK" w:eastAsia="方正仿宋_GBK" w:cs="方正仿宋_GBK"/>
          <w:bCs/>
          <w:kern w:val="0"/>
          <w:sz w:val="32"/>
          <w:szCs w:val="32"/>
          <w:lang w:bidi="ar"/>
        </w:rPr>
        <w:t>营业执照、相关业务许可证</w:t>
      </w:r>
    </w:p>
    <w:p w14:paraId="0378EAC9">
      <w:pPr>
        <w:keepNext w:val="0"/>
        <w:keepLines w:val="0"/>
        <w:pageBreakBefore w:val="0"/>
        <w:widowControl/>
        <w:wordWrap/>
        <w:overflowPunct/>
        <w:topLinePunct w:val="0"/>
        <w:bidi w:val="0"/>
        <w:spacing w:line="590" w:lineRule="exact"/>
        <w:ind w:left="0" w:firstLine="640" w:firstLineChars="200"/>
        <w:jc w:val="left"/>
        <w:rPr>
          <w:rFonts w:hint="eastAsia" w:ascii="方正仿宋_GBK" w:hAnsi="方正仿宋_GBK" w:eastAsia="方正仿宋_GBK" w:cs="方正仿宋_GBK"/>
          <w:bCs/>
          <w:kern w:val="0"/>
          <w:sz w:val="32"/>
          <w:szCs w:val="32"/>
          <w:lang w:bidi="ar"/>
        </w:rPr>
      </w:pPr>
      <w:r>
        <w:rPr>
          <w:rFonts w:hint="eastAsia" w:ascii="方正仿宋_GBK" w:hAnsi="方正仿宋_GBK" w:eastAsia="方正仿宋_GBK" w:cs="方正仿宋_GBK"/>
          <w:bCs/>
          <w:kern w:val="0"/>
          <w:sz w:val="32"/>
          <w:szCs w:val="32"/>
          <w:lang w:eastAsia="zh-CN" w:bidi="ar"/>
        </w:rPr>
        <w:t>（</w:t>
      </w:r>
      <w:r>
        <w:rPr>
          <w:rFonts w:hint="eastAsia" w:ascii="方正仿宋_GBK" w:hAnsi="方正仿宋_GBK" w:eastAsia="方正仿宋_GBK" w:cs="方正仿宋_GBK"/>
          <w:bCs/>
          <w:kern w:val="0"/>
          <w:sz w:val="32"/>
          <w:szCs w:val="32"/>
          <w:lang w:val="en-US" w:eastAsia="zh-CN" w:bidi="ar"/>
        </w:rPr>
        <w:t>2</w:t>
      </w:r>
      <w:r>
        <w:rPr>
          <w:rFonts w:hint="eastAsia" w:ascii="方正仿宋_GBK" w:hAnsi="方正仿宋_GBK" w:eastAsia="方正仿宋_GBK" w:cs="方正仿宋_GBK"/>
          <w:bCs/>
          <w:kern w:val="0"/>
          <w:sz w:val="32"/>
          <w:szCs w:val="32"/>
          <w:lang w:eastAsia="zh-CN" w:bidi="ar"/>
        </w:rPr>
        <w:t>）</w:t>
      </w:r>
      <w:r>
        <w:rPr>
          <w:rFonts w:hint="eastAsia" w:ascii="方正仿宋_GBK" w:hAnsi="方正仿宋_GBK" w:eastAsia="方正仿宋_GBK" w:cs="方正仿宋_GBK"/>
          <w:bCs/>
          <w:kern w:val="0"/>
          <w:sz w:val="32"/>
          <w:szCs w:val="32"/>
          <w:lang w:bidi="ar"/>
        </w:rPr>
        <w:t>数据来源相关合同、授权证明</w:t>
      </w:r>
    </w:p>
    <w:p w14:paraId="18F140D1">
      <w:pPr>
        <w:keepNext w:val="0"/>
        <w:keepLines w:val="0"/>
        <w:pageBreakBefore w:val="0"/>
        <w:widowControl/>
        <w:wordWrap/>
        <w:overflowPunct/>
        <w:topLinePunct w:val="0"/>
        <w:bidi w:val="0"/>
        <w:spacing w:line="590" w:lineRule="exact"/>
        <w:ind w:left="0" w:firstLine="640" w:firstLineChars="200"/>
        <w:jc w:val="left"/>
        <w:rPr>
          <w:rFonts w:hint="eastAsia" w:ascii="方正仿宋_GBK" w:hAnsi="方正仿宋_GBK" w:eastAsia="方正仿宋_GBK" w:cs="方正仿宋_GBK"/>
          <w:bCs/>
          <w:kern w:val="0"/>
          <w:sz w:val="32"/>
          <w:szCs w:val="32"/>
          <w:lang w:bidi="ar"/>
        </w:rPr>
      </w:pPr>
      <w:r>
        <w:rPr>
          <w:rFonts w:hint="eastAsia" w:ascii="方正仿宋_GBK" w:hAnsi="方正仿宋_GBK" w:eastAsia="方正仿宋_GBK" w:cs="方正仿宋_GBK"/>
          <w:bCs/>
          <w:kern w:val="0"/>
          <w:sz w:val="32"/>
          <w:szCs w:val="32"/>
          <w:lang w:eastAsia="zh-CN" w:bidi="ar"/>
        </w:rPr>
        <w:t>（</w:t>
      </w:r>
      <w:r>
        <w:rPr>
          <w:rFonts w:hint="eastAsia" w:ascii="方正仿宋_GBK" w:hAnsi="方正仿宋_GBK" w:eastAsia="方正仿宋_GBK" w:cs="方正仿宋_GBK"/>
          <w:bCs/>
          <w:kern w:val="0"/>
          <w:sz w:val="32"/>
          <w:szCs w:val="32"/>
          <w:lang w:val="en-US" w:eastAsia="zh-CN" w:bidi="ar"/>
        </w:rPr>
        <w:t>3</w:t>
      </w:r>
      <w:r>
        <w:rPr>
          <w:rFonts w:hint="eastAsia" w:ascii="方正仿宋_GBK" w:hAnsi="方正仿宋_GBK" w:eastAsia="方正仿宋_GBK" w:cs="方正仿宋_GBK"/>
          <w:bCs/>
          <w:kern w:val="0"/>
          <w:sz w:val="32"/>
          <w:szCs w:val="32"/>
          <w:lang w:eastAsia="zh-CN" w:bidi="ar"/>
        </w:rPr>
        <w:t>）</w:t>
      </w:r>
      <w:r>
        <w:rPr>
          <w:rFonts w:hint="eastAsia" w:ascii="方正仿宋_GBK" w:hAnsi="方正仿宋_GBK" w:eastAsia="方正仿宋_GBK" w:cs="方正仿宋_GBK"/>
          <w:bCs/>
          <w:kern w:val="0"/>
          <w:sz w:val="32"/>
          <w:szCs w:val="32"/>
          <w:lang w:bidi="ar"/>
        </w:rPr>
        <w:t>数据产品说明书</w:t>
      </w:r>
    </w:p>
    <w:p w14:paraId="08274579">
      <w:pPr>
        <w:keepNext w:val="0"/>
        <w:keepLines w:val="0"/>
        <w:pageBreakBefore w:val="0"/>
        <w:widowControl/>
        <w:wordWrap/>
        <w:overflowPunct/>
        <w:topLinePunct w:val="0"/>
        <w:bidi w:val="0"/>
        <w:spacing w:line="590" w:lineRule="exact"/>
        <w:ind w:left="0" w:firstLine="640" w:firstLineChars="200"/>
        <w:jc w:val="left"/>
        <w:rPr>
          <w:rFonts w:hint="eastAsia" w:ascii="方正仿宋_GBK" w:hAnsi="方正仿宋_GBK" w:eastAsia="方正仿宋_GBK" w:cs="方正仿宋_GBK"/>
          <w:bCs/>
          <w:kern w:val="0"/>
          <w:sz w:val="32"/>
          <w:szCs w:val="32"/>
          <w:lang w:bidi="ar"/>
        </w:rPr>
      </w:pPr>
      <w:r>
        <w:rPr>
          <w:rFonts w:hint="eastAsia" w:ascii="方正仿宋_GBK" w:hAnsi="方正仿宋_GBK" w:eastAsia="方正仿宋_GBK" w:cs="方正仿宋_GBK"/>
          <w:bCs/>
          <w:kern w:val="0"/>
          <w:sz w:val="32"/>
          <w:szCs w:val="32"/>
          <w:lang w:eastAsia="zh-CN" w:bidi="ar"/>
        </w:rPr>
        <w:t>（</w:t>
      </w:r>
      <w:r>
        <w:rPr>
          <w:rFonts w:hint="eastAsia" w:ascii="方正仿宋_GBK" w:hAnsi="方正仿宋_GBK" w:eastAsia="方正仿宋_GBK" w:cs="方正仿宋_GBK"/>
          <w:bCs/>
          <w:kern w:val="0"/>
          <w:sz w:val="32"/>
          <w:szCs w:val="32"/>
          <w:lang w:val="en-US" w:eastAsia="zh-CN" w:bidi="ar"/>
        </w:rPr>
        <w:t>4</w:t>
      </w:r>
      <w:r>
        <w:rPr>
          <w:rFonts w:hint="eastAsia" w:ascii="方正仿宋_GBK" w:hAnsi="方正仿宋_GBK" w:eastAsia="方正仿宋_GBK" w:cs="方正仿宋_GBK"/>
          <w:bCs/>
          <w:kern w:val="0"/>
          <w:sz w:val="32"/>
          <w:szCs w:val="32"/>
          <w:lang w:eastAsia="zh-CN" w:bidi="ar"/>
        </w:rPr>
        <w:t>）</w:t>
      </w:r>
      <w:r>
        <w:rPr>
          <w:rFonts w:hint="eastAsia" w:ascii="方正仿宋_GBK" w:hAnsi="方正仿宋_GBK" w:eastAsia="方正仿宋_GBK" w:cs="方正仿宋_GBK"/>
          <w:bCs/>
          <w:kern w:val="0"/>
          <w:sz w:val="32"/>
          <w:szCs w:val="32"/>
          <w:lang w:val="en-US" w:eastAsia="zh-CN" w:bidi="ar"/>
        </w:rPr>
        <w:t>其他材料</w:t>
      </w:r>
    </w:p>
    <w:p w14:paraId="0C8108D7">
      <w:pPr>
        <w:keepNext w:val="0"/>
        <w:keepLines w:val="0"/>
        <w:pageBreakBefore w:val="0"/>
        <w:widowControl/>
        <w:wordWrap/>
        <w:overflowPunct/>
        <w:topLinePunct w:val="0"/>
        <w:bidi w:val="0"/>
        <w:spacing w:line="590" w:lineRule="exact"/>
        <w:ind w:left="0" w:firstLine="640" w:firstLineChars="200"/>
        <w:jc w:val="left"/>
        <w:rPr>
          <w:rFonts w:hint="eastAsia" w:ascii="方正仿宋_GBK" w:hAnsi="方正仿宋_GBK" w:eastAsia="方正仿宋_GBK" w:cs="方正仿宋_GBK"/>
          <w:bCs/>
          <w:kern w:val="0"/>
          <w:sz w:val="32"/>
          <w:szCs w:val="32"/>
          <w:lang w:bidi="ar"/>
        </w:rPr>
      </w:pPr>
      <w:r>
        <w:rPr>
          <w:rFonts w:hint="eastAsia" w:ascii="方正仿宋_GBK" w:hAnsi="方正仿宋_GBK" w:eastAsia="方正仿宋_GBK" w:cs="方正仿宋_GBK"/>
          <w:bCs/>
          <w:kern w:val="0"/>
          <w:sz w:val="32"/>
          <w:szCs w:val="32"/>
          <w:lang w:bidi="ar"/>
        </w:rPr>
        <w:t>附件</w:t>
      </w:r>
      <w:r>
        <w:rPr>
          <w:rFonts w:hint="eastAsia" w:ascii="方正仿宋_GBK" w:hAnsi="方正仿宋_GBK" w:eastAsia="方正仿宋_GBK" w:cs="方正仿宋_GBK"/>
          <w:bCs/>
          <w:kern w:val="0"/>
          <w:sz w:val="32"/>
          <w:szCs w:val="32"/>
          <w:lang w:val="en-US" w:eastAsia="zh-CN" w:bidi="ar"/>
        </w:rPr>
        <w:t>1-3</w:t>
      </w:r>
      <w:r>
        <w:rPr>
          <w:rFonts w:hint="eastAsia" w:ascii="方正仿宋_GBK" w:hAnsi="方正仿宋_GBK" w:eastAsia="方正仿宋_GBK" w:cs="方正仿宋_GBK"/>
          <w:bCs/>
          <w:kern w:val="0"/>
          <w:sz w:val="32"/>
          <w:szCs w:val="32"/>
          <w:lang w:bidi="ar"/>
        </w:rPr>
        <w:t>：公司对本次提交上述材料的真实性的承诺函</w:t>
      </w:r>
    </w:p>
    <w:p w14:paraId="1B4E807E">
      <w:pPr>
        <w:keepNext w:val="0"/>
        <w:keepLines w:val="0"/>
        <w:pageBreakBefore w:val="0"/>
        <w:widowControl/>
        <w:wordWrap/>
        <w:overflowPunct/>
        <w:topLinePunct w:val="0"/>
        <w:bidi w:val="0"/>
        <w:spacing w:line="590" w:lineRule="exact"/>
        <w:ind w:left="0" w:firstLine="640" w:firstLineChars="200"/>
        <w:jc w:val="left"/>
        <w:rPr>
          <w:rFonts w:hint="eastAsia" w:ascii="方正仿宋_GBK" w:hAnsi="方正仿宋_GBK" w:eastAsia="方正仿宋_GBK" w:cs="方正仿宋_GBK"/>
          <w:bCs/>
          <w:color w:val="auto"/>
          <w:kern w:val="0"/>
          <w:sz w:val="32"/>
          <w:szCs w:val="32"/>
          <w:lang w:val="en-US" w:eastAsia="zh-CN" w:bidi="ar"/>
        </w:rPr>
      </w:pPr>
      <w:bookmarkStart w:id="0" w:name="_GoBack"/>
      <w:bookmarkEnd w:id="0"/>
      <w:r>
        <w:rPr>
          <w:rFonts w:hint="eastAsia" w:ascii="方正仿宋_GBK" w:hAnsi="方正仿宋_GBK" w:eastAsia="方正仿宋_GBK" w:cs="方正仿宋_GBK"/>
          <w:bCs/>
          <w:kern w:val="0"/>
          <w:sz w:val="32"/>
          <w:szCs w:val="32"/>
          <w:lang w:val="en-US" w:eastAsia="zh-CN" w:bidi="ar"/>
        </w:rPr>
        <w:t>附件1-4：</w:t>
      </w:r>
      <w:r>
        <w:rPr>
          <w:rFonts w:hint="eastAsia" w:ascii="方正仿宋_GBK" w:hAnsi="方正仿宋_GBK" w:eastAsia="方正仿宋_GBK" w:cs="方正仿宋_GBK"/>
          <w:bCs/>
          <w:color w:val="auto"/>
          <w:kern w:val="0"/>
          <w:sz w:val="32"/>
          <w:szCs w:val="32"/>
          <w:lang w:val="en-US" w:eastAsia="zh-CN" w:bidi="ar"/>
        </w:rPr>
        <w:t>两名律师执业证扫描件（包含年检页）</w:t>
      </w:r>
    </w:p>
    <w:p w14:paraId="799A34B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黑体_GBK">
    <w:panose1 w:val="03000509000000000000"/>
    <w:charset w:val="86"/>
    <w:family w:val="auto"/>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方正小标宋简体">
    <w:altName w:val="微软雅黑"/>
    <w:panose1 w:val="02000000000000000000"/>
    <w:charset w:val="86"/>
    <w:family w:val="auto"/>
    <w:pitch w:val="default"/>
    <w:sig w:usb0="00000000" w:usb1="00000000" w:usb2="00000012" w:usb3="00000000" w:csb0="00040001" w:csb1="00000000"/>
  </w:font>
  <w:font w:name="方正楷体_GBK">
    <w:panose1 w:val="03000509000000000000"/>
    <w:charset w:val="86"/>
    <w:family w:val="auto"/>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B32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cs="Arial" w:eastAsiaTheme="minorEastAsia"/>
      <w:snapToGrid w:val="0"/>
      <w:color w:val="000000"/>
      <w:kern w:val="0"/>
      <w:sz w:val="21"/>
      <w:szCs w:val="21"/>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B4DCB4"/>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2025-04-24T09:01:02Z</dcterms:created>
  <dc:creator>chy92</dc:creator>
  <cp:lastModifiedBy>陈寒祎</cp:lastModifiedBy>
  <dcterms:modified xsi:type="dcterms:W3CDTF">2025-04-24T09:01:18Z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eyJoZGlkIjoiYjZjMGYwMGYwNjZhNjMyNGY0NmMyNzVkNTIzYjRjNzEiLCJ1c2VySWQiOiIxNjkzNjA2MTIwIn0=</vt:lpwstr>
  </property>
  <property fmtid="{D5CDD505-2E9C-101B-9397-08002B2CF9AE}" pid="4" name="ICV">
    <vt:lpwstr>B607C661894C4C4CA9186EBCDD4CC6B8_12</vt:lpwstr>
  </property>
</Properties>
</file>