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AA3DD">
      <w:pPr>
        <w:spacing w:line="240" w:lineRule="auto"/>
        <w:ind w:left="0" w:leftChars="0" w:firstLine="0" w:firstLineChars="0"/>
        <w:jc w:val="center"/>
        <w:rPr>
          <w:rFonts w:hint="eastAsia" w:ascii="Times New Roman" w:hAnsi="Times New Roman" w:eastAsia="宋体" w:cs="Times New Roman"/>
          <w:b/>
          <w:bCs w:val="0"/>
          <w:sz w:val="44"/>
          <w:szCs w:val="44"/>
        </w:rPr>
      </w:pPr>
      <w:bookmarkStart w:id="0" w:name="_GoBack"/>
      <w:bookmarkEnd w:id="0"/>
      <w:r>
        <w:rPr>
          <w:rFonts w:hint="eastAsia" w:ascii="Times New Roman" w:hAnsi="Times New Roman" w:eastAsia="宋体" w:cs="Times New Roman"/>
          <w:b/>
          <w:bCs w:val="0"/>
          <w:sz w:val="44"/>
          <w:szCs w:val="44"/>
        </w:rPr>
        <w:t>关于召开福建省两岸融合发展交通基础设施数字化转型示范通道及网络项目</w:t>
      </w:r>
    </w:p>
    <w:p w14:paraId="6210F5E1">
      <w:pPr>
        <w:spacing w:line="240" w:lineRule="auto"/>
        <w:ind w:left="0" w:leftChars="0" w:firstLine="0" w:firstLineChars="0"/>
        <w:jc w:val="center"/>
        <w:rPr>
          <w:rFonts w:hint="eastAsia" w:ascii="Times New Roman" w:hAnsi="Times New Roman" w:eastAsia="宋体" w:cs="Times New Roman"/>
          <w:b/>
          <w:bCs w:val="0"/>
          <w:sz w:val="44"/>
          <w:szCs w:val="44"/>
        </w:rPr>
      </w:pPr>
      <w:r>
        <w:rPr>
          <w:rFonts w:hint="eastAsia" w:ascii="Times New Roman" w:hAnsi="Times New Roman" w:eastAsia="宋体" w:cs="Times New Roman"/>
          <w:b/>
          <w:bCs w:val="0"/>
          <w:sz w:val="44"/>
          <w:szCs w:val="44"/>
        </w:rPr>
        <w:t>（数字底座及应急指挥智能调度）</w:t>
      </w:r>
    </w:p>
    <w:p w14:paraId="19C5BA8F">
      <w:pPr>
        <w:spacing w:line="240" w:lineRule="auto"/>
        <w:ind w:left="0" w:leftChars="0" w:firstLine="0" w:firstLineChars="0"/>
        <w:jc w:val="center"/>
        <w:rPr>
          <w:rFonts w:hint="default" w:ascii="Times New Roman" w:hAnsi="Times New Roman" w:eastAsia="宋体" w:cs="Times New Roman"/>
          <w:b/>
          <w:bCs w:val="0"/>
          <w:sz w:val="44"/>
          <w:szCs w:val="44"/>
          <w:lang w:val="en-US" w:eastAsia="zh-CN"/>
        </w:rPr>
      </w:pPr>
      <w:r>
        <w:rPr>
          <w:rFonts w:hint="eastAsia" w:ascii="Times New Roman" w:hAnsi="Times New Roman" w:eastAsia="宋体" w:cs="Times New Roman"/>
          <w:b/>
          <w:bCs w:val="0"/>
          <w:sz w:val="44"/>
          <w:szCs w:val="44"/>
        </w:rPr>
        <w:t>交通</w:t>
      </w:r>
      <w:r>
        <w:rPr>
          <w:rFonts w:hint="eastAsia" w:cs="Times New Roman"/>
          <w:b/>
          <w:bCs w:val="0"/>
          <w:sz w:val="44"/>
          <w:szCs w:val="44"/>
          <w:lang w:val="en-US" w:eastAsia="zh-CN"/>
        </w:rPr>
        <w:t>数据管理平台</w:t>
      </w:r>
    </w:p>
    <w:p w14:paraId="747DA022">
      <w:pPr>
        <w:spacing w:line="240" w:lineRule="auto"/>
        <w:ind w:left="0" w:leftChars="0" w:firstLine="0" w:firstLineChars="0"/>
        <w:jc w:val="center"/>
        <w:rPr>
          <w:rFonts w:hint="eastAsia" w:ascii="Times New Roman" w:hAnsi="Times New Roman" w:eastAsia="宋体" w:cs="Times New Roman"/>
          <w:b/>
          <w:bCs w:val="0"/>
          <w:sz w:val="44"/>
          <w:szCs w:val="44"/>
        </w:rPr>
      </w:pPr>
      <w:r>
        <w:rPr>
          <w:rFonts w:hint="eastAsia" w:ascii="Times New Roman" w:hAnsi="Times New Roman" w:eastAsia="宋体" w:cs="Times New Roman"/>
          <w:b/>
          <w:bCs w:val="0"/>
          <w:sz w:val="44"/>
          <w:szCs w:val="44"/>
        </w:rPr>
        <w:t>产品</w:t>
      </w:r>
      <w:r>
        <w:rPr>
          <w:rFonts w:hint="eastAsia" w:cs="Times New Roman"/>
          <w:b/>
          <w:bCs w:val="0"/>
          <w:sz w:val="44"/>
          <w:szCs w:val="44"/>
          <w:lang w:val="en-US" w:eastAsia="zh-CN"/>
        </w:rPr>
        <w:t>技术研讨会</w:t>
      </w:r>
      <w:r>
        <w:rPr>
          <w:rFonts w:hint="eastAsia" w:ascii="Times New Roman" w:hAnsi="Times New Roman" w:eastAsia="宋体" w:cs="Times New Roman"/>
          <w:b/>
          <w:bCs w:val="0"/>
          <w:sz w:val="44"/>
          <w:szCs w:val="44"/>
        </w:rPr>
        <w:t>的通知</w:t>
      </w:r>
    </w:p>
    <w:p w14:paraId="309A7848">
      <w:pPr>
        <w:rPr>
          <w:rFonts w:hint="eastAsia"/>
          <w:sz w:val="28"/>
          <w:szCs w:val="32"/>
        </w:rPr>
      </w:pPr>
    </w:p>
    <w:p w14:paraId="73EB367D">
      <w:pPr>
        <w:rPr>
          <w:rFonts w:hint="eastAsia"/>
          <w:sz w:val="28"/>
          <w:szCs w:val="32"/>
        </w:rPr>
      </w:pPr>
      <w:r>
        <w:rPr>
          <w:rFonts w:hint="eastAsia"/>
          <w:sz w:val="28"/>
          <w:szCs w:val="32"/>
        </w:rPr>
        <w:t>为</w:t>
      </w:r>
      <w:r>
        <w:rPr>
          <w:rFonts w:hint="eastAsia"/>
          <w:sz w:val="28"/>
          <w:szCs w:val="32"/>
          <w:lang w:val="en-US" w:eastAsia="zh-CN"/>
        </w:rPr>
        <w:t>保障</w:t>
      </w:r>
      <w:r>
        <w:rPr>
          <w:rFonts w:hint="eastAsia"/>
          <w:sz w:val="28"/>
          <w:szCs w:val="32"/>
        </w:rPr>
        <w:t>福建省交通运输行业数字化转型及省级交通数字底座</w:t>
      </w:r>
      <w:r>
        <w:rPr>
          <w:rFonts w:hint="eastAsia"/>
          <w:sz w:val="28"/>
          <w:szCs w:val="32"/>
          <w:lang w:val="en-US" w:eastAsia="zh-CN"/>
        </w:rPr>
        <w:t>交通数据管理平台</w:t>
      </w:r>
      <w:r>
        <w:rPr>
          <w:rFonts w:hint="eastAsia"/>
          <w:sz w:val="28"/>
          <w:szCs w:val="32"/>
        </w:rPr>
        <w:t>建设</w:t>
      </w:r>
      <w:r>
        <w:rPr>
          <w:rFonts w:hint="eastAsia"/>
          <w:sz w:val="28"/>
          <w:szCs w:val="32"/>
          <w:lang w:val="en-US" w:eastAsia="zh-CN"/>
        </w:rPr>
        <w:t>质量</w:t>
      </w:r>
      <w:r>
        <w:rPr>
          <w:rFonts w:hint="eastAsia"/>
          <w:sz w:val="28"/>
          <w:szCs w:val="32"/>
        </w:rPr>
        <w:t>，组织召开</w:t>
      </w:r>
      <w:r>
        <w:rPr>
          <w:rFonts w:hint="eastAsia"/>
          <w:sz w:val="28"/>
          <w:szCs w:val="32"/>
          <w:lang w:val="en-US" w:eastAsia="zh-CN"/>
        </w:rPr>
        <w:t>相关</w:t>
      </w:r>
      <w:r>
        <w:rPr>
          <w:rFonts w:hint="eastAsia"/>
          <w:sz w:val="28"/>
          <w:szCs w:val="32"/>
        </w:rPr>
        <w:t>产品</w:t>
      </w:r>
      <w:r>
        <w:rPr>
          <w:rFonts w:hint="eastAsia"/>
          <w:sz w:val="28"/>
          <w:szCs w:val="32"/>
          <w:lang w:val="en-US" w:eastAsia="zh-CN"/>
        </w:rPr>
        <w:t>技术研讨</w:t>
      </w:r>
      <w:r>
        <w:rPr>
          <w:rFonts w:hint="eastAsia"/>
          <w:sz w:val="28"/>
          <w:szCs w:val="32"/>
        </w:rPr>
        <w:t>会。现将有关事项通知如下：</w:t>
      </w:r>
    </w:p>
    <w:p w14:paraId="7C49B1D2">
      <w:pPr>
        <w:ind w:left="0" w:leftChars="0" w:firstLine="0" w:firstLineChars="0"/>
        <w:rPr>
          <w:rFonts w:hint="eastAsia"/>
          <w:b/>
          <w:bCs w:val="0"/>
          <w:sz w:val="32"/>
          <w:szCs w:val="36"/>
        </w:rPr>
      </w:pPr>
      <w:r>
        <w:rPr>
          <w:rFonts w:hint="eastAsia"/>
          <w:b/>
          <w:bCs w:val="0"/>
          <w:sz w:val="32"/>
          <w:szCs w:val="36"/>
        </w:rPr>
        <w:t>一、会议基本信息</w:t>
      </w:r>
    </w:p>
    <w:p w14:paraId="1983D23A">
      <w:pPr>
        <w:rPr>
          <w:rFonts w:hint="eastAsia"/>
          <w:sz w:val="28"/>
          <w:szCs w:val="32"/>
        </w:rPr>
      </w:pPr>
      <w:r>
        <w:rPr>
          <w:rFonts w:hint="eastAsia"/>
          <w:sz w:val="28"/>
          <w:szCs w:val="32"/>
          <w:lang w:val="en-US" w:eastAsia="zh-CN"/>
        </w:rPr>
        <w:t xml:space="preserve">1. </w:t>
      </w:r>
      <w:r>
        <w:rPr>
          <w:rFonts w:hint="eastAsia"/>
          <w:sz w:val="28"/>
          <w:szCs w:val="32"/>
        </w:rPr>
        <w:t>会议时间：</w:t>
      </w:r>
      <w:r>
        <w:rPr>
          <w:rFonts w:hint="eastAsia"/>
          <w:sz w:val="28"/>
          <w:szCs w:val="32"/>
          <w:lang w:val="en-US" w:eastAsia="zh-CN"/>
        </w:rPr>
        <w:t>2026</w:t>
      </w:r>
      <w:r>
        <w:rPr>
          <w:rFonts w:hint="eastAsia"/>
          <w:sz w:val="28"/>
          <w:szCs w:val="32"/>
        </w:rPr>
        <w:t>年</w:t>
      </w:r>
      <w:r>
        <w:rPr>
          <w:rFonts w:hint="eastAsia"/>
          <w:sz w:val="28"/>
          <w:szCs w:val="32"/>
          <w:lang w:val="en-US" w:eastAsia="zh-CN"/>
        </w:rPr>
        <w:t>4</w:t>
      </w:r>
      <w:r>
        <w:rPr>
          <w:rFonts w:hint="eastAsia"/>
          <w:sz w:val="28"/>
          <w:szCs w:val="32"/>
        </w:rPr>
        <w:t>月</w:t>
      </w:r>
      <w:r>
        <w:rPr>
          <w:rFonts w:hint="eastAsia"/>
          <w:sz w:val="28"/>
          <w:szCs w:val="32"/>
          <w:lang w:val="en-US" w:eastAsia="zh-CN"/>
        </w:rPr>
        <w:t>16</w:t>
      </w:r>
      <w:r>
        <w:rPr>
          <w:rFonts w:hint="eastAsia"/>
          <w:sz w:val="28"/>
          <w:szCs w:val="32"/>
        </w:rPr>
        <w:t>日</w:t>
      </w:r>
      <w:r>
        <w:rPr>
          <w:rFonts w:hint="eastAsia"/>
          <w:sz w:val="28"/>
          <w:szCs w:val="32"/>
          <w:highlight w:val="none"/>
          <w:lang w:val="en-US" w:eastAsia="zh-CN"/>
        </w:rPr>
        <w:t>9</w:t>
      </w:r>
      <w:r>
        <w:rPr>
          <w:rFonts w:hint="eastAsia"/>
          <w:sz w:val="28"/>
          <w:szCs w:val="32"/>
          <w:highlight w:val="none"/>
        </w:rPr>
        <w:t>:</w:t>
      </w:r>
      <w:r>
        <w:rPr>
          <w:rFonts w:hint="eastAsia"/>
          <w:sz w:val="28"/>
          <w:szCs w:val="32"/>
          <w:highlight w:val="none"/>
          <w:lang w:val="en-US" w:eastAsia="zh-CN"/>
        </w:rPr>
        <w:t>00</w:t>
      </w:r>
    </w:p>
    <w:p w14:paraId="254E6002">
      <w:pPr>
        <w:rPr>
          <w:rFonts w:hint="eastAsia"/>
          <w:sz w:val="28"/>
          <w:szCs w:val="32"/>
        </w:rPr>
      </w:pPr>
      <w:r>
        <w:rPr>
          <w:rFonts w:hint="eastAsia"/>
          <w:sz w:val="28"/>
          <w:szCs w:val="32"/>
          <w:lang w:val="en-US" w:eastAsia="zh-CN"/>
        </w:rPr>
        <w:t xml:space="preserve">2. </w:t>
      </w:r>
      <w:r>
        <w:rPr>
          <w:rFonts w:hint="eastAsia"/>
          <w:sz w:val="28"/>
          <w:szCs w:val="32"/>
        </w:rPr>
        <w:t>会议地点：</w:t>
      </w:r>
      <w:r>
        <w:rPr>
          <w:rFonts w:hint="eastAsia"/>
          <w:sz w:val="28"/>
          <w:szCs w:val="32"/>
          <w:lang w:val="en-US" w:eastAsia="zh-CN"/>
        </w:rPr>
        <w:t>福建省交通科研院有限公司318</w:t>
      </w:r>
      <w:r>
        <w:rPr>
          <w:rFonts w:hint="eastAsia"/>
          <w:sz w:val="28"/>
          <w:szCs w:val="32"/>
        </w:rPr>
        <w:t>会议室（福建省福州市台江区茶亭街道五一中路104号）</w:t>
      </w:r>
    </w:p>
    <w:p w14:paraId="47B0A8EB">
      <w:pPr>
        <w:rPr>
          <w:rFonts w:hint="eastAsia"/>
          <w:sz w:val="28"/>
          <w:szCs w:val="32"/>
        </w:rPr>
      </w:pPr>
      <w:r>
        <w:rPr>
          <w:rFonts w:hint="eastAsia"/>
          <w:sz w:val="28"/>
          <w:szCs w:val="32"/>
          <w:lang w:val="en-US" w:eastAsia="zh-CN"/>
        </w:rPr>
        <w:t xml:space="preserve">3. </w:t>
      </w:r>
      <w:r>
        <w:rPr>
          <w:rFonts w:hint="eastAsia"/>
          <w:sz w:val="28"/>
          <w:szCs w:val="32"/>
        </w:rPr>
        <w:t>参会人员：福建省交通信息通信与应急处置中心</w:t>
      </w:r>
      <w:r>
        <w:rPr>
          <w:rFonts w:hint="eastAsia"/>
          <w:sz w:val="28"/>
          <w:szCs w:val="32"/>
          <w:lang w:val="en-US" w:eastAsia="zh-CN"/>
        </w:rPr>
        <w:t>相关负责人、承建单位负责人、</w:t>
      </w:r>
      <w:r>
        <w:rPr>
          <w:rFonts w:hint="eastAsia"/>
          <w:sz w:val="28"/>
          <w:szCs w:val="32"/>
        </w:rPr>
        <w:t>厂商技术负责人</w:t>
      </w:r>
    </w:p>
    <w:p w14:paraId="56980AF8">
      <w:pPr>
        <w:ind w:left="0" w:leftChars="0" w:firstLine="0" w:firstLineChars="0"/>
        <w:rPr>
          <w:rFonts w:hint="eastAsia"/>
          <w:b/>
          <w:bCs w:val="0"/>
          <w:sz w:val="32"/>
          <w:szCs w:val="36"/>
        </w:rPr>
      </w:pPr>
      <w:r>
        <w:rPr>
          <w:rFonts w:hint="eastAsia"/>
          <w:b/>
          <w:bCs w:val="0"/>
          <w:sz w:val="32"/>
          <w:szCs w:val="36"/>
        </w:rPr>
        <w:t>二、会议议程</w:t>
      </w:r>
    </w:p>
    <w:p w14:paraId="5D7945F7">
      <w:pPr>
        <w:rPr>
          <w:rFonts w:hint="eastAsia"/>
          <w:sz w:val="28"/>
          <w:szCs w:val="32"/>
        </w:rPr>
      </w:pPr>
      <w:r>
        <w:rPr>
          <w:rFonts w:hint="eastAsia"/>
          <w:sz w:val="28"/>
          <w:szCs w:val="32"/>
          <w:lang w:val="en-US" w:eastAsia="zh-CN"/>
        </w:rPr>
        <w:t xml:space="preserve">1. </w:t>
      </w:r>
      <w:r>
        <w:rPr>
          <w:rFonts w:hint="eastAsia"/>
          <w:b w:val="0"/>
          <w:bCs/>
          <w:sz w:val="28"/>
          <w:szCs w:val="32"/>
          <w:lang w:val="en-US" w:eastAsia="zh-CN"/>
        </w:rPr>
        <w:t>请各厂商提前30分钟到场签到抽签，确定汇报顺序。</w:t>
      </w:r>
    </w:p>
    <w:p w14:paraId="68664CE2">
      <w:pPr>
        <w:rPr>
          <w:rFonts w:hint="eastAsia"/>
          <w:sz w:val="28"/>
          <w:szCs w:val="32"/>
        </w:rPr>
      </w:pPr>
      <w:r>
        <w:rPr>
          <w:rFonts w:hint="eastAsia"/>
          <w:sz w:val="28"/>
          <w:szCs w:val="32"/>
          <w:lang w:val="en-US" w:eastAsia="zh-CN"/>
        </w:rPr>
        <w:t xml:space="preserve">2. </w:t>
      </w:r>
      <w:r>
        <w:rPr>
          <w:rFonts w:hint="eastAsia"/>
          <w:sz w:val="28"/>
          <w:szCs w:val="32"/>
        </w:rPr>
        <w:t>各厂商依次进行</w:t>
      </w:r>
      <w:r>
        <w:rPr>
          <w:rFonts w:hint="eastAsia"/>
          <w:sz w:val="28"/>
          <w:szCs w:val="32"/>
          <w:lang w:val="en-US" w:eastAsia="zh-CN"/>
        </w:rPr>
        <w:t>技术</w:t>
      </w:r>
      <w:r>
        <w:rPr>
          <w:rFonts w:hint="eastAsia"/>
          <w:sz w:val="28"/>
          <w:szCs w:val="32"/>
        </w:rPr>
        <w:t>方案汇报（</w:t>
      </w:r>
      <w:r>
        <w:rPr>
          <w:rFonts w:hint="eastAsia"/>
          <w:sz w:val="28"/>
          <w:szCs w:val="32"/>
          <w:lang w:val="en-US" w:eastAsia="zh-CN"/>
        </w:rPr>
        <w:t>汇报</w:t>
      </w:r>
      <w:r>
        <w:rPr>
          <w:rFonts w:hint="eastAsia"/>
          <w:sz w:val="28"/>
          <w:szCs w:val="32"/>
        </w:rPr>
        <w:t>时长控制在20分钟以内）；</w:t>
      </w:r>
    </w:p>
    <w:p w14:paraId="5A81C400">
      <w:pPr>
        <w:rPr>
          <w:rFonts w:hint="eastAsia"/>
          <w:sz w:val="28"/>
          <w:szCs w:val="32"/>
        </w:rPr>
      </w:pPr>
      <w:r>
        <w:rPr>
          <w:rFonts w:hint="eastAsia"/>
          <w:sz w:val="28"/>
          <w:szCs w:val="32"/>
          <w:lang w:val="en-US" w:eastAsia="zh-CN"/>
        </w:rPr>
        <w:t xml:space="preserve">3. </w:t>
      </w:r>
      <w:r>
        <w:rPr>
          <w:rFonts w:hint="eastAsia"/>
          <w:sz w:val="28"/>
          <w:szCs w:val="32"/>
        </w:rPr>
        <w:t>评审专家针对汇报内容及产品情况进行现场提问、答疑交流；</w:t>
      </w:r>
    </w:p>
    <w:p w14:paraId="1802F7E1">
      <w:pPr>
        <w:ind w:left="0" w:leftChars="0" w:firstLine="0" w:firstLineChars="0"/>
        <w:rPr>
          <w:rFonts w:hint="eastAsia"/>
          <w:b/>
          <w:bCs w:val="0"/>
          <w:sz w:val="32"/>
          <w:szCs w:val="36"/>
        </w:rPr>
      </w:pPr>
      <w:r>
        <w:rPr>
          <w:rFonts w:hint="eastAsia"/>
          <w:b/>
          <w:bCs w:val="0"/>
          <w:sz w:val="32"/>
          <w:szCs w:val="36"/>
        </w:rPr>
        <w:t>三、汇报材料编制要求</w:t>
      </w:r>
    </w:p>
    <w:p w14:paraId="42117272">
      <w:pPr>
        <w:rPr>
          <w:rFonts w:hint="eastAsia"/>
          <w:sz w:val="28"/>
          <w:szCs w:val="32"/>
        </w:rPr>
      </w:pPr>
      <w:r>
        <w:rPr>
          <w:rFonts w:hint="eastAsia"/>
          <w:sz w:val="28"/>
          <w:szCs w:val="32"/>
        </w:rPr>
        <w:t>汇报内容需紧密围绕本次</w:t>
      </w:r>
      <w:r>
        <w:rPr>
          <w:rFonts w:hint="eastAsia"/>
          <w:sz w:val="28"/>
          <w:szCs w:val="32"/>
          <w:lang w:val="en-US" w:eastAsia="zh-CN"/>
        </w:rPr>
        <w:t>评价标准，</w:t>
      </w:r>
      <w:r>
        <w:rPr>
          <w:rFonts w:hint="eastAsia"/>
          <w:sz w:val="28"/>
          <w:szCs w:val="32"/>
        </w:rPr>
        <w:t>全面、清晰展示厂商能力与产品方案</w:t>
      </w:r>
      <w:r>
        <w:rPr>
          <w:rFonts w:hint="eastAsia"/>
          <w:sz w:val="28"/>
          <w:szCs w:val="32"/>
          <w:lang w:eastAsia="zh-CN"/>
        </w:rPr>
        <w:t>。</w:t>
      </w:r>
      <w:r>
        <w:rPr>
          <w:rFonts w:hint="eastAsia"/>
          <w:sz w:val="28"/>
          <w:szCs w:val="32"/>
          <w:lang w:val="en-US" w:eastAsia="zh-CN"/>
        </w:rPr>
        <w:t>详见附件：产品技术评价标准</w:t>
      </w:r>
    </w:p>
    <w:p w14:paraId="6C8BF52E">
      <w:pPr>
        <w:ind w:left="0" w:leftChars="0" w:firstLine="0" w:firstLineChars="0"/>
        <w:rPr>
          <w:rFonts w:hint="eastAsia"/>
          <w:b/>
          <w:bCs w:val="0"/>
          <w:sz w:val="32"/>
          <w:szCs w:val="36"/>
        </w:rPr>
      </w:pPr>
      <w:r>
        <w:rPr>
          <w:rFonts w:hint="eastAsia"/>
          <w:b/>
          <w:bCs w:val="0"/>
          <w:sz w:val="32"/>
          <w:szCs w:val="36"/>
        </w:rPr>
        <w:t>四、需提交的评审佐证材料</w:t>
      </w:r>
    </w:p>
    <w:p w14:paraId="2646C976">
      <w:pPr>
        <w:rPr>
          <w:rFonts w:hint="default" w:eastAsia="宋体"/>
          <w:sz w:val="28"/>
          <w:szCs w:val="32"/>
          <w:lang w:val="en-US" w:eastAsia="zh-CN"/>
        </w:rPr>
      </w:pPr>
      <w:r>
        <w:rPr>
          <w:rFonts w:hint="eastAsia"/>
          <w:sz w:val="28"/>
          <w:szCs w:val="32"/>
        </w:rPr>
        <w:t>请各厂商在参会时同步提交以下纸质版（一式</w:t>
      </w:r>
      <w:r>
        <w:rPr>
          <w:rFonts w:hint="eastAsia"/>
          <w:sz w:val="28"/>
          <w:szCs w:val="32"/>
          <w:lang w:val="en-US" w:eastAsia="zh-CN"/>
        </w:rPr>
        <w:t>10</w:t>
      </w:r>
      <w:r>
        <w:rPr>
          <w:rFonts w:hint="eastAsia"/>
          <w:sz w:val="28"/>
          <w:szCs w:val="32"/>
        </w:rPr>
        <w:t>份）及电子版材料，用于专家评审核查</w:t>
      </w:r>
      <w:r>
        <w:rPr>
          <w:rFonts w:hint="eastAsia"/>
          <w:sz w:val="28"/>
          <w:szCs w:val="32"/>
          <w:lang w:eastAsia="zh-CN"/>
        </w:rPr>
        <w:t>。</w:t>
      </w:r>
      <w:r>
        <w:rPr>
          <w:rFonts w:hint="eastAsia"/>
          <w:sz w:val="28"/>
          <w:szCs w:val="32"/>
          <w:lang w:val="en-US" w:eastAsia="zh-CN"/>
        </w:rPr>
        <w:t>包括但不限于：</w:t>
      </w:r>
    </w:p>
    <w:p w14:paraId="3A579DC3">
      <w:pPr>
        <w:numPr>
          <w:ilvl w:val="0"/>
          <w:numId w:val="5"/>
        </w:numPr>
        <w:rPr>
          <w:rFonts w:hint="eastAsia"/>
          <w:sz w:val="28"/>
          <w:szCs w:val="32"/>
        </w:rPr>
      </w:pPr>
      <w:r>
        <w:rPr>
          <w:rFonts w:hint="eastAsia"/>
          <w:sz w:val="28"/>
          <w:szCs w:val="32"/>
        </w:rPr>
        <w:t>行业落地经验佐证材料；</w:t>
      </w:r>
    </w:p>
    <w:p w14:paraId="49D052B0">
      <w:pPr>
        <w:numPr>
          <w:ilvl w:val="0"/>
          <w:numId w:val="5"/>
        </w:numPr>
        <w:ind w:left="0" w:leftChars="0" w:firstLine="560" w:firstLineChars="200"/>
        <w:rPr>
          <w:rFonts w:hint="eastAsia"/>
          <w:sz w:val="28"/>
          <w:szCs w:val="32"/>
        </w:rPr>
      </w:pPr>
      <w:r>
        <w:rPr>
          <w:rFonts w:hint="eastAsia"/>
          <w:sz w:val="28"/>
          <w:szCs w:val="32"/>
        </w:rPr>
        <w:t>项目人员保障书面承诺函；</w:t>
      </w:r>
    </w:p>
    <w:p w14:paraId="1E2828F0">
      <w:pPr>
        <w:numPr>
          <w:ilvl w:val="0"/>
          <w:numId w:val="5"/>
        </w:numPr>
        <w:ind w:left="0" w:leftChars="0" w:firstLine="560" w:firstLineChars="200"/>
        <w:rPr>
          <w:rFonts w:hint="eastAsia"/>
          <w:sz w:val="28"/>
          <w:szCs w:val="32"/>
        </w:rPr>
      </w:pPr>
      <w:r>
        <w:rPr>
          <w:rFonts w:hint="eastAsia"/>
          <w:sz w:val="28"/>
          <w:szCs w:val="32"/>
        </w:rPr>
        <w:t>平台功能技术方案、核心参数说明；</w:t>
      </w:r>
    </w:p>
    <w:p w14:paraId="2E5B3721">
      <w:pPr>
        <w:numPr>
          <w:ilvl w:val="0"/>
          <w:numId w:val="5"/>
        </w:numPr>
        <w:ind w:left="0" w:leftChars="0" w:firstLine="560" w:firstLineChars="200"/>
        <w:rPr>
          <w:rFonts w:hint="eastAsia"/>
          <w:sz w:val="28"/>
          <w:szCs w:val="32"/>
        </w:rPr>
      </w:pPr>
      <w:r>
        <w:rPr>
          <w:rFonts w:hint="eastAsia"/>
          <w:sz w:val="28"/>
          <w:szCs w:val="32"/>
        </w:rPr>
        <w:t>其他可体现厂商技术实力与服务能力的补充材料。</w:t>
      </w:r>
    </w:p>
    <w:p w14:paraId="7E704D87">
      <w:pPr>
        <w:ind w:left="0" w:leftChars="0" w:firstLine="0" w:firstLineChars="0"/>
        <w:rPr>
          <w:rFonts w:hint="eastAsia"/>
          <w:b/>
          <w:bCs w:val="0"/>
          <w:sz w:val="32"/>
          <w:szCs w:val="36"/>
        </w:rPr>
      </w:pPr>
      <w:r>
        <w:rPr>
          <w:rFonts w:hint="eastAsia"/>
          <w:b/>
          <w:bCs w:val="0"/>
          <w:sz w:val="32"/>
          <w:szCs w:val="36"/>
        </w:rPr>
        <w:t>五、相关要求</w:t>
      </w:r>
    </w:p>
    <w:p w14:paraId="1E6A2546">
      <w:pPr>
        <w:rPr>
          <w:rFonts w:hint="eastAsia"/>
          <w:sz w:val="28"/>
          <w:szCs w:val="32"/>
        </w:rPr>
      </w:pPr>
      <w:r>
        <w:rPr>
          <w:rFonts w:hint="eastAsia"/>
          <w:sz w:val="28"/>
          <w:szCs w:val="32"/>
          <w:lang w:val="en-US" w:eastAsia="zh-CN"/>
        </w:rPr>
        <w:t xml:space="preserve">1. </w:t>
      </w:r>
      <w:r>
        <w:rPr>
          <w:rFonts w:hint="eastAsia"/>
          <w:sz w:val="28"/>
          <w:szCs w:val="32"/>
        </w:rPr>
        <w:t>汇报材料需突出核心优势、紧扣评审标准，避免无关内容；</w:t>
      </w:r>
    </w:p>
    <w:p w14:paraId="0D178BC5">
      <w:pPr>
        <w:rPr>
          <w:rFonts w:hint="eastAsia"/>
          <w:sz w:val="28"/>
          <w:szCs w:val="32"/>
        </w:rPr>
      </w:pPr>
      <w:r>
        <w:rPr>
          <w:rFonts w:hint="eastAsia"/>
          <w:sz w:val="28"/>
          <w:szCs w:val="32"/>
          <w:lang w:val="en-US" w:eastAsia="zh-CN"/>
        </w:rPr>
        <w:t xml:space="preserve">2. </w:t>
      </w:r>
      <w:r>
        <w:rPr>
          <w:rFonts w:hint="eastAsia"/>
          <w:sz w:val="28"/>
          <w:szCs w:val="32"/>
        </w:rPr>
        <w:t>请于</w:t>
      </w:r>
      <w:r>
        <w:rPr>
          <w:rFonts w:hint="eastAsia"/>
          <w:sz w:val="28"/>
          <w:szCs w:val="32"/>
          <w:lang w:val="en-US" w:eastAsia="zh-CN"/>
        </w:rPr>
        <w:t>2026</w:t>
      </w:r>
      <w:r>
        <w:rPr>
          <w:rFonts w:hint="eastAsia"/>
          <w:sz w:val="28"/>
          <w:szCs w:val="32"/>
        </w:rPr>
        <w:t>年</w:t>
      </w:r>
      <w:r>
        <w:rPr>
          <w:rFonts w:hint="eastAsia"/>
          <w:sz w:val="28"/>
          <w:szCs w:val="32"/>
          <w:lang w:val="en-US" w:eastAsia="zh-CN"/>
        </w:rPr>
        <w:t>4</w:t>
      </w:r>
      <w:r>
        <w:rPr>
          <w:rFonts w:hint="eastAsia"/>
          <w:sz w:val="28"/>
          <w:szCs w:val="32"/>
        </w:rPr>
        <w:t>月</w:t>
      </w:r>
      <w:r>
        <w:rPr>
          <w:rFonts w:hint="eastAsia"/>
          <w:sz w:val="28"/>
          <w:szCs w:val="32"/>
          <w:lang w:val="en-US" w:eastAsia="zh-CN"/>
        </w:rPr>
        <w:t>15</w:t>
      </w:r>
      <w:r>
        <w:rPr>
          <w:rFonts w:hint="eastAsia"/>
          <w:sz w:val="28"/>
          <w:szCs w:val="32"/>
        </w:rPr>
        <w:t>日</w:t>
      </w:r>
      <w:r>
        <w:rPr>
          <w:rFonts w:hint="eastAsia"/>
          <w:sz w:val="28"/>
          <w:szCs w:val="32"/>
          <w:lang w:val="en-US" w:eastAsia="zh-CN"/>
        </w:rPr>
        <w:t>18</w:t>
      </w:r>
      <w:r>
        <w:rPr>
          <w:rFonts w:hint="eastAsia"/>
          <w:sz w:val="28"/>
          <w:szCs w:val="32"/>
        </w:rPr>
        <w:t>:</w:t>
      </w:r>
      <w:r>
        <w:rPr>
          <w:rFonts w:hint="eastAsia"/>
          <w:sz w:val="28"/>
          <w:szCs w:val="32"/>
          <w:lang w:val="en-US" w:eastAsia="zh-CN"/>
        </w:rPr>
        <w:t>00</w:t>
      </w:r>
      <w:r>
        <w:rPr>
          <w:rFonts w:hint="eastAsia"/>
          <w:sz w:val="28"/>
          <w:szCs w:val="32"/>
        </w:rPr>
        <w:t>前将汇报PPT电子版发送至邮箱：</w:t>
      </w:r>
      <w:r>
        <w:rPr>
          <w:rFonts w:hint="eastAsia"/>
          <w:sz w:val="28"/>
          <w:szCs w:val="32"/>
          <w:lang w:val="en-US" w:eastAsia="zh-CN"/>
        </w:rPr>
        <w:t>18292835989</w:t>
      </w:r>
      <w:r>
        <w:rPr>
          <w:rFonts w:hint="eastAsia"/>
          <w:sz w:val="28"/>
          <w:szCs w:val="32"/>
        </w:rPr>
        <w:t>@</w:t>
      </w:r>
      <w:r>
        <w:rPr>
          <w:rFonts w:hint="eastAsia"/>
          <w:sz w:val="28"/>
          <w:szCs w:val="32"/>
          <w:lang w:val="en-US" w:eastAsia="zh-CN"/>
        </w:rPr>
        <w:t>139</w:t>
      </w:r>
      <w:r>
        <w:rPr>
          <w:rFonts w:hint="eastAsia"/>
          <w:sz w:val="28"/>
          <w:szCs w:val="32"/>
        </w:rPr>
        <w:t>.com，逾期视为自动放弃；</w:t>
      </w:r>
    </w:p>
    <w:p w14:paraId="66505466">
      <w:pPr>
        <w:rPr>
          <w:rFonts w:hint="eastAsia"/>
          <w:sz w:val="28"/>
          <w:szCs w:val="32"/>
        </w:rPr>
      </w:pPr>
      <w:r>
        <w:rPr>
          <w:rFonts w:hint="eastAsia"/>
          <w:sz w:val="28"/>
          <w:szCs w:val="32"/>
          <w:lang w:val="en-US" w:eastAsia="zh-CN"/>
        </w:rPr>
        <w:t xml:space="preserve">3. </w:t>
      </w:r>
      <w:r>
        <w:rPr>
          <w:rFonts w:hint="eastAsia"/>
          <w:sz w:val="28"/>
          <w:szCs w:val="32"/>
        </w:rPr>
        <w:t>参会人员请准时到场，无故缺席或未按要求提交材料的，视为自动放弃参选资格。</w:t>
      </w:r>
    </w:p>
    <w:p w14:paraId="0DD05269">
      <w:pPr>
        <w:ind w:left="0" w:leftChars="0" w:firstLine="0" w:firstLineChars="0"/>
        <w:rPr>
          <w:rFonts w:hint="eastAsia"/>
          <w:b/>
          <w:bCs w:val="0"/>
          <w:sz w:val="32"/>
          <w:szCs w:val="36"/>
        </w:rPr>
      </w:pPr>
      <w:r>
        <w:rPr>
          <w:rFonts w:hint="eastAsia"/>
          <w:b/>
          <w:bCs w:val="0"/>
          <w:sz w:val="32"/>
          <w:szCs w:val="36"/>
        </w:rPr>
        <w:t>六、联系方式</w:t>
      </w:r>
    </w:p>
    <w:p w14:paraId="4EA2DC18">
      <w:pPr>
        <w:rPr>
          <w:rFonts w:hint="eastAsia" w:eastAsia="宋体"/>
          <w:sz w:val="28"/>
          <w:szCs w:val="32"/>
          <w:lang w:val="en-US" w:eastAsia="zh-CN"/>
        </w:rPr>
      </w:pPr>
      <w:r>
        <w:rPr>
          <w:rFonts w:hint="eastAsia"/>
          <w:sz w:val="28"/>
          <w:szCs w:val="32"/>
        </w:rPr>
        <w:t>联系人：</w:t>
      </w:r>
      <w:r>
        <w:rPr>
          <w:rFonts w:hint="eastAsia"/>
          <w:sz w:val="28"/>
          <w:szCs w:val="32"/>
          <w:lang w:val="en-US" w:eastAsia="zh-CN"/>
        </w:rPr>
        <w:t>杨柠</w:t>
      </w:r>
    </w:p>
    <w:p w14:paraId="493F4D9C">
      <w:pPr>
        <w:rPr>
          <w:rFonts w:hint="default" w:eastAsia="宋体"/>
          <w:sz w:val="28"/>
          <w:szCs w:val="32"/>
          <w:lang w:val="en-US" w:eastAsia="zh-CN"/>
        </w:rPr>
      </w:pPr>
      <w:r>
        <w:rPr>
          <w:rFonts w:hint="eastAsia"/>
          <w:sz w:val="28"/>
          <w:szCs w:val="32"/>
        </w:rPr>
        <w:t>联系电话：18682954687</w:t>
      </w:r>
    </w:p>
    <w:p w14:paraId="19DB1210">
      <w:pPr>
        <w:rPr>
          <w:rFonts w:hint="eastAsia"/>
          <w:sz w:val="28"/>
          <w:szCs w:val="32"/>
          <w:lang w:val="en-US" w:eastAsia="zh-CN"/>
        </w:rPr>
      </w:pPr>
    </w:p>
    <w:p w14:paraId="6D16CC32">
      <w:pPr>
        <w:ind w:left="0" w:leftChars="0" w:firstLine="0" w:firstLineChars="0"/>
        <w:rPr>
          <w:rFonts w:hint="eastAsia"/>
          <w:sz w:val="28"/>
          <w:szCs w:val="32"/>
          <w:lang w:val="en-US" w:eastAsia="zh-CN"/>
        </w:rPr>
      </w:pPr>
      <w:r>
        <w:rPr>
          <w:rFonts w:hint="eastAsia"/>
          <w:sz w:val="28"/>
          <w:szCs w:val="32"/>
          <w:lang w:val="en-US" w:eastAsia="zh-CN"/>
        </w:rPr>
        <w:t>附件：产品技术评价标准</w:t>
      </w:r>
    </w:p>
    <w:p w14:paraId="674ECA7A">
      <w:pPr>
        <w:rPr>
          <w:rFonts w:hint="eastAsia"/>
          <w:sz w:val="28"/>
          <w:szCs w:val="32"/>
          <w:lang w:val="en-US" w:eastAsia="zh-CN"/>
        </w:rPr>
      </w:pPr>
    </w:p>
    <w:p w14:paraId="4A5D6C76">
      <w:pPr>
        <w:rPr>
          <w:rFonts w:hint="eastAsia"/>
          <w:sz w:val="28"/>
          <w:szCs w:val="32"/>
          <w:lang w:val="en-US" w:eastAsia="zh-CN"/>
        </w:rPr>
      </w:pPr>
    </w:p>
    <w:p w14:paraId="2D6CCF17">
      <w:pPr>
        <w:jc w:val="right"/>
        <w:rPr>
          <w:rFonts w:hint="eastAsia"/>
          <w:sz w:val="28"/>
          <w:szCs w:val="32"/>
        </w:rPr>
      </w:pPr>
      <w:r>
        <w:rPr>
          <w:rFonts w:hint="eastAsia"/>
          <w:sz w:val="28"/>
          <w:szCs w:val="32"/>
        </w:rPr>
        <w:t>中交武汉智行国际工程咨询有限公司</w:t>
      </w:r>
    </w:p>
    <w:p w14:paraId="1D5FFEBC">
      <w:pPr>
        <w:jc w:val="right"/>
        <w:rPr>
          <w:rFonts w:hint="eastAsia"/>
          <w:sz w:val="28"/>
          <w:szCs w:val="32"/>
          <w:lang w:val="en-US" w:eastAsia="zh-CN"/>
        </w:rPr>
      </w:pPr>
      <w:r>
        <w:rPr>
          <w:rFonts w:hint="eastAsia"/>
          <w:sz w:val="28"/>
          <w:szCs w:val="32"/>
          <w:lang w:val="en-US" w:eastAsia="zh-CN"/>
        </w:rPr>
        <w:t>2026年4月12日</w:t>
      </w:r>
    </w:p>
    <w:p w14:paraId="701B116B">
      <w:pPr>
        <w:rPr>
          <w:rFonts w:hint="eastAsia"/>
          <w:sz w:val="28"/>
          <w:szCs w:val="32"/>
          <w:lang w:val="en-US" w:eastAsia="zh-CN"/>
        </w:rPr>
        <w:sectPr>
          <w:pgSz w:w="11906" w:h="16838"/>
          <w:pgMar w:top="1440" w:right="1800" w:bottom="1440" w:left="1800" w:header="851" w:footer="992" w:gutter="0"/>
          <w:cols w:space="425" w:num="1"/>
          <w:docGrid w:type="lines" w:linePitch="312" w:charSpace="0"/>
        </w:sectPr>
      </w:pPr>
      <w:r>
        <w:rPr>
          <w:rFonts w:hint="eastAsia"/>
          <w:sz w:val="28"/>
          <w:szCs w:val="32"/>
          <w:lang w:val="en-US" w:eastAsia="zh-CN"/>
        </w:rPr>
        <w:br w:type="page"/>
      </w:r>
    </w:p>
    <w:p w14:paraId="32BC8582">
      <w:pPr>
        <w:rPr>
          <w:rFonts w:hint="eastAsia"/>
          <w:sz w:val="28"/>
          <w:szCs w:val="32"/>
          <w:lang w:val="en-US" w:eastAsia="zh-CN"/>
        </w:rPr>
      </w:pPr>
    </w:p>
    <w:p w14:paraId="5072C555">
      <w:pPr>
        <w:spacing w:line="240" w:lineRule="auto"/>
        <w:ind w:left="0" w:leftChars="0" w:firstLine="0" w:firstLineChars="0"/>
        <w:jc w:val="left"/>
        <w:rPr>
          <w:rFonts w:hint="eastAsia" w:ascii="Times New Roman" w:hAnsi="Times New Roman" w:eastAsia="宋体" w:cs="Times New Roman"/>
          <w:b/>
          <w:bCs w:val="0"/>
          <w:sz w:val="32"/>
          <w:szCs w:val="32"/>
          <w:lang w:val="en-US" w:eastAsia="zh-CN"/>
        </w:rPr>
      </w:pPr>
      <w:r>
        <w:rPr>
          <w:rFonts w:hint="eastAsia" w:ascii="Times New Roman" w:hAnsi="Times New Roman" w:eastAsia="宋体" w:cs="Times New Roman"/>
          <w:b/>
          <w:bCs w:val="0"/>
          <w:sz w:val="32"/>
          <w:szCs w:val="32"/>
          <w:lang w:val="en-US" w:eastAsia="zh-CN"/>
        </w:rPr>
        <w:t>附件：</w:t>
      </w:r>
    </w:p>
    <w:p w14:paraId="5AD868B2">
      <w:pPr>
        <w:spacing w:line="240" w:lineRule="auto"/>
        <w:ind w:left="0" w:leftChars="0" w:firstLine="0" w:firstLineChars="0"/>
        <w:jc w:val="center"/>
        <w:rPr>
          <w:rFonts w:hint="default" w:ascii="Times New Roman" w:hAnsi="Times New Roman" w:eastAsia="宋体" w:cs="Times New Roman"/>
          <w:b/>
          <w:bCs w:val="0"/>
          <w:sz w:val="32"/>
          <w:szCs w:val="32"/>
          <w:lang w:val="en-US" w:eastAsia="zh-CN"/>
        </w:rPr>
      </w:pPr>
      <w:r>
        <w:rPr>
          <w:rFonts w:hint="default" w:ascii="Times New Roman" w:hAnsi="Times New Roman" w:eastAsia="宋体" w:cs="Times New Roman"/>
          <w:b/>
          <w:bCs w:val="0"/>
          <w:sz w:val="32"/>
          <w:szCs w:val="32"/>
          <w:lang w:val="en-US" w:eastAsia="zh-CN"/>
        </w:rPr>
        <w:t>产品技术评价标准</w:t>
      </w:r>
    </w:p>
    <w:p w14:paraId="292B1A62">
      <w:pPr>
        <w:keepNext w:val="0"/>
        <w:keepLines w:val="0"/>
        <w:pageBreakBefore w:val="0"/>
        <w:kinsoku/>
        <w:wordWrap/>
        <w:overflowPunct/>
        <w:topLinePunct w:val="0"/>
        <w:autoSpaceDE/>
        <w:autoSpaceDN/>
        <w:bidi w:val="0"/>
        <w:adjustRightInd/>
        <w:spacing w:before="120" w:after="120" w:line="288" w:lineRule="auto"/>
        <w:ind w:left="0" w:firstLine="0" w:firstLineChars="0"/>
        <w:jc w:val="left"/>
        <w:rPr>
          <w:rFonts w:hint="default" w:ascii="宋体" w:hAnsi="宋体" w:eastAsia="宋体" w:cs="宋体"/>
          <w:sz w:val="28"/>
          <w:szCs w:val="28"/>
          <w:lang w:val="en-US"/>
        </w:rPr>
      </w:pPr>
      <w:r>
        <w:rPr>
          <w:rFonts w:hint="eastAsia" w:ascii="宋体" w:hAnsi="宋体" w:eastAsia="宋体" w:cs="宋体"/>
          <w:b/>
          <w:bCs/>
          <w:sz w:val="28"/>
          <w:szCs w:val="28"/>
          <w:lang w:val="en-US" w:eastAsia="zh-CN"/>
        </w:rPr>
        <w:t>产品名称：</w:t>
      </w:r>
      <w:r>
        <w:rPr>
          <w:rFonts w:hint="eastAsia" w:cs="Times New Roman"/>
          <w:sz w:val="28"/>
          <w:szCs w:val="28"/>
          <w:lang w:val="en-US" w:eastAsia="zh-CN"/>
        </w:rPr>
        <w:t>交通数据管理平台（数据中台）</w:t>
      </w:r>
    </w:p>
    <w:tbl>
      <w:tblPr>
        <w:tblStyle w:val="9"/>
        <w:tblW w:w="497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05"/>
        <w:gridCol w:w="998"/>
        <w:gridCol w:w="11705"/>
      </w:tblGrid>
      <w:tr w14:paraId="3868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20" w:hRule="atLeast"/>
          <w:tblHeader/>
        </w:trPr>
        <w:tc>
          <w:tcPr>
            <w:tcW w:w="466" w:type="pct"/>
            <w:shd w:val="clear" w:color="auto" w:fill="FFFFFF" w:themeFill="background1"/>
            <w:tcMar>
              <w:top w:w="60" w:type="dxa"/>
              <w:left w:w="60" w:type="dxa"/>
              <w:bottom w:w="60" w:type="dxa"/>
              <w:right w:w="60" w:type="dxa"/>
            </w:tcMar>
            <w:vAlign w:val="center"/>
          </w:tcPr>
          <w:p w14:paraId="7ACA0095">
            <w:pPr>
              <w:keepNext w:val="0"/>
              <w:keepLines w:val="0"/>
              <w:pageBreakBefore w:val="0"/>
              <w:kinsoku/>
              <w:wordWrap/>
              <w:overflowPunct/>
              <w:topLinePunct w:val="0"/>
              <w:autoSpaceDE/>
              <w:autoSpaceDN/>
              <w:bidi w:val="0"/>
              <w:adjustRightInd/>
              <w:spacing w:before="120" w:after="120" w:line="240" w:lineRule="auto"/>
              <w:ind w:left="0" w:leftChars="0" w:firstLine="0" w:firstLineChars="0"/>
              <w:jc w:val="both"/>
              <w:rPr>
                <w:rFonts w:hint="default" w:ascii="宋体" w:hAnsi="宋体" w:eastAsia="宋体" w:cs="宋体"/>
                <w:b/>
                <w:bCs/>
                <w:sz w:val="28"/>
                <w:szCs w:val="28"/>
                <w:lang w:val="en-US"/>
              </w:rPr>
            </w:pPr>
            <w:r>
              <w:rPr>
                <w:rFonts w:hint="eastAsia" w:ascii="宋体" w:hAnsi="宋体" w:eastAsia="宋体" w:cs="宋体"/>
                <w:b/>
                <w:bCs/>
                <w:sz w:val="28"/>
                <w:szCs w:val="28"/>
                <w:lang w:val="en-US" w:eastAsia="zh-CN"/>
              </w:rPr>
              <w:t>评价指标</w:t>
            </w:r>
          </w:p>
        </w:tc>
        <w:tc>
          <w:tcPr>
            <w:tcW w:w="355" w:type="pct"/>
            <w:shd w:val="clear" w:color="auto" w:fill="FFFFFF" w:themeFill="background1"/>
            <w:tcMar>
              <w:top w:w="60" w:type="dxa"/>
              <w:left w:w="60" w:type="dxa"/>
              <w:bottom w:w="60" w:type="dxa"/>
              <w:right w:w="60" w:type="dxa"/>
            </w:tcMar>
            <w:vAlign w:val="center"/>
          </w:tcPr>
          <w:p w14:paraId="3FDC2E33">
            <w:pPr>
              <w:keepNext w:val="0"/>
              <w:keepLines w:val="0"/>
              <w:pageBreakBefore w:val="0"/>
              <w:kinsoku/>
              <w:wordWrap/>
              <w:overflowPunct/>
              <w:topLinePunct w:val="0"/>
              <w:autoSpaceDE/>
              <w:autoSpaceDN/>
              <w:bidi w:val="0"/>
              <w:adjustRightInd/>
              <w:spacing w:before="120" w:after="120" w:line="240" w:lineRule="auto"/>
              <w:ind w:left="0" w:firstLine="0" w:firstLineChars="0"/>
              <w:jc w:val="center"/>
              <w:rPr>
                <w:rFonts w:hint="eastAsia" w:ascii="宋体" w:hAnsi="宋体" w:eastAsia="宋体" w:cs="宋体"/>
                <w:b/>
                <w:bCs/>
                <w:sz w:val="28"/>
                <w:szCs w:val="28"/>
              </w:rPr>
            </w:pPr>
            <w:r>
              <w:rPr>
                <w:rFonts w:hint="eastAsia" w:ascii="宋体" w:hAnsi="宋体" w:eastAsia="宋体" w:cs="宋体"/>
                <w:b/>
                <w:bCs/>
                <w:sz w:val="28"/>
                <w:szCs w:val="28"/>
                <w:lang w:val="en-US" w:eastAsia="zh-CN"/>
              </w:rPr>
              <w:t>分值</w:t>
            </w:r>
          </w:p>
        </w:tc>
        <w:tc>
          <w:tcPr>
            <w:tcW w:w="4177" w:type="pct"/>
            <w:shd w:val="clear" w:color="auto" w:fill="FFFFFF" w:themeFill="background1"/>
            <w:tcMar>
              <w:top w:w="60" w:type="dxa"/>
              <w:left w:w="60" w:type="dxa"/>
              <w:bottom w:w="60" w:type="dxa"/>
              <w:right w:w="60" w:type="dxa"/>
            </w:tcMar>
            <w:vAlign w:val="center"/>
          </w:tcPr>
          <w:p w14:paraId="4E70EAC1">
            <w:pPr>
              <w:keepNext w:val="0"/>
              <w:keepLines w:val="0"/>
              <w:pageBreakBefore w:val="0"/>
              <w:kinsoku/>
              <w:wordWrap/>
              <w:overflowPunct/>
              <w:topLinePunct w:val="0"/>
              <w:autoSpaceDE/>
              <w:autoSpaceDN/>
              <w:bidi w:val="0"/>
              <w:adjustRightInd/>
              <w:spacing w:before="120" w:after="120" w:line="240" w:lineRule="auto"/>
              <w:ind w:left="0" w:firstLine="0" w:firstLineChars="0"/>
              <w:jc w:val="center"/>
              <w:rPr>
                <w:rFonts w:hint="eastAsia" w:ascii="宋体" w:hAnsi="宋体" w:eastAsia="宋体" w:cs="宋体"/>
                <w:b/>
                <w:bCs/>
                <w:sz w:val="28"/>
                <w:szCs w:val="28"/>
              </w:rPr>
            </w:pPr>
            <w:r>
              <w:rPr>
                <w:rFonts w:hint="eastAsia" w:ascii="宋体" w:hAnsi="宋体" w:eastAsia="宋体" w:cs="宋体"/>
                <w:b/>
                <w:bCs/>
                <w:sz w:val="28"/>
                <w:szCs w:val="28"/>
                <w:lang w:val="en-US" w:eastAsia="zh-CN"/>
              </w:rPr>
              <w:t>详细评价标准</w:t>
            </w:r>
          </w:p>
        </w:tc>
      </w:tr>
      <w:tr w14:paraId="5F133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529" w:hRule="atLeast"/>
        </w:trPr>
        <w:tc>
          <w:tcPr>
            <w:tcW w:w="466" w:type="pct"/>
            <w:shd w:val="clear" w:color="auto" w:fill="auto"/>
            <w:tcMar>
              <w:top w:w="60" w:type="dxa"/>
              <w:left w:w="60" w:type="dxa"/>
              <w:bottom w:w="60" w:type="dxa"/>
              <w:right w:w="60" w:type="dxa"/>
            </w:tcMar>
            <w:vAlign w:val="center"/>
          </w:tcPr>
          <w:p w14:paraId="335FC0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b/>
                <w:bCs w:val="0"/>
                <w:sz w:val="24"/>
                <w:szCs w:val="24"/>
              </w:rPr>
            </w:pPr>
            <w:r>
              <w:rPr>
                <w:rFonts w:hint="eastAsia" w:ascii="宋体" w:hAnsi="宋体" w:eastAsia="宋体" w:cs="宋体"/>
                <w:b/>
                <w:bCs w:val="0"/>
                <w:kern w:val="0"/>
                <w:sz w:val="24"/>
                <w:szCs w:val="24"/>
                <w:lang w:val="en-US" w:eastAsia="zh-CN" w:bidi="ar"/>
              </w:rPr>
              <w:t>行业落地经验</w:t>
            </w:r>
          </w:p>
        </w:tc>
        <w:tc>
          <w:tcPr>
            <w:tcW w:w="355" w:type="pct"/>
            <w:shd w:val="clear" w:color="auto" w:fill="auto"/>
            <w:tcMar>
              <w:top w:w="60" w:type="dxa"/>
              <w:left w:w="60" w:type="dxa"/>
              <w:bottom w:w="60" w:type="dxa"/>
              <w:right w:w="60" w:type="dxa"/>
            </w:tcMar>
            <w:vAlign w:val="center"/>
          </w:tcPr>
          <w:p w14:paraId="2F3A42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b/>
                <w:bCs w:val="0"/>
                <w:kern w:val="0"/>
                <w:sz w:val="24"/>
                <w:szCs w:val="24"/>
                <w:lang w:val="en-US" w:eastAsia="zh-CN" w:bidi="ar"/>
              </w:rPr>
            </w:pPr>
            <w:r>
              <w:rPr>
                <w:rFonts w:hint="eastAsia" w:ascii="宋体" w:hAnsi="宋体" w:cs="宋体"/>
                <w:b/>
                <w:bCs w:val="0"/>
                <w:kern w:val="0"/>
                <w:sz w:val="24"/>
                <w:szCs w:val="24"/>
                <w:lang w:val="en-US" w:eastAsia="zh-CN" w:bidi="ar"/>
              </w:rPr>
              <w:t>20</w:t>
            </w:r>
            <w:r>
              <w:rPr>
                <w:rFonts w:hint="eastAsia" w:ascii="宋体" w:hAnsi="宋体" w:eastAsia="宋体" w:cs="宋体"/>
                <w:b/>
                <w:bCs w:val="0"/>
                <w:kern w:val="0"/>
                <w:sz w:val="24"/>
                <w:szCs w:val="24"/>
                <w:lang w:val="en-US" w:eastAsia="zh-CN" w:bidi="ar"/>
              </w:rPr>
              <w:t>分</w:t>
            </w:r>
          </w:p>
        </w:tc>
        <w:tc>
          <w:tcPr>
            <w:tcW w:w="4177" w:type="pct"/>
            <w:shd w:val="clear" w:color="auto" w:fill="auto"/>
            <w:tcMar>
              <w:top w:w="60" w:type="dxa"/>
              <w:left w:w="60" w:type="dxa"/>
              <w:bottom w:w="60" w:type="dxa"/>
              <w:right w:w="60" w:type="dxa"/>
            </w:tcMar>
            <w:vAlign w:val="top"/>
          </w:tcPr>
          <w:p w14:paraId="14A4EFD4">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lang w:val="en-US" w:eastAsia="zh-CN" w:bidi="ar"/>
              </w:rPr>
            </w:pPr>
            <w:r>
              <w:rPr>
                <w:rFonts w:hint="eastAsia" w:ascii="宋体" w:hAnsi="宋体" w:eastAsia="宋体" w:cs="宋体"/>
                <w:bCs/>
                <w:kern w:val="0"/>
                <w:sz w:val="24"/>
                <w:szCs w:val="24"/>
                <w:lang w:val="en-US" w:eastAsia="zh-CN" w:bidi="ar"/>
              </w:rPr>
              <w:t>具备浙江省、江苏省、广东省、上海市交通行业数据平台建设经验的，得</w:t>
            </w:r>
            <w:r>
              <w:rPr>
                <w:rFonts w:hint="eastAsia" w:ascii="宋体" w:hAnsi="宋体" w:cs="宋体"/>
                <w:bCs/>
                <w:kern w:val="0"/>
                <w:sz w:val="24"/>
                <w:szCs w:val="24"/>
                <w:lang w:val="en-US" w:eastAsia="zh-CN" w:bidi="ar"/>
              </w:rPr>
              <w:t>20</w:t>
            </w:r>
            <w:r>
              <w:rPr>
                <w:rFonts w:hint="eastAsia" w:ascii="宋体" w:hAnsi="宋体" w:eastAsia="宋体" w:cs="宋体"/>
                <w:bCs/>
                <w:kern w:val="0"/>
                <w:sz w:val="24"/>
                <w:szCs w:val="24"/>
                <w:lang w:val="en-US" w:eastAsia="zh-CN" w:bidi="ar"/>
              </w:rPr>
              <w:t>分；</w:t>
            </w:r>
          </w:p>
          <w:p w14:paraId="39534A7D">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sz w:val="24"/>
                <w:szCs w:val="24"/>
              </w:rPr>
            </w:pPr>
            <w:r>
              <w:rPr>
                <w:rFonts w:hint="eastAsia" w:ascii="宋体" w:hAnsi="宋体" w:eastAsia="宋体" w:cs="宋体"/>
                <w:bCs/>
                <w:kern w:val="0"/>
                <w:sz w:val="24"/>
                <w:szCs w:val="24"/>
                <w:lang w:val="en-US" w:eastAsia="zh-CN" w:bidi="ar"/>
              </w:rPr>
              <w:t>具备山东省、安徽省、湖北省、四川省、湖南省、重庆市交通行业数据平台建设经验的，得1</w:t>
            </w:r>
            <w:r>
              <w:rPr>
                <w:rFonts w:hint="eastAsia" w:ascii="宋体" w:hAnsi="宋体" w:cs="宋体"/>
                <w:bCs/>
                <w:kern w:val="0"/>
                <w:sz w:val="24"/>
                <w:szCs w:val="24"/>
                <w:lang w:val="en-US" w:eastAsia="zh-CN" w:bidi="ar"/>
              </w:rPr>
              <w:t>5</w:t>
            </w:r>
            <w:r>
              <w:rPr>
                <w:rFonts w:hint="eastAsia" w:ascii="宋体" w:hAnsi="宋体" w:eastAsia="宋体" w:cs="宋体"/>
                <w:bCs/>
                <w:kern w:val="0"/>
                <w:sz w:val="24"/>
                <w:szCs w:val="24"/>
                <w:lang w:val="en-US" w:eastAsia="zh-CN" w:bidi="ar"/>
              </w:rPr>
              <w:t>分；</w:t>
            </w:r>
          </w:p>
          <w:p w14:paraId="13121D97">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sz w:val="24"/>
                <w:szCs w:val="24"/>
              </w:rPr>
            </w:pPr>
            <w:r>
              <w:rPr>
                <w:rFonts w:hint="eastAsia" w:ascii="宋体" w:hAnsi="宋体" w:eastAsia="宋体" w:cs="宋体"/>
                <w:bCs/>
                <w:kern w:val="0"/>
                <w:sz w:val="24"/>
                <w:szCs w:val="24"/>
                <w:lang w:val="en-US" w:eastAsia="zh-CN" w:bidi="ar"/>
              </w:rPr>
              <w:t>具备其他省及地市3个以上交通行业数据平台建设实施经验的，得</w:t>
            </w:r>
            <w:r>
              <w:rPr>
                <w:rFonts w:hint="eastAsia" w:ascii="宋体" w:hAnsi="宋体" w:cs="宋体"/>
                <w:bCs/>
                <w:kern w:val="0"/>
                <w:sz w:val="24"/>
                <w:szCs w:val="24"/>
                <w:lang w:val="en-US" w:eastAsia="zh-CN" w:bidi="ar"/>
              </w:rPr>
              <w:t>10</w:t>
            </w:r>
            <w:r>
              <w:rPr>
                <w:rFonts w:hint="eastAsia" w:ascii="宋体" w:hAnsi="宋体" w:eastAsia="宋体" w:cs="宋体"/>
                <w:bCs/>
                <w:kern w:val="0"/>
                <w:sz w:val="24"/>
                <w:szCs w:val="24"/>
                <w:lang w:val="en-US" w:eastAsia="zh-CN" w:bidi="ar"/>
              </w:rPr>
              <w:t>分；</w:t>
            </w:r>
          </w:p>
          <w:p w14:paraId="4FE03FC2">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sz w:val="24"/>
                <w:szCs w:val="24"/>
              </w:rPr>
            </w:pPr>
            <w:r>
              <w:rPr>
                <w:rFonts w:hint="eastAsia" w:ascii="宋体" w:hAnsi="宋体" w:eastAsia="宋体" w:cs="宋体"/>
                <w:bCs/>
                <w:kern w:val="0"/>
                <w:sz w:val="24"/>
                <w:szCs w:val="24"/>
                <w:lang w:val="en-US" w:eastAsia="zh-CN" w:bidi="ar"/>
              </w:rPr>
              <w:t>具备任一领域数据平台建设经验的，得5分；</w:t>
            </w:r>
          </w:p>
          <w:p w14:paraId="1840CF16">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sz w:val="24"/>
                <w:szCs w:val="24"/>
              </w:rPr>
            </w:pPr>
            <w:r>
              <w:rPr>
                <w:rFonts w:hint="eastAsia" w:ascii="宋体" w:hAnsi="宋体" w:eastAsia="宋体" w:cs="宋体"/>
                <w:bCs/>
                <w:kern w:val="0"/>
                <w:sz w:val="24"/>
                <w:szCs w:val="24"/>
                <w:lang w:val="en-US" w:eastAsia="zh-CN" w:bidi="ar"/>
              </w:rPr>
              <w:t>无任何相关建设经验的，得0分。</w:t>
            </w:r>
          </w:p>
        </w:tc>
      </w:tr>
      <w:tr w14:paraId="5A78C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62" w:hRule="atLeast"/>
        </w:trPr>
        <w:tc>
          <w:tcPr>
            <w:tcW w:w="466" w:type="pct"/>
            <w:shd w:val="clear" w:color="auto" w:fill="auto"/>
            <w:tcMar>
              <w:top w:w="60" w:type="dxa"/>
              <w:left w:w="60" w:type="dxa"/>
              <w:bottom w:w="60" w:type="dxa"/>
              <w:right w:w="60" w:type="dxa"/>
            </w:tcMar>
            <w:vAlign w:val="center"/>
          </w:tcPr>
          <w:p w14:paraId="45C81D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b/>
                <w:bCs w:val="0"/>
                <w:sz w:val="24"/>
                <w:szCs w:val="24"/>
              </w:rPr>
            </w:pPr>
            <w:r>
              <w:rPr>
                <w:rFonts w:hint="eastAsia" w:ascii="宋体" w:hAnsi="宋体" w:eastAsia="宋体" w:cs="宋体"/>
                <w:b/>
                <w:bCs w:val="0"/>
                <w:kern w:val="0"/>
                <w:sz w:val="24"/>
                <w:szCs w:val="24"/>
                <w:lang w:val="en-US" w:eastAsia="zh-CN" w:bidi="ar"/>
              </w:rPr>
              <w:t>建设思路与亮点</w:t>
            </w:r>
          </w:p>
        </w:tc>
        <w:tc>
          <w:tcPr>
            <w:tcW w:w="355" w:type="pct"/>
            <w:shd w:val="clear" w:color="auto" w:fill="auto"/>
            <w:tcMar>
              <w:top w:w="60" w:type="dxa"/>
              <w:left w:w="60" w:type="dxa"/>
              <w:bottom w:w="60" w:type="dxa"/>
              <w:right w:w="60" w:type="dxa"/>
            </w:tcMar>
            <w:vAlign w:val="center"/>
          </w:tcPr>
          <w:p w14:paraId="2F90E4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firstLine="0" w:firstLineChars="0"/>
              <w:jc w:val="center"/>
              <w:textAlignment w:val="top"/>
              <w:rPr>
                <w:rFonts w:hint="eastAsia" w:ascii="宋体" w:hAnsi="宋体" w:eastAsia="宋体" w:cs="宋体"/>
                <w:b/>
                <w:bCs w:val="0"/>
                <w:sz w:val="24"/>
                <w:szCs w:val="24"/>
              </w:rPr>
            </w:pPr>
            <w:r>
              <w:rPr>
                <w:rFonts w:hint="eastAsia" w:ascii="宋体" w:hAnsi="宋体" w:cs="宋体"/>
                <w:b/>
                <w:bCs w:val="0"/>
                <w:kern w:val="0"/>
                <w:sz w:val="24"/>
                <w:szCs w:val="24"/>
                <w:lang w:val="en-US" w:eastAsia="zh-CN" w:bidi="ar"/>
              </w:rPr>
              <w:t>30</w:t>
            </w:r>
            <w:r>
              <w:rPr>
                <w:rFonts w:hint="eastAsia" w:ascii="宋体" w:hAnsi="宋体" w:eastAsia="宋体" w:cs="宋体"/>
                <w:b/>
                <w:bCs w:val="0"/>
                <w:kern w:val="0"/>
                <w:sz w:val="24"/>
                <w:szCs w:val="24"/>
                <w:lang w:val="en-US" w:eastAsia="zh-CN" w:bidi="ar"/>
              </w:rPr>
              <w:t>分</w:t>
            </w:r>
          </w:p>
        </w:tc>
        <w:tc>
          <w:tcPr>
            <w:tcW w:w="4177" w:type="pct"/>
            <w:shd w:val="clear" w:color="auto" w:fill="auto"/>
            <w:tcMar>
              <w:top w:w="60" w:type="dxa"/>
              <w:left w:w="60" w:type="dxa"/>
              <w:bottom w:w="60" w:type="dxa"/>
              <w:right w:w="60" w:type="dxa"/>
            </w:tcMar>
            <w:vAlign w:val="top"/>
          </w:tcPr>
          <w:p w14:paraId="52D4F7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lang w:val="en-US" w:eastAsia="zh-CN" w:bidi="ar"/>
              </w:rPr>
            </w:pPr>
            <w:r>
              <w:rPr>
                <w:rFonts w:hint="eastAsia" w:ascii="宋体" w:hAnsi="宋体" w:eastAsia="宋体" w:cs="宋体"/>
                <w:bCs/>
                <w:kern w:val="0"/>
                <w:sz w:val="24"/>
                <w:szCs w:val="24"/>
                <w:lang w:val="en-US" w:eastAsia="zh-CN" w:bidi="ar"/>
              </w:rPr>
              <w:t>结合数据平台能力与数据开发治理实施经验，阐述建设思路及福建数字底座项目适配亮点，分三档评价：</w:t>
            </w:r>
          </w:p>
          <w:p w14:paraId="0965307E">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highlight w:val="none"/>
                <w:lang w:val="en-US" w:eastAsia="zh-CN" w:bidi="ar"/>
              </w:rPr>
            </w:pPr>
            <w:r>
              <w:rPr>
                <w:rFonts w:hint="eastAsia" w:ascii="宋体" w:hAnsi="宋体" w:eastAsia="宋体" w:cs="宋体"/>
                <w:bCs/>
                <w:kern w:val="0"/>
                <w:sz w:val="24"/>
                <w:szCs w:val="24"/>
                <w:lang w:val="en-US" w:eastAsia="zh-CN" w:bidi="ar"/>
              </w:rPr>
              <w:t>建设思路清晰、贴合项目核心需求，亮点突出，可适配福建交通数字底座一体化、集约化建设要求，能有效解决行业碎片化、复用低效等问题，契合福建交通“12345”建设目标</w:t>
            </w:r>
            <w:r>
              <w:rPr>
                <w:rFonts w:hint="eastAsia" w:ascii="宋体" w:hAnsi="宋体" w:cs="宋体"/>
                <w:bCs/>
                <w:kern w:val="0"/>
                <w:sz w:val="24"/>
                <w:szCs w:val="24"/>
                <w:lang w:val="en-US" w:eastAsia="zh-CN" w:bidi="ar"/>
              </w:rPr>
              <w:t>，</w:t>
            </w:r>
            <w:r>
              <w:rPr>
                <w:rFonts w:hint="eastAsia" w:ascii="宋体" w:hAnsi="宋体" w:cs="宋体"/>
                <w:bCs/>
                <w:kern w:val="0"/>
                <w:sz w:val="24"/>
                <w:szCs w:val="24"/>
                <w:highlight w:val="none"/>
                <w:lang w:val="en-US" w:eastAsia="zh-CN" w:bidi="ar"/>
              </w:rPr>
              <w:t>并基于交通数据管理平台已有基础能力，提供公共数据授权运营、可信数据空间建设实施思路的，</w:t>
            </w:r>
            <w:r>
              <w:rPr>
                <w:rFonts w:hint="eastAsia" w:ascii="宋体" w:hAnsi="宋体" w:eastAsia="宋体" w:cs="宋体"/>
                <w:bCs/>
                <w:kern w:val="0"/>
                <w:sz w:val="24"/>
                <w:szCs w:val="24"/>
                <w:highlight w:val="none"/>
                <w:lang w:val="en-US" w:eastAsia="zh-CN" w:bidi="ar"/>
              </w:rPr>
              <w:t>得</w:t>
            </w:r>
            <w:r>
              <w:rPr>
                <w:rFonts w:hint="eastAsia" w:ascii="宋体" w:hAnsi="宋体" w:cs="宋体"/>
                <w:bCs/>
                <w:kern w:val="0"/>
                <w:sz w:val="24"/>
                <w:szCs w:val="24"/>
                <w:highlight w:val="none"/>
                <w:lang w:val="en-US" w:eastAsia="zh-CN" w:bidi="ar"/>
              </w:rPr>
              <w:t>30</w:t>
            </w:r>
            <w:r>
              <w:rPr>
                <w:rFonts w:hint="eastAsia" w:ascii="宋体" w:hAnsi="宋体" w:eastAsia="宋体" w:cs="宋体"/>
                <w:bCs/>
                <w:kern w:val="0"/>
                <w:sz w:val="24"/>
                <w:szCs w:val="24"/>
                <w:highlight w:val="none"/>
                <w:lang w:val="en-US" w:eastAsia="zh-CN" w:bidi="ar"/>
              </w:rPr>
              <w:t>分。</w:t>
            </w:r>
          </w:p>
          <w:p w14:paraId="0E3276CB">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sz w:val="24"/>
                <w:szCs w:val="24"/>
              </w:rPr>
            </w:pPr>
            <w:r>
              <w:rPr>
                <w:rFonts w:hint="eastAsia" w:ascii="宋体" w:hAnsi="宋体" w:eastAsia="宋体" w:cs="宋体"/>
                <w:bCs/>
                <w:kern w:val="0"/>
                <w:sz w:val="24"/>
                <w:szCs w:val="24"/>
                <w:lang w:val="en-US" w:eastAsia="zh-CN" w:bidi="ar"/>
              </w:rPr>
              <w:t>建设思路可行，基本贴合项目需求，有一定亮点，可适配福建数字底座项目基本建设要求，能针对性解决部分行业痛点，得2</w:t>
            </w:r>
            <w:r>
              <w:rPr>
                <w:rFonts w:hint="eastAsia" w:ascii="宋体" w:hAnsi="宋体" w:cs="宋体"/>
                <w:bCs/>
                <w:kern w:val="0"/>
                <w:sz w:val="24"/>
                <w:szCs w:val="24"/>
                <w:lang w:val="en-US" w:eastAsia="zh-CN" w:bidi="ar"/>
              </w:rPr>
              <w:t>0</w:t>
            </w:r>
            <w:r>
              <w:rPr>
                <w:rFonts w:hint="eastAsia" w:ascii="宋体" w:hAnsi="宋体" w:eastAsia="宋体" w:cs="宋体"/>
                <w:bCs/>
                <w:kern w:val="0"/>
                <w:sz w:val="24"/>
                <w:szCs w:val="24"/>
                <w:lang w:val="en-US" w:eastAsia="zh-CN" w:bidi="ar"/>
              </w:rPr>
              <w:t>分。</w:t>
            </w:r>
          </w:p>
          <w:p w14:paraId="1AEB7D28">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sz w:val="24"/>
                <w:szCs w:val="24"/>
              </w:rPr>
            </w:pPr>
            <w:r>
              <w:rPr>
                <w:rFonts w:hint="eastAsia" w:ascii="宋体" w:hAnsi="宋体" w:eastAsia="宋体" w:cs="宋体"/>
                <w:bCs/>
                <w:kern w:val="0"/>
                <w:sz w:val="24"/>
                <w:szCs w:val="24"/>
                <w:lang w:val="en-US" w:eastAsia="zh-CN" w:bidi="ar"/>
              </w:rPr>
              <w:t>建设思路基本符合要求，亮点不明显，适配性一般，未能充分结合项目核心需求及福建本地业务特点，得</w:t>
            </w:r>
            <w:r>
              <w:rPr>
                <w:rFonts w:hint="eastAsia" w:ascii="宋体" w:hAnsi="宋体" w:cs="宋体"/>
                <w:bCs/>
                <w:kern w:val="0"/>
                <w:sz w:val="24"/>
                <w:szCs w:val="24"/>
                <w:lang w:val="en-US" w:eastAsia="zh-CN" w:bidi="ar"/>
              </w:rPr>
              <w:t>15</w:t>
            </w:r>
            <w:r>
              <w:rPr>
                <w:rFonts w:hint="eastAsia" w:ascii="宋体" w:hAnsi="宋体" w:eastAsia="宋体" w:cs="宋体"/>
                <w:bCs/>
                <w:kern w:val="0"/>
                <w:sz w:val="24"/>
                <w:szCs w:val="24"/>
                <w:lang w:val="en-US" w:eastAsia="zh-CN" w:bidi="ar"/>
              </w:rPr>
              <w:t>分。</w:t>
            </w:r>
          </w:p>
        </w:tc>
      </w:tr>
      <w:tr w14:paraId="71F5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rPr>
        <w:tc>
          <w:tcPr>
            <w:tcW w:w="466" w:type="pct"/>
            <w:shd w:val="clear" w:color="auto" w:fill="auto"/>
            <w:tcMar>
              <w:top w:w="60" w:type="dxa"/>
              <w:left w:w="60" w:type="dxa"/>
              <w:bottom w:w="60" w:type="dxa"/>
              <w:right w:w="60" w:type="dxa"/>
            </w:tcMar>
            <w:vAlign w:val="center"/>
          </w:tcPr>
          <w:p w14:paraId="60297D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b/>
                <w:bCs w:val="0"/>
                <w:sz w:val="24"/>
                <w:szCs w:val="24"/>
                <w:lang w:val="en-US"/>
              </w:rPr>
            </w:pPr>
            <w:r>
              <w:rPr>
                <w:rFonts w:hint="eastAsia" w:ascii="宋体" w:hAnsi="宋体" w:eastAsia="宋体" w:cs="宋体"/>
                <w:b/>
                <w:bCs w:val="0"/>
                <w:kern w:val="0"/>
                <w:sz w:val="24"/>
                <w:szCs w:val="24"/>
                <w:lang w:val="en-US" w:eastAsia="zh-CN" w:bidi="ar"/>
              </w:rPr>
              <w:t>平台基本能力</w:t>
            </w:r>
          </w:p>
        </w:tc>
        <w:tc>
          <w:tcPr>
            <w:tcW w:w="355" w:type="pct"/>
            <w:shd w:val="clear" w:color="auto" w:fill="auto"/>
            <w:tcMar>
              <w:top w:w="60" w:type="dxa"/>
              <w:left w:w="60" w:type="dxa"/>
              <w:bottom w:w="60" w:type="dxa"/>
              <w:right w:w="60" w:type="dxa"/>
            </w:tcMar>
            <w:vAlign w:val="center"/>
          </w:tcPr>
          <w:p w14:paraId="53D80A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b/>
                <w:bCs w:val="0"/>
                <w:sz w:val="24"/>
                <w:szCs w:val="24"/>
              </w:rPr>
            </w:pPr>
            <w:r>
              <w:rPr>
                <w:rFonts w:hint="eastAsia" w:ascii="宋体" w:hAnsi="宋体" w:eastAsia="宋体" w:cs="宋体"/>
                <w:b/>
                <w:bCs w:val="0"/>
                <w:kern w:val="0"/>
                <w:sz w:val="24"/>
                <w:szCs w:val="24"/>
                <w:lang w:val="en-US" w:eastAsia="zh-CN" w:bidi="ar"/>
              </w:rPr>
              <w:t>2</w:t>
            </w:r>
            <w:r>
              <w:rPr>
                <w:rFonts w:hint="eastAsia" w:ascii="宋体" w:hAnsi="宋体" w:cs="宋体"/>
                <w:b/>
                <w:bCs w:val="0"/>
                <w:kern w:val="0"/>
                <w:sz w:val="24"/>
                <w:szCs w:val="24"/>
                <w:lang w:val="en-US" w:eastAsia="zh-CN" w:bidi="ar"/>
              </w:rPr>
              <w:t>0</w:t>
            </w:r>
            <w:r>
              <w:rPr>
                <w:rFonts w:hint="eastAsia" w:ascii="宋体" w:hAnsi="宋体" w:eastAsia="宋体" w:cs="宋体"/>
                <w:b/>
                <w:bCs w:val="0"/>
                <w:kern w:val="0"/>
                <w:sz w:val="24"/>
                <w:szCs w:val="24"/>
                <w:lang w:val="en-US" w:eastAsia="zh-CN" w:bidi="ar"/>
              </w:rPr>
              <w:t>分</w:t>
            </w:r>
          </w:p>
        </w:tc>
        <w:tc>
          <w:tcPr>
            <w:tcW w:w="4177" w:type="pct"/>
            <w:shd w:val="clear" w:color="auto" w:fill="auto"/>
            <w:tcMar>
              <w:top w:w="60" w:type="dxa"/>
              <w:left w:w="60" w:type="dxa"/>
              <w:bottom w:w="60" w:type="dxa"/>
              <w:right w:w="60" w:type="dxa"/>
            </w:tcMar>
            <w:vAlign w:val="top"/>
          </w:tcPr>
          <w:p w14:paraId="039D01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lang w:val="en-US" w:eastAsia="zh-CN" w:bidi="ar"/>
              </w:rPr>
            </w:pPr>
            <w:r>
              <w:rPr>
                <w:rFonts w:hint="eastAsia" w:ascii="宋体" w:hAnsi="宋体" w:eastAsia="宋体" w:cs="宋体"/>
                <w:bCs/>
                <w:kern w:val="0"/>
                <w:sz w:val="24"/>
                <w:szCs w:val="24"/>
                <w:lang w:val="en-US" w:eastAsia="zh-CN" w:bidi="ar"/>
              </w:rPr>
              <w:t>围绕招标文件中交通数据管理平台功能要求（数据采集、数据开发、数据标准</w:t>
            </w:r>
            <w:r>
              <w:rPr>
                <w:rFonts w:hint="eastAsia" w:ascii="宋体" w:hAnsi="宋体" w:cs="宋体"/>
                <w:bCs/>
                <w:kern w:val="0"/>
                <w:sz w:val="24"/>
                <w:szCs w:val="24"/>
                <w:lang w:val="en-US" w:eastAsia="zh-CN" w:bidi="ar"/>
              </w:rPr>
              <w:t>管理</w:t>
            </w:r>
            <w:r>
              <w:rPr>
                <w:rFonts w:hint="eastAsia" w:ascii="宋体" w:hAnsi="宋体" w:eastAsia="宋体" w:cs="宋体"/>
                <w:bCs/>
                <w:kern w:val="0"/>
                <w:sz w:val="24"/>
                <w:szCs w:val="24"/>
                <w:lang w:val="en-US" w:eastAsia="zh-CN" w:bidi="ar"/>
              </w:rPr>
              <w:t>、数据标签、元数据</w:t>
            </w:r>
            <w:r>
              <w:rPr>
                <w:rFonts w:hint="eastAsia" w:ascii="宋体" w:hAnsi="宋体" w:cs="宋体"/>
                <w:bCs/>
                <w:kern w:val="0"/>
                <w:sz w:val="24"/>
                <w:szCs w:val="24"/>
                <w:lang w:val="en-US" w:eastAsia="zh-CN" w:bidi="ar"/>
              </w:rPr>
              <w:t>管理</w:t>
            </w:r>
            <w:r>
              <w:rPr>
                <w:rFonts w:hint="eastAsia" w:ascii="宋体" w:hAnsi="宋体" w:eastAsia="宋体" w:cs="宋体"/>
                <w:bCs/>
                <w:kern w:val="0"/>
                <w:sz w:val="24"/>
                <w:szCs w:val="24"/>
                <w:lang w:val="en-US" w:eastAsia="zh-CN" w:bidi="ar"/>
              </w:rPr>
              <w:t>、数据指标、数据质量</w:t>
            </w:r>
            <w:r>
              <w:rPr>
                <w:rFonts w:hint="eastAsia" w:ascii="宋体" w:hAnsi="宋体" w:cs="宋体"/>
                <w:bCs/>
                <w:kern w:val="0"/>
                <w:sz w:val="24"/>
                <w:szCs w:val="24"/>
                <w:lang w:val="en-US" w:eastAsia="zh-CN" w:bidi="ar"/>
              </w:rPr>
              <w:t>管理</w:t>
            </w:r>
            <w:r>
              <w:rPr>
                <w:rFonts w:hint="eastAsia" w:ascii="宋体" w:hAnsi="宋体" w:eastAsia="宋体" w:cs="宋体"/>
                <w:bCs/>
                <w:kern w:val="0"/>
                <w:sz w:val="24"/>
                <w:szCs w:val="24"/>
                <w:lang w:val="en-US" w:eastAsia="zh-CN" w:bidi="ar"/>
              </w:rPr>
              <w:t>、数据资产</w:t>
            </w:r>
            <w:r>
              <w:rPr>
                <w:rFonts w:hint="eastAsia" w:ascii="宋体" w:hAnsi="宋体" w:cs="宋体"/>
                <w:bCs/>
                <w:kern w:val="0"/>
                <w:sz w:val="24"/>
                <w:szCs w:val="24"/>
                <w:lang w:val="en-US" w:eastAsia="zh-CN" w:bidi="ar"/>
              </w:rPr>
              <w:t>管理、数据服务、数据安全、数据运维中心</w:t>
            </w:r>
            <w:r>
              <w:rPr>
                <w:rFonts w:hint="eastAsia" w:ascii="宋体" w:hAnsi="宋体" w:eastAsia="宋体" w:cs="宋体"/>
                <w:bCs/>
                <w:kern w:val="0"/>
                <w:sz w:val="24"/>
                <w:szCs w:val="24"/>
                <w:lang w:val="en-US" w:eastAsia="zh-CN" w:bidi="ar"/>
              </w:rPr>
              <w:t>功能），分四档评价：</w:t>
            </w:r>
          </w:p>
          <w:p w14:paraId="14543DE4">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lang w:val="en-US" w:eastAsia="zh-CN" w:bidi="ar"/>
              </w:rPr>
            </w:pPr>
            <w:r>
              <w:rPr>
                <w:rFonts w:hint="eastAsia" w:ascii="宋体" w:hAnsi="宋体" w:eastAsia="宋体" w:cs="宋体"/>
                <w:bCs/>
                <w:kern w:val="0"/>
                <w:sz w:val="24"/>
                <w:szCs w:val="24"/>
                <w:lang w:val="en-US" w:eastAsia="zh-CN" w:bidi="ar"/>
              </w:rPr>
              <w:t>完全满足招标文件所有功能要求，功能完善、性能稳定，可直接适配项目建设需求，支持数据汇聚、开发、治理全生命周期管理核心能力，得2</w:t>
            </w:r>
            <w:r>
              <w:rPr>
                <w:rFonts w:hint="eastAsia" w:ascii="宋体" w:hAnsi="宋体" w:cs="宋体"/>
                <w:bCs/>
                <w:kern w:val="0"/>
                <w:sz w:val="24"/>
                <w:szCs w:val="24"/>
                <w:lang w:val="en-US" w:eastAsia="zh-CN" w:bidi="ar"/>
              </w:rPr>
              <w:t>0</w:t>
            </w:r>
            <w:r>
              <w:rPr>
                <w:rFonts w:hint="eastAsia" w:ascii="宋体" w:hAnsi="宋体" w:eastAsia="宋体" w:cs="宋体"/>
                <w:bCs/>
                <w:kern w:val="0"/>
                <w:sz w:val="24"/>
                <w:szCs w:val="24"/>
                <w:lang w:val="en-US" w:eastAsia="zh-CN" w:bidi="ar"/>
              </w:rPr>
              <w:t>分。</w:t>
            </w:r>
          </w:p>
          <w:p w14:paraId="15874EEF">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sz w:val="24"/>
                <w:szCs w:val="24"/>
              </w:rPr>
            </w:pPr>
            <w:r>
              <w:rPr>
                <w:rFonts w:hint="eastAsia" w:ascii="宋体" w:hAnsi="宋体" w:eastAsia="宋体" w:cs="宋体"/>
                <w:bCs/>
                <w:kern w:val="0"/>
                <w:sz w:val="24"/>
                <w:szCs w:val="24"/>
                <w:lang w:val="en-US" w:eastAsia="zh-CN" w:bidi="ar"/>
              </w:rPr>
              <w:t>满足招标文件90%及以上功能要求，核心功能无缺失，性能良好，可通过少量优化适配项目需求，得</w:t>
            </w:r>
            <w:r>
              <w:rPr>
                <w:rFonts w:hint="eastAsia" w:ascii="宋体" w:hAnsi="宋体" w:cs="宋体"/>
                <w:bCs/>
                <w:kern w:val="0"/>
                <w:sz w:val="24"/>
                <w:szCs w:val="24"/>
                <w:lang w:val="en-US" w:eastAsia="zh-CN" w:bidi="ar"/>
              </w:rPr>
              <w:t>15</w:t>
            </w:r>
            <w:r>
              <w:rPr>
                <w:rFonts w:hint="eastAsia" w:ascii="宋体" w:hAnsi="宋体" w:eastAsia="宋体" w:cs="宋体"/>
                <w:bCs/>
                <w:kern w:val="0"/>
                <w:sz w:val="24"/>
                <w:szCs w:val="24"/>
                <w:lang w:val="en-US" w:eastAsia="zh-CN" w:bidi="ar"/>
              </w:rPr>
              <w:t>分。</w:t>
            </w:r>
          </w:p>
          <w:p w14:paraId="3FFCCA0B">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sz w:val="24"/>
                <w:szCs w:val="24"/>
              </w:rPr>
            </w:pPr>
            <w:r>
              <w:rPr>
                <w:rFonts w:hint="eastAsia" w:ascii="宋体" w:hAnsi="宋体" w:eastAsia="宋体" w:cs="宋体"/>
                <w:bCs/>
                <w:kern w:val="0"/>
                <w:sz w:val="24"/>
                <w:szCs w:val="24"/>
                <w:lang w:val="en-US" w:eastAsia="zh-CN" w:bidi="ar"/>
              </w:rPr>
              <w:t>满足招标文件80%-89%功能要求，核心功能基本齐全，存在少量非核心功能缺失，需进行针对性优化才能适配项目需求，得10分。</w:t>
            </w:r>
          </w:p>
          <w:p w14:paraId="7DCB1616">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sz w:val="24"/>
                <w:szCs w:val="24"/>
              </w:rPr>
            </w:pPr>
            <w:r>
              <w:rPr>
                <w:rFonts w:hint="eastAsia" w:ascii="宋体" w:hAnsi="宋体" w:eastAsia="宋体" w:cs="宋体"/>
                <w:bCs/>
                <w:kern w:val="0"/>
                <w:sz w:val="24"/>
                <w:szCs w:val="24"/>
                <w:lang w:val="en-US" w:eastAsia="zh-CN" w:bidi="ar"/>
              </w:rPr>
              <w:t>核心功能存在部分缺失，适配性较差，需大量优化才能满足基本使用需求，得0分。</w:t>
            </w:r>
          </w:p>
        </w:tc>
      </w:tr>
      <w:tr w14:paraId="21BD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014" w:hRule="atLeast"/>
        </w:trPr>
        <w:tc>
          <w:tcPr>
            <w:tcW w:w="466" w:type="pct"/>
            <w:shd w:val="clear" w:color="auto" w:fill="auto"/>
            <w:tcMar>
              <w:top w:w="60" w:type="dxa"/>
              <w:left w:w="60" w:type="dxa"/>
              <w:bottom w:w="60" w:type="dxa"/>
              <w:right w:w="60" w:type="dxa"/>
            </w:tcMar>
            <w:vAlign w:val="center"/>
          </w:tcPr>
          <w:p w14:paraId="7491C9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b/>
                <w:bCs w:val="0"/>
                <w:kern w:val="0"/>
                <w:sz w:val="24"/>
                <w:szCs w:val="24"/>
                <w:lang w:val="en-US" w:eastAsia="zh-CN" w:bidi="ar"/>
              </w:rPr>
            </w:pPr>
            <w:r>
              <w:rPr>
                <w:rFonts w:hint="eastAsia" w:ascii="宋体" w:hAnsi="宋体" w:eastAsia="宋体" w:cs="宋体"/>
                <w:b/>
                <w:bCs w:val="0"/>
                <w:kern w:val="0"/>
                <w:sz w:val="24"/>
                <w:szCs w:val="24"/>
                <w:lang w:val="en-US" w:eastAsia="zh-CN" w:bidi="ar"/>
              </w:rPr>
              <w:t>智能化数据治理能力</w:t>
            </w:r>
          </w:p>
        </w:tc>
        <w:tc>
          <w:tcPr>
            <w:tcW w:w="355" w:type="pct"/>
            <w:shd w:val="clear" w:color="auto" w:fill="auto"/>
            <w:tcMar>
              <w:top w:w="60" w:type="dxa"/>
              <w:left w:w="60" w:type="dxa"/>
              <w:bottom w:w="60" w:type="dxa"/>
              <w:right w:w="60" w:type="dxa"/>
            </w:tcMar>
            <w:vAlign w:val="center"/>
          </w:tcPr>
          <w:p w14:paraId="47D565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default" w:ascii="宋体" w:hAnsi="宋体" w:eastAsia="宋体" w:cs="宋体"/>
                <w:b/>
                <w:bCs w:val="0"/>
                <w:kern w:val="0"/>
                <w:sz w:val="24"/>
                <w:szCs w:val="24"/>
                <w:lang w:val="en-US" w:eastAsia="zh-CN" w:bidi="ar"/>
              </w:rPr>
            </w:pPr>
            <w:r>
              <w:rPr>
                <w:rFonts w:hint="eastAsia" w:ascii="宋体" w:hAnsi="宋体" w:eastAsia="宋体" w:cs="宋体"/>
                <w:b/>
                <w:bCs w:val="0"/>
                <w:kern w:val="0"/>
                <w:sz w:val="24"/>
                <w:szCs w:val="24"/>
                <w:lang w:val="en-US" w:eastAsia="zh-CN" w:bidi="ar"/>
              </w:rPr>
              <w:t>1</w:t>
            </w:r>
            <w:r>
              <w:rPr>
                <w:rFonts w:hint="eastAsia" w:ascii="宋体" w:hAnsi="宋体" w:cs="宋体"/>
                <w:b/>
                <w:bCs w:val="0"/>
                <w:kern w:val="0"/>
                <w:sz w:val="24"/>
                <w:szCs w:val="24"/>
                <w:lang w:val="en-US" w:eastAsia="zh-CN" w:bidi="ar"/>
              </w:rPr>
              <w:t>0</w:t>
            </w:r>
            <w:r>
              <w:rPr>
                <w:rFonts w:hint="eastAsia" w:ascii="宋体" w:hAnsi="宋体" w:eastAsia="宋体" w:cs="宋体"/>
                <w:b/>
                <w:bCs w:val="0"/>
                <w:kern w:val="0"/>
                <w:sz w:val="24"/>
                <w:szCs w:val="24"/>
                <w:lang w:val="en-US" w:eastAsia="zh-CN" w:bidi="ar"/>
              </w:rPr>
              <w:t>分</w:t>
            </w:r>
          </w:p>
        </w:tc>
        <w:tc>
          <w:tcPr>
            <w:tcW w:w="4177" w:type="pct"/>
            <w:shd w:val="clear" w:color="auto" w:fill="auto"/>
            <w:tcMar>
              <w:top w:w="60" w:type="dxa"/>
              <w:left w:w="60" w:type="dxa"/>
              <w:bottom w:w="60" w:type="dxa"/>
              <w:right w:w="60" w:type="dxa"/>
            </w:tcMar>
            <w:vAlign w:val="top"/>
          </w:tcPr>
          <w:p w14:paraId="64652A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lang w:val="en-US" w:eastAsia="zh-CN" w:bidi="ar"/>
              </w:rPr>
            </w:pPr>
            <w:r>
              <w:rPr>
                <w:rFonts w:hint="eastAsia" w:ascii="宋体" w:hAnsi="宋体" w:eastAsia="宋体" w:cs="宋体"/>
                <w:bCs/>
                <w:kern w:val="0"/>
                <w:sz w:val="24"/>
                <w:szCs w:val="24"/>
                <w:lang w:val="en-US" w:eastAsia="zh-CN" w:bidi="ar"/>
              </w:rPr>
              <w:t>平台除招标文件中要求的基本能力之外，对于AI在数据治理过程中的融合应用能力，分三档评价：</w:t>
            </w:r>
          </w:p>
          <w:p w14:paraId="6C640A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lang w:val="en-US" w:eastAsia="zh-CN" w:bidi="ar"/>
              </w:rPr>
            </w:pPr>
            <w:r>
              <w:rPr>
                <w:rFonts w:hint="eastAsia" w:ascii="宋体" w:hAnsi="宋体" w:eastAsia="宋体" w:cs="宋体"/>
                <w:bCs/>
                <w:kern w:val="0"/>
                <w:sz w:val="24"/>
                <w:szCs w:val="24"/>
                <w:lang w:val="en-US" w:eastAsia="zh-CN" w:bidi="ar"/>
              </w:rPr>
              <w:t>1. 全流程深度 AI 赋能，原生覆盖数据治理全环节。支持自动元数据发现与注册、智能数据质量检测与修复、自动数据分类分级等，可大幅降低人工治理成本，得 1</w:t>
            </w:r>
            <w:r>
              <w:rPr>
                <w:rFonts w:hint="eastAsia" w:ascii="宋体" w:hAnsi="宋体" w:cs="宋体"/>
                <w:bCs/>
                <w:kern w:val="0"/>
                <w:sz w:val="24"/>
                <w:szCs w:val="24"/>
                <w:lang w:val="en-US" w:eastAsia="zh-CN" w:bidi="ar"/>
              </w:rPr>
              <w:t>0</w:t>
            </w:r>
            <w:r>
              <w:rPr>
                <w:rFonts w:hint="eastAsia" w:ascii="宋体" w:hAnsi="宋体" w:eastAsia="宋体" w:cs="宋体"/>
                <w:bCs/>
                <w:kern w:val="0"/>
                <w:sz w:val="24"/>
                <w:szCs w:val="24"/>
                <w:lang w:val="en-US" w:eastAsia="zh-CN" w:bidi="ar"/>
              </w:rPr>
              <w:t xml:space="preserve"> 分；</w:t>
            </w:r>
          </w:p>
          <w:p w14:paraId="4231550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lang w:val="en-US" w:eastAsia="zh-CN" w:bidi="ar"/>
              </w:rPr>
            </w:pPr>
            <w:r>
              <w:rPr>
                <w:rFonts w:hint="eastAsia" w:ascii="宋体" w:hAnsi="宋体" w:eastAsia="宋体" w:cs="宋体"/>
                <w:bCs/>
                <w:kern w:val="0"/>
                <w:sz w:val="24"/>
                <w:szCs w:val="24"/>
                <w:lang w:val="en-US" w:eastAsia="zh-CN" w:bidi="ar"/>
              </w:rPr>
              <w:t>2. 具备基本的自动化数据治理能力，支持元数据自动采集、规则化数据质量检测，部分核心环节需人工干预，得</w:t>
            </w:r>
            <w:r>
              <w:rPr>
                <w:rFonts w:hint="eastAsia" w:ascii="宋体" w:hAnsi="宋体" w:cs="宋体"/>
                <w:bCs/>
                <w:kern w:val="0"/>
                <w:sz w:val="24"/>
                <w:szCs w:val="24"/>
                <w:lang w:val="en-US" w:eastAsia="zh-CN" w:bidi="ar"/>
              </w:rPr>
              <w:t>7</w:t>
            </w:r>
            <w:r>
              <w:rPr>
                <w:rFonts w:hint="eastAsia" w:ascii="宋体" w:hAnsi="宋体" w:eastAsia="宋体" w:cs="宋体"/>
                <w:bCs/>
                <w:kern w:val="0"/>
                <w:sz w:val="24"/>
                <w:szCs w:val="24"/>
                <w:lang w:val="en-US" w:eastAsia="zh-CN" w:bidi="ar"/>
              </w:rPr>
              <w:t>分；</w:t>
            </w:r>
          </w:p>
          <w:p w14:paraId="7B3461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lang w:val="en-US" w:eastAsia="zh-CN" w:bidi="ar"/>
              </w:rPr>
            </w:pPr>
            <w:r>
              <w:rPr>
                <w:rFonts w:hint="eastAsia" w:ascii="宋体" w:hAnsi="宋体" w:eastAsia="宋体" w:cs="宋体"/>
                <w:bCs/>
                <w:kern w:val="0"/>
                <w:sz w:val="24"/>
                <w:szCs w:val="24"/>
                <w:lang w:val="en-US" w:eastAsia="zh-CN" w:bidi="ar"/>
              </w:rPr>
              <w:t>3. 仅支持人工数据治理，无自动化或智能化能力，得 0 分。</w:t>
            </w:r>
          </w:p>
        </w:tc>
      </w:tr>
      <w:tr w14:paraId="782D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3" w:hRule="atLeast"/>
        </w:trPr>
        <w:tc>
          <w:tcPr>
            <w:tcW w:w="466" w:type="pct"/>
            <w:shd w:val="clear" w:color="auto" w:fill="auto"/>
            <w:tcMar>
              <w:top w:w="60" w:type="dxa"/>
              <w:left w:w="60" w:type="dxa"/>
              <w:bottom w:w="60" w:type="dxa"/>
              <w:right w:w="60" w:type="dxa"/>
            </w:tcMar>
            <w:vAlign w:val="center"/>
          </w:tcPr>
          <w:p w14:paraId="63A40A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b/>
                <w:bCs w:val="0"/>
                <w:kern w:val="0"/>
                <w:sz w:val="24"/>
                <w:szCs w:val="24"/>
                <w:lang w:val="en-US" w:eastAsia="zh-CN" w:bidi="ar"/>
              </w:rPr>
            </w:pPr>
            <w:r>
              <w:rPr>
                <w:rFonts w:hint="eastAsia" w:ascii="宋体" w:hAnsi="宋体" w:eastAsia="宋体" w:cs="宋体"/>
                <w:b/>
                <w:bCs w:val="0"/>
                <w:kern w:val="0"/>
                <w:sz w:val="24"/>
                <w:szCs w:val="24"/>
                <w:lang w:val="en-US" w:eastAsia="zh-CN" w:bidi="ar"/>
              </w:rPr>
              <w:t>平台报价响应</w:t>
            </w:r>
          </w:p>
        </w:tc>
        <w:tc>
          <w:tcPr>
            <w:tcW w:w="355" w:type="pct"/>
            <w:shd w:val="clear" w:color="auto" w:fill="auto"/>
            <w:tcMar>
              <w:top w:w="60" w:type="dxa"/>
              <w:left w:w="60" w:type="dxa"/>
              <w:bottom w:w="60" w:type="dxa"/>
              <w:right w:w="60" w:type="dxa"/>
            </w:tcMar>
            <w:vAlign w:val="center"/>
          </w:tcPr>
          <w:p w14:paraId="116966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default" w:ascii="宋体" w:hAnsi="宋体" w:eastAsia="宋体" w:cs="宋体"/>
                <w:b/>
                <w:bCs w:val="0"/>
                <w:kern w:val="0"/>
                <w:sz w:val="24"/>
                <w:szCs w:val="24"/>
                <w:lang w:val="en-US" w:eastAsia="zh-CN" w:bidi="ar"/>
              </w:rPr>
            </w:pPr>
            <w:r>
              <w:rPr>
                <w:rFonts w:hint="eastAsia" w:ascii="宋体" w:hAnsi="宋体" w:cs="宋体"/>
                <w:b/>
                <w:bCs w:val="0"/>
                <w:kern w:val="0"/>
                <w:sz w:val="24"/>
                <w:szCs w:val="24"/>
                <w:lang w:val="en-US" w:eastAsia="zh-CN" w:bidi="ar"/>
              </w:rPr>
              <w:t>10分</w:t>
            </w:r>
          </w:p>
        </w:tc>
        <w:tc>
          <w:tcPr>
            <w:tcW w:w="4177" w:type="pct"/>
            <w:shd w:val="clear" w:color="auto" w:fill="auto"/>
            <w:tcMar>
              <w:top w:w="60" w:type="dxa"/>
              <w:left w:w="60" w:type="dxa"/>
              <w:bottom w:w="60" w:type="dxa"/>
              <w:right w:w="60" w:type="dxa"/>
            </w:tcMar>
            <w:vAlign w:val="center"/>
          </w:tcPr>
          <w:p w14:paraId="105D2C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both"/>
              <w:textAlignment w:val="top"/>
              <w:rPr>
                <w:rFonts w:hint="eastAsia" w:ascii="宋体" w:hAnsi="宋体" w:eastAsia="宋体" w:cs="宋体"/>
                <w:bCs/>
                <w:kern w:val="0"/>
                <w:sz w:val="24"/>
                <w:szCs w:val="24"/>
                <w:lang w:val="en-US" w:eastAsia="zh-CN" w:bidi="ar"/>
              </w:rPr>
            </w:pPr>
            <w:r>
              <w:rPr>
                <w:rFonts w:hint="eastAsia" w:ascii="宋体" w:hAnsi="宋体" w:eastAsia="宋体" w:cs="宋体"/>
                <w:bCs/>
                <w:kern w:val="0"/>
                <w:sz w:val="24"/>
                <w:szCs w:val="24"/>
                <w:highlight w:val="none"/>
                <w:lang w:val="en-US" w:eastAsia="zh-CN" w:bidi="ar"/>
              </w:rPr>
              <w:t>提供平台详细分项报价（含可信数据空间）的，得10分；未</w:t>
            </w:r>
            <w:r>
              <w:rPr>
                <w:rFonts w:hint="eastAsia" w:ascii="宋体" w:hAnsi="宋体" w:eastAsia="宋体" w:cs="宋体"/>
                <w:bCs/>
                <w:kern w:val="0"/>
                <w:sz w:val="24"/>
                <w:szCs w:val="24"/>
                <w:lang w:val="en-US" w:eastAsia="zh-CN" w:bidi="ar"/>
              </w:rPr>
              <w:t>提供平台报价，得0分。</w:t>
            </w:r>
          </w:p>
        </w:tc>
      </w:tr>
      <w:tr w14:paraId="1993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rPr>
        <w:tc>
          <w:tcPr>
            <w:tcW w:w="466" w:type="pct"/>
            <w:shd w:val="clear" w:color="auto" w:fill="auto"/>
            <w:tcMar>
              <w:top w:w="60" w:type="dxa"/>
              <w:left w:w="60" w:type="dxa"/>
              <w:bottom w:w="60" w:type="dxa"/>
              <w:right w:w="60" w:type="dxa"/>
            </w:tcMar>
            <w:vAlign w:val="center"/>
          </w:tcPr>
          <w:p w14:paraId="66B129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b/>
                <w:bCs w:val="0"/>
                <w:kern w:val="0"/>
                <w:sz w:val="24"/>
                <w:szCs w:val="24"/>
                <w:lang w:val="en-US" w:eastAsia="zh-CN" w:bidi="ar"/>
              </w:rPr>
            </w:pPr>
            <w:r>
              <w:rPr>
                <w:rFonts w:hint="eastAsia" w:ascii="宋体" w:hAnsi="宋体" w:eastAsia="宋体" w:cs="宋体"/>
                <w:b/>
                <w:bCs w:val="0"/>
                <w:kern w:val="0"/>
                <w:sz w:val="24"/>
                <w:szCs w:val="24"/>
                <w:lang w:val="en-US" w:eastAsia="zh-CN" w:bidi="ar"/>
              </w:rPr>
              <w:t>人员保障</w:t>
            </w:r>
          </w:p>
        </w:tc>
        <w:tc>
          <w:tcPr>
            <w:tcW w:w="355" w:type="pct"/>
            <w:shd w:val="clear" w:color="auto" w:fill="auto"/>
            <w:tcMar>
              <w:top w:w="60" w:type="dxa"/>
              <w:left w:w="60" w:type="dxa"/>
              <w:bottom w:w="60" w:type="dxa"/>
              <w:right w:w="60" w:type="dxa"/>
            </w:tcMar>
            <w:vAlign w:val="center"/>
          </w:tcPr>
          <w:p w14:paraId="1E1B79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default" w:ascii="宋体" w:hAnsi="宋体" w:eastAsia="宋体" w:cs="宋体"/>
                <w:b/>
                <w:bCs w:val="0"/>
                <w:kern w:val="0"/>
                <w:sz w:val="24"/>
                <w:szCs w:val="24"/>
                <w:lang w:val="en-US" w:eastAsia="zh-CN" w:bidi="ar"/>
              </w:rPr>
            </w:pPr>
            <w:r>
              <w:rPr>
                <w:rFonts w:hint="eastAsia" w:ascii="宋体" w:hAnsi="宋体" w:eastAsia="宋体" w:cs="宋体"/>
                <w:b/>
                <w:bCs w:val="0"/>
                <w:kern w:val="0"/>
                <w:sz w:val="24"/>
                <w:szCs w:val="24"/>
                <w:lang w:val="en-US" w:eastAsia="zh-CN" w:bidi="ar"/>
              </w:rPr>
              <w:t>10分</w:t>
            </w:r>
          </w:p>
        </w:tc>
        <w:tc>
          <w:tcPr>
            <w:tcW w:w="4177" w:type="pct"/>
            <w:shd w:val="clear" w:color="auto" w:fill="auto"/>
            <w:tcMar>
              <w:top w:w="60" w:type="dxa"/>
              <w:left w:w="60" w:type="dxa"/>
              <w:bottom w:w="60" w:type="dxa"/>
              <w:right w:w="60" w:type="dxa"/>
            </w:tcMar>
            <w:vAlign w:val="top"/>
          </w:tcPr>
          <w:p w14:paraId="471732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line="240" w:lineRule="auto"/>
              <w:ind w:left="0" w:leftChars="0" w:firstLine="0" w:firstLineChars="0"/>
              <w:jc w:val="left"/>
              <w:textAlignment w:val="top"/>
              <w:rPr>
                <w:rFonts w:hint="eastAsia" w:ascii="宋体" w:hAnsi="宋体" w:eastAsia="宋体" w:cs="宋体"/>
                <w:bCs/>
                <w:kern w:val="0"/>
                <w:sz w:val="24"/>
                <w:szCs w:val="24"/>
                <w:lang w:val="en-US" w:eastAsia="zh-CN" w:bidi="ar"/>
              </w:rPr>
            </w:pPr>
            <w:r>
              <w:rPr>
                <w:rFonts w:hint="eastAsia"/>
              </w:rPr>
              <w:t>承诺平台建设期投入人员不少于5人、运维期投入人员不少于2人的，得10分；</w:t>
            </w:r>
          </w:p>
        </w:tc>
      </w:tr>
      <w:tr w14:paraId="047A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40" w:hRule="atLeast"/>
        </w:trPr>
        <w:tc>
          <w:tcPr>
            <w:tcW w:w="822" w:type="pct"/>
            <w:gridSpan w:val="2"/>
            <w:shd w:val="clear" w:color="auto" w:fill="auto"/>
            <w:tcMar>
              <w:top w:w="60" w:type="dxa"/>
              <w:left w:w="60" w:type="dxa"/>
              <w:bottom w:w="60" w:type="dxa"/>
              <w:right w:w="60" w:type="dxa"/>
            </w:tcMar>
            <w:vAlign w:val="center"/>
          </w:tcPr>
          <w:p w14:paraId="0A698D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b/>
                <w:bCs w:val="0"/>
                <w:sz w:val="24"/>
                <w:szCs w:val="24"/>
              </w:rPr>
            </w:pPr>
            <w:r>
              <w:rPr>
                <w:rFonts w:hint="eastAsia" w:ascii="宋体" w:hAnsi="宋体" w:eastAsia="宋体" w:cs="宋体"/>
                <w:b/>
                <w:bCs w:val="0"/>
                <w:kern w:val="0"/>
                <w:sz w:val="24"/>
                <w:szCs w:val="24"/>
                <w:lang w:val="en-US" w:eastAsia="zh-CN" w:bidi="ar"/>
              </w:rPr>
              <w:t>总分</w:t>
            </w:r>
          </w:p>
        </w:tc>
        <w:tc>
          <w:tcPr>
            <w:tcW w:w="4177" w:type="pct"/>
            <w:shd w:val="clear" w:color="auto" w:fill="auto"/>
            <w:tcMar>
              <w:top w:w="60" w:type="dxa"/>
              <w:left w:w="60" w:type="dxa"/>
              <w:bottom w:w="60" w:type="dxa"/>
              <w:right w:w="60" w:type="dxa"/>
            </w:tcMar>
            <w:vAlign w:val="center"/>
          </w:tcPr>
          <w:p w14:paraId="5F9755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ind w:left="0" w:leftChars="0" w:firstLine="0" w:firstLineChars="0"/>
              <w:jc w:val="center"/>
              <w:textAlignment w:val="top"/>
              <w:rPr>
                <w:rFonts w:hint="eastAsia" w:ascii="宋体" w:hAnsi="宋体" w:eastAsia="宋体" w:cs="宋体"/>
                <w:sz w:val="24"/>
                <w:szCs w:val="24"/>
              </w:rPr>
            </w:pPr>
            <w:r>
              <w:rPr>
                <w:rFonts w:hint="eastAsia" w:ascii="宋体" w:hAnsi="宋体" w:eastAsia="宋体" w:cs="宋体"/>
                <w:b/>
                <w:bCs w:val="0"/>
                <w:kern w:val="0"/>
                <w:sz w:val="24"/>
                <w:szCs w:val="24"/>
                <w:lang w:val="en-US" w:eastAsia="zh-CN" w:bidi="ar"/>
              </w:rPr>
              <w:t>100分</w:t>
            </w:r>
          </w:p>
        </w:tc>
      </w:tr>
    </w:tbl>
    <w:p w14:paraId="183020E5">
      <w:pPr>
        <w:spacing w:line="240" w:lineRule="auto"/>
        <w:ind w:left="0" w:leftChars="0" w:firstLine="0" w:firstLineChars="0"/>
        <w:jc w:val="both"/>
        <w:rPr>
          <w:rFonts w:hint="default" w:ascii="Times New Roman" w:hAnsi="Times New Roman" w:eastAsia="宋体" w:cs="Times New Roman"/>
          <w:b/>
          <w:bCs w:val="0"/>
          <w:sz w:val="32"/>
          <w:szCs w:val="32"/>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F"/>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 w:name="Heiti SC Medium">
    <w:altName w:val="宋体"/>
    <w:panose1 w:val="02000000000000000000"/>
    <w:charset w:val="86"/>
    <w:family w:val="auto"/>
    <w:pitch w:val="default"/>
    <w:sig w:usb0="00000000" w:usb1="00000000"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A4BEB"/>
    <w:multiLevelType w:val="singleLevel"/>
    <w:tmpl w:val="8BEA4BEB"/>
    <w:lvl w:ilvl="0" w:tentative="0">
      <w:start w:val="1"/>
      <w:numFmt w:val="decimal"/>
      <w:suff w:val="space"/>
      <w:lvlText w:val="%1."/>
      <w:lvlJc w:val="left"/>
    </w:lvl>
  </w:abstractNum>
  <w:abstractNum w:abstractNumId="1">
    <w:nsid w:val="8C99BD10"/>
    <w:multiLevelType w:val="multilevel"/>
    <w:tmpl w:val="8C99BD10"/>
    <w:lvl w:ilvl="0" w:tentative="0">
      <w:start w:val="1"/>
      <w:numFmt w:val="chineseCounting"/>
      <w:pStyle w:val="4"/>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2">
    <w:nsid w:val="96BBCD62"/>
    <w:multiLevelType w:val="multilevel"/>
    <w:tmpl w:val="96BBCD62"/>
    <w:lvl w:ilvl="0" w:tentative="0">
      <w:start w:val="1"/>
      <w:numFmt w:val="decimal"/>
      <w:isLgl/>
      <w:suff w:val="space"/>
      <w:lvlText w:val="第%1章"/>
      <w:lvlJc w:val="left"/>
      <w:pPr>
        <w:tabs>
          <w:tab w:val="left" w:pos="420"/>
        </w:tabs>
        <w:ind w:left="0" w:leftChars="0" w:firstLine="0" w:firstLineChars="0"/>
      </w:pPr>
      <w:rPr>
        <w:rFonts w:hint="default" w:ascii="Times New Roman Bold" w:hAnsi="Times New Roman Bold" w:eastAsia="黑体"/>
        <w:b/>
        <w:sz w:val="32"/>
      </w:rPr>
    </w:lvl>
    <w:lvl w:ilvl="1" w:tentative="0">
      <w:start w:val="1"/>
      <w:numFmt w:val="decimal"/>
      <w:isLgl/>
      <w:suff w:val="space"/>
      <w:lvlText w:val="  %1.%2"/>
      <w:lvlJc w:val="left"/>
      <w:pPr>
        <w:tabs>
          <w:tab w:val="left" w:pos="420"/>
        </w:tabs>
        <w:ind w:left="0" w:leftChars="0" w:firstLine="0" w:firstLineChars="0"/>
      </w:pPr>
      <w:rPr>
        <w:rFonts w:hint="default" w:ascii="Times New Roman Regular" w:hAnsi="Times New Roman Regular" w:eastAsia="Heiti SC Medium" w:cs="Times New Roman"/>
        <w:sz w:val="30"/>
      </w:rPr>
    </w:lvl>
    <w:lvl w:ilvl="2" w:tentative="0">
      <w:start w:val="1"/>
      <w:numFmt w:val="decimal"/>
      <w:isLgl/>
      <w:suff w:val="space"/>
      <w:lvlText w:val="  %1.%2.%3"/>
      <w:lvlJc w:val="left"/>
      <w:pPr>
        <w:tabs>
          <w:tab w:val="left" w:pos="420"/>
        </w:tabs>
        <w:ind w:left="0" w:leftChars="0" w:firstLine="0" w:firstLineChars="0"/>
      </w:pPr>
      <w:rPr>
        <w:rFonts w:hint="default" w:ascii="Times New Roman" w:hAnsi="Times New Roman" w:eastAsia="黑体"/>
        <w:sz w:val="28"/>
      </w:rPr>
    </w:lvl>
    <w:lvl w:ilvl="3" w:tentative="0">
      <w:start w:val="1"/>
      <w:numFmt w:val="decimal"/>
      <w:isLgl/>
      <w:suff w:val="space"/>
      <w:lvlText w:val="  %1.%2.%3.%4"/>
      <w:lvlJc w:val="left"/>
      <w:pPr>
        <w:tabs>
          <w:tab w:val="left" w:pos="420"/>
        </w:tabs>
        <w:ind w:left="0" w:leftChars="0" w:firstLine="0" w:firstLineChars="0"/>
      </w:pPr>
      <w:rPr>
        <w:rFonts w:hint="default" w:ascii="Times New Roman" w:hAnsi="Times New Roman" w:eastAsia="Heiti SC Medium"/>
        <w:sz w:val="24"/>
      </w:rPr>
    </w:lvl>
    <w:lvl w:ilvl="4" w:tentative="0">
      <w:start w:val="1"/>
      <w:numFmt w:val="decimal"/>
      <w:isLgl/>
      <w:suff w:val="space"/>
      <w:lvlText w:val="  %1.%2.%3.%4.%5"/>
      <w:lvlJc w:val="left"/>
      <w:pPr>
        <w:tabs>
          <w:tab w:val="left" w:pos="0"/>
        </w:tabs>
        <w:ind w:left="0" w:leftChars="0" w:firstLine="0" w:firstLineChars="0"/>
      </w:pPr>
      <w:rPr>
        <w:rFonts w:hint="default" w:ascii="Times New Roman" w:hAnsi="Times New Roman" w:eastAsia="Heiti SC Medium"/>
        <w:sz w:val="24"/>
      </w:rPr>
    </w:lvl>
    <w:lvl w:ilvl="5" w:tentative="0">
      <w:start w:val="1"/>
      <w:numFmt w:val="decimal"/>
      <w:pStyle w:val="7"/>
      <w:isLgl/>
      <w:suff w:val="space"/>
      <w:lvlText w:val="  %1.%2.%3.%4.%5.%6"/>
      <w:lvlJc w:val="left"/>
      <w:pPr>
        <w:tabs>
          <w:tab w:val="left" w:pos="420"/>
        </w:tabs>
        <w:ind w:left="0" w:leftChars="0" w:firstLine="0" w:firstLineChars="0"/>
      </w:pPr>
      <w:rPr>
        <w:rFonts w:hint="default" w:ascii="Arial" w:hAnsi="Arial" w:eastAsia="Heiti SC Medium"/>
        <w:sz w:val="24"/>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
    <w:nsid w:val="B65CCEBE"/>
    <w:multiLevelType w:val="singleLevel"/>
    <w:tmpl w:val="B65CCEBE"/>
    <w:lvl w:ilvl="0" w:tentative="0">
      <w:start w:val="1"/>
      <w:numFmt w:val="decimal"/>
      <w:suff w:val="space"/>
      <w:lvlText w:val="%1."/>
      <w:lvlJc w:val="left"/>
    </w:lvl>
  </w:abstractNum>
  <w:abstractNum w:abstractNumId="4">
    <w:nsid w:val="CB504212"/>
    <w:multiLevelType w:val="singleLevel"/>
    <w:tmpl w:val="CB504212"/>
    <w:lvl w:ilvl="0" w:tentative="0">
      <w:start w:val="1"/>
      <w:numFmt w:val="decimal"/>
      <w:suff w:val="space"/>
      <w:lvlText w:val="%1."/>
      <w:lvlJc w:val="left"/>
    </w:lvl>
  </w:abstractNum>
  <w:abstractNum w:abstractNumId="5">
    <w:nsid w:val="361F59C2"/>
    <w:multiLevelType w:val="singleLevel"/>
    <w:tmpl w:val="361F59C2"/>
    <w:lvl w:ilvl="0" w:tentative="0">
      <w:start w:val="1"/>
      <w:numFmt w:val="decimal"/>
      <w:pStyle w:val="5"/>
      <w:lvlText w:val="(%1)"/>
      <w:lvlJc w:val="left"/>
      <w:pPr>
        <w:ind w:left="425" w:hanging="425"/>
      </w:pPr>
      <w:rPr>
        <w:rFonts w:hint="default"/>
      </w:rPr>
    </w:lvl>
  </w:abstractNum>
  <w:abstractNum w:abstractNumId="6">
    <w:nsid w:val="4A78D1C7"/>
    <w:multiLevelType w:val="singleLevel"/>
    <w:tmpl w:val="4A78D1C7"/>
    <w:lvl w:ilvl="0" w:tentative="0">
      <w:start w:val="1"/>
      <w:numFmt w:val="decimal"/>
      <w:pStyle w:val="6"/>
      <w:lvlText w:val="%1."/>
      <w:lvlJc w:val="left"/>
      <w:pPr>
        <w:ind w:left="425" w:hanging="425"/>
      </w:pPr>
      <w:rPr>
        <w:rFonts w:hint="default"/>
      </w:rPr>
    </w:lvl>
  </w:abstractNum>
  <w:abstractNum w:abstractNumId="7">
    <w:nsid w:val="6F675B88"/>
    <w:multiLevelType w:val="singleLevel"/>
    <w:tmpl w:val="6F675B88"/>
    <w:lvl w:ilvl="0" w:tentative="0">
      <w:start w:val="1"/>
      <w:numFmt w:val="decimal"/>
      <w:suff w:val="space"/>
      <w:lvlText w:val="%1."/>
      <w:lvlJc w:val="left"/>
    </w:lvl>
  </w:abstractNum>
  <w:num w:numId="1">
    <w:abstractNumId w:val="1"/>
  </w:num>
  <w:num w:numId="2">
    <w:abstractNumId w:val="5"/>
  </w:num>
  <w:num w:numId="3">
    <w:abstractNumId w:val="6"/>
  </w:num>
  <w:num w:numId="4">
    <w:abstractNumId w:val="2"/>
  </w:num>
  <w:num w:numId="5">
    <w:abstractNumId w:val="0"/>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D03060"/>
    <w:rsid w:val="005C0DA9"/>
    <w:rsid w:val="00C528D4"/>
    <w:rsid w:val="01565C22"/>
    <w:rsid w:val="018A58CB"/>
    <w:rsid w:val="02D03060"/>
    <w:rsid w:val="03287DF3"/>
    <w:rsid w:val="03462F8D"/>
    <w:rsid w:val="03BD3DD6"/>
    <w:rsid w:val="03DF12E7"/>
    <w:rsid w:val="03E2379C"/>
    <w:rsid w:val="041B280B"/>
    <w:rsid w:val="05104339"/>
    <w:rsid w:val="07A22BB8"/>
    <w:rsid w:val="07DD5F1D"/>
    <w:rsid w:val="082A0E29"/>
    <w:rsid w:val="0925575C"/>
    <w:rsid w:val="0B9316BA"/>
    <w:rsid w:val="0C321039"/>
    <w:rsid w:val="0D237E96"/>
    <w:rsid w:val="0E123F91"/>
    <w:rsid w:val="0E7410F8"/>
    <w:rsid w:val="0EFF16A6"/>
    <w:rsid w:val="0F881BEA"/>
    <w:rsid w:val="10C06C14"/>
    <w:rsid w:val="115E0B93"/>
    <w:rsid w:val="116D43BD"/>
    <w:rsid w:val="12DE15D3"/>
    <w:rsid w:val="12E52961"/>
    <w:rsid w:val="14FA34C1"/>
    <w:rsid w:val="15175270"/>
    <w:rsid w:val="15BA6327"/>
    <w:rsid w:val="167928B2"/>
    <w:rsid w:val="17D336D0"/>
    <w:rsid w:val="196B23DC"/>
    <w:rsid w:val="19DC4392"/>
    <w:rsid w:val="1AC55B72"/>
    <w:rsid w:val="1B0F40F3"/>
    <w:rsid w:val="1B347BF3"/>
    <w:rsid w:val="1BBE6445"/>
    <w:rsid w:val="1BFDE2AA"/>
    <w:rsid w:val="1C30331C"/>
    <w:rsid w:val="1C9C6787"/>
    <w:rsid w:val="1CA76EDA"/>
    <w:rsid w:val="1DD51824"/>
    <w:rsid w:val="1E7A24B6"/>
    <w:rsid w:val="1F0D0FC0"/>
    <w:rsid w:val="225544BA"/>
    <w:rsid w:val="25FF7D86"/>
    <w:rsid w:val="26057121"/>
    <w:rsid w:val="263C1645"/>
    <w:rsid w:val="27624129"/>
    <w:rsid w:val="290E8C5C"/>
    <w:rsid w:val="2A707A61"/>
    <w:rsid w:val="2B14398C"/>
    <w:rsid w:val="2C3F5C87"/>
    <w:rsid w:val="2C821B92"/>
    <w:rsid w:val="2E3903BB"/>
    <w:rsid w:val="2E7F19D7"/>
    <w:rsid w:val="2EDC0C65"/>
    <w:rsid w:val="2FAD0853"/>
    <w:rsid w:val="2FEA325A"/>
    <w:rsid w:val="306A245C"/>
    <w:rsid w:val="30AB4D93"/>
    <w:rsid w:val="30BC5440"/>
    <w:rsid w:val="346D235F"/>
    <w:rsid w:val="35B5353F"/>
    <w:rsid w:val="36065737"/>
    <w:rsid w:val="36251143"/>
    <w:rsid w:val="37074CED"/>
    <w:rsid w:val="387E5ADC"/>
    <w:rsid w:val="39AA6CC8"/>
    <w:rsid w:val="39AD1B7B"/>
    <w:rsid w:val="3BC6382F"/>
    <w:rsid w:val="3BE11708"/>
    <w:rsid w:val="3C6504EB"/>
    <w:rsid w:val="3CD13E73"/>
    <w:rsid w:val="3D6E7EA5"/>
    <w:rsid w:val="3D913562"/>
    <w:rsid w:val="3DC501C7"/>
    <w:rsid w:val="3E6D498B"/>
    <w:rsid w:val="3E713B01"/>
    <w:rsid w:val="3EB92D70"/>
    <w:rsid w:val="3F3789A2"/>
    <w:rsid w:val="3F6F78D3"/>
    <w:rsid w:val="40185875"/>
    <w:rsid w:val="403B1563"/>
    <w:rsid w:val="4074084A"/>
    <w:rsid w:val="40951399"/>
    <w:rsid w:val="417D62D7"/>
    <w:rsid w:val="41BD4926"/>
    <w:rsid w:val="42523FFF"/>
    <w:rsid w:val="42B42802"/>
    <w:rsid w:val="432F1853"/>
    <w:rsid w:val="433A726B"/>
    <w:rsid w:val="447D214A"/>
    <w:rsid w:val="44854D30"/>
    <w:rsid w:val="45581B00"/>
    <w:rsid w:val="45BE6EBE"/>
    <w:rsid w:val="45D93CF8"/>
    <w:rsid w:val="46905C86"/>
    <w:rsid w:val="46911D1D"/>
    <w:rsid w:val="46E72E33"/>
    <w:rsid w:val="46E841F3"/>
    <w:rsid w:val="475A2C17"/>
    <w:rsid w:val="48DF33D4"/>
    <w:rsid w:val="49CB1BAA"/>
    <w:rsid w:val="4A547DF1"/>
    <w:rsid w:val="4A9D3546"/>
    <w:rsid w:val="4AE72A13"/>
    <w:rsid w:val="4B145CF3"/>
    <w:rsid w:val="4C1C493F"/>
    <w:rsid w:val="4CE0771A"/>
    <w:rsid w:val="4DAC584E"/>
    <w:rsid w:val="4DB017E2"/>
    <w:rsid w:val="4DE62F93"/>
    <w:rsid w:val="4E0E49F1"/>
    <w:rsid w:val="531E2D4A"/>
    <w:rsid w:val="535A3899"/>
    <w:rsid w:val="536E5A80"/>
    <w:rsid w:val="540B7773"/>
    <w:rsid w:val="55054EB9"/>
    <w:rsid w:val="55723844"/>
    <w:rsid w:val="56AE5501"/>
    <w:rsid w:val="57576C22"/>
    <w:rsid w:val="57AC6B77"/>
    <w:rsid w:val="58051797"/>
    <w:rsid w:val="58D40294"/>
    <w:rsid w:val="59394AD3"/>
    <w:rsid w:val="5A845B89"/>
    <w:rsid w:val="5ACA6500"/>
    <w:rsid w:val="5B665F9C"/>
    <w:rsid w:val="5B8A0BEC"/>
    <w:rsid w:val="5D8B36D2"/>
    <w:rsid w:val="5E2F21EE"/>
    <w:rsid w:val="5E7F5CDD"/>
    <w:rsid w:val="5EFB70C7"/>
    <w:rsid w:val="5F2D785C"/>
    <w:rsid w:val="5F776A62"/>
    <w:rsid w:val="5FAE0369"/>
    <w:rsid w:val="604D0E76"/>
    <w:rsid w:val="624929F9"/>
    <w:rsid w:val="625232D0"/>
    <w:rsid w:val="63253C81"/>
    <w:rsid w:val="633046EE"/>
    <w:rsid w:val="63E22657"/>
    <w:rsid w:val="65842EE1"/>
    <w:rsid w:val="66252194"/>
    <w:rsid w:val="6660394E"/>
    <w:rsid w:val="67656D42"/>
    <w:rsid w:val="68C53F3C"/>
    <w:rsid w:val="691C78D4"/>
    <w:rsid w:val="692C7B17"/>
    <w:rsid w:val="69AE49D0"/>
    <w:rsid w:val="6A1862EE"/>
    <w:rsid w:val="6A335CEC"/>
    <w:rsid w:val="6A7D3A09"/>
    <w:rsid w:val="6A9C6F1F"/>
    <w:rsid w:val="6B7B5D1A"/>
    <w:rsid w:val="6BDE260F"/>
    <w:rsid w:val="6CAB3449"/>
    <w:rsid w:val="6D340194"/>
    <w:rsid w:val="6D5A02ED"/>
    <w:rsid w:val="6E6B62EC"/>
    <w:rsid w:val="701724AD"/>
    <w:rsid w:val="71F573D4"/>
    <w:rsid w:val="72356ABA"/>
    <w:rsid w:val="7289422C"/>
    <w:rsid w:val="73C179F6"/>
    <w:rsid w:val="73E27B77"/>
    <w:rsid w:val="74C72DEA"/>
    <w:rsid w:val="74F82FA3"/>
    <w:rsid w:val="758807CB"/>
    <w:rsid w:val="763F3771"/>
    <w:rsid w:val="76534E3F"/>
    <w:rsid w:val="766C3C49"/>
    <w:rsid w:val="76D87530"/>
    <w:rsid w:val="789F7F81"/>
    <w:rsid w:val="79547910"/>
    <w:rsid w:val="7A5D64CF"/>
    <w:rsid w:val="7BFE59F6"/>
    <w:rsid w:val="7C105077"/>
    <w:rsid w:val="7CBA3C1C"/>
    <w:rsid w:val="7CDB45ED"/>
    <w:rsid w:val="7DF52776"/>
    <w:rsid w:val="7EB9F0CC"/>
    <w:rsid w:val="FDEFE932"/>
    <w:rsid w:val="FF757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ageBreakBefore w:val="0"/>
      <w:widowControl w:val="0"/>
      <w:kinsoku/>
      <w:wordWrap/>
      <w:overflowPunct/>
      <w:topLinePunct w:val="0"/>
      <w:autoSpaceDE/>
      <w:autoSpaceDN/>
      <w:bidi w:val="0"/>
      <w:adjustRightInd/>
      <w:snapToGrid w:val="0"/>
      <w:spacing w:line="360" w:lineRule="auto"/>
      <w:ind w:left="0" w:leftChars="0" w:firstLine="562" w:firstLineChars="200"/>
      <w:jc w:val="both"/>
      <w:textAlignment w:val="auto"/>
    </w:pPr>
    <w:rPr>
      <w:rFonts w:ascii="Times New Roman" w:hAnsi="Times New Roman" w:eastAsia="宋体" w:cs="Times New Roman"/>
      <w:bCs/>
      <w:sz w:val="24"/>
      <w:szCs w:val="28"/>
      <w:lang w:val="en-US" w:eastAsia="zh-CN"/>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link w:val="12"/>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link w:val="13"/>
    <w:semiHidden/>
    <w:unhideWhenUsed/>
    <w:qFormat/>
    <w:uiPriority w:val="0"/>
    <w:pPr>
      <w:keepNext/>
      <w:keepLines/>
      <w:numPr>
        <w:ilvl w:val="0"/>
        <w:numId w:val="1"/>
      </w:numPr>
      <w:spacing w:beforeLines="0" w:afterLines="0" w:line="413" w:lineRule="auto"/>
      <w:outlineLvl w:val="2"/>
    </w:pPr>
    <w:rPr>
      <w:rFonts w:ascii="黑体" w:hAnsi="黑体" w:eastAsia="黑体" w:cs="黑体"/>
      <w:sz w:val="28"/>
      <w:lang w:bidi="ar"/>
    </w:rPr>
  </w:style>
  <w:style w:type="paragraph" w:styleId="5">
    <w:name w:val="heading 4"/>
    <w:basedOn w:val="4"/>
    <w:next w:val="1"/>
    <w:semiHidden/>
    <w:unhideWhenUsed/>
    <w:qFormat/>
    <w:uiPriority w:val="0"/>
    <w:pPr>
      <w:keepNext/>
      <w:keepLines/>
      <w:numPr>
        <w:numId w:val="2"/>
      </w:numPr>
      <w:spacing w:beforeLines="0" w:afterLines="0"/>
      <w:ind w:left="0"/>
      <w:jc w:val="left"/>
      <w:outlineLvl w:val="3"/>
    </w:pPr>
    <w:rPr>
      <w:rFonts w:ascii="Times New Roman" w:hAnsi="Times New Roman"/>
      <w:b/>
      <w:szCs w:val="24"/>
    </w:rPr>
  </w:style>
  <w:style w:type="paragraph" w:styleId="6">
    <w:name w:val="heading 5"/>
    <w:basedOn w:val="5"/>
    <w:next w:val="1"/>
    <w:semiHidden/>
    <w:unhideWhenUsed/>
    <w:qFormat/>
    <w:uiPriority w:val="0"/>
    <w:pPr>
      <w:keepNext/>
      <w:keepLines/>
      <w:numPr>
        <w:numId w:val="3"/>
      </w:numPr>
      <w:spacing w:beforeLines="0" w:beforeAutospacing="0" w:afterLines="0" w:afterAutospacing="0" w:line="360" w:lineRule="auto"/>
      <w:outlineLvl w:val="4"/>
    </w:pPr>
    <w:rPr>
      <w:rFonts w:eastAsia="宋体"/>
    </w:rPr>
  </w:style>
  <w:style w:type="paragraph" w:styleId="7">
    <w:name w:val="heading 6"/>
    <w:basedOn w:val="1"/>
    <w:next w:val="1"/>
    <w:semiHidden/>
    <w:unhideWhenUsed/>
    <w:qFormat/>
    <w:uiPriority w:val="0"/>
    <w:pPr>
      <w:keepNext/>
      <w:keepLines/>
      <w:numPr>
        <w:ilvl w:val="5"/>
        <w:numId w:val="4"/>
      </w:numPr>
      <w:tabs>
        <w:tab w:val="left" w:pos="0"/>
        <w:tab w:val="clear" w:pos="420"/>
      </w:tabs>
      <w:snapToGrid w:val="0"/>
      <w:spacing w:beforeLines="0" w:beforeAutospacing="0" w:afterLines="0" w:afterAutospacing="0" w:line="317" w:lineRule="auto"/>
      <w:ind w:left="0" w:firstLine="0" w:firstLineChars="0"/>
      <w:outlineLvl w:val="5"/>
    </w:pPr>
    <w:rPr>
      <w:rFonts w:eastAsia="黑体"/>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8">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styleId="11">
    <w:name w:val="Strong"/>
    <w:basedOn w:val="10"/>
    <w:qFormat/>
    <w:uiPriority w:val="0"/>
    <w:rPr>
      <w:b/>
    </w:rPr>
  </w:style>
  <w:style w:type="character" w:customStyle="1" w:styleId="12">
    <w:name w:val="标题 2 Char"/>
    <w:link w:val="3"/>
    <w:qFormat/>
    <w:uiPriority w:val="0"/>
    <w:rPr>
      <w:rFonts w:ascii="Times New Roman" w:hAnsi="Times New Roman" w:eastAsia="黑体" w:cs="Times New Roman"/>
      <w:b/>
      <w:sz w:val="32"/>
      <w:szCs w:val="28"/>
    </w:rPr>
  </w:style>
  <w:style w:type="character" w:customStyle="1" w:styleId="13">
    <w:name w:val="标题 3 Char"/>
    <w:link w:val="4"/>
    <w:qFormat/>
    <w:uiPriority w:val="0"/>
    <w:rPr>
      <w:rFonts w:ascii="Times New Roman" w:hAnsi="Times New Roman" w:eastAsia="黑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1733</Words>
  <Characters>1835</Characters>
  <Lines>0</Lines>
  <Paragraphs>0</Paragraphs>
  <TotalTime>0</TotalTime>
  <ScaleCrop>false</ScaleCrop>
  <LinksUpToDate>false</LinksUpToDate>
  <CharactersWithSpaces>1853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2026-04-11T16:59:00Z</dcterms:created>
  <dc:creator>张凡</dc:creator>
  <cp:lastModifiedBy>WPS_1642582575</cp:lastModifiedBy>
  <dcterms:modified xsi:type="dcterms:W3CDTF">2026-04-14T00:50:22Z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E48FDDE1A21B491099BFDB41CDA1438C_13</vt:lpwstr>
  </property>
  <property fmtid="{D5CDD505-2E9C-101B-9397-08002B2CF9AE}" pid="4" name="KSOTemplateDocerSaveRecord">
    <vt:lpwstr>eyJoZGlkIjoiMzEwNTM5NzYwMDRjMzkwZTVkZjY2ODkwMGIxNGU0OTUiLCJ1c2VySWQiOiIyODY3NDc0OTUifQ==</vt:lpwstr>
  </property>
</Properties>
</file>