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C62B7">
      <w:pPr>
        <w:keepNext w:val="0"/>
        <w:keepLines w:val="0"/>
        <w:pageBreakBefore w:val="0"/>
        <w:widowControl w:val="0"/>
        <w:kinsoku/>
        <w:wordWrap/>
        <w:overflowPunct/>
        <w:topLinePunct w:val="0"/>
        <w:autoSpaceDE/>
        <w:autoSpaceDN/>
        <w:bidi w:val="0"/>
        <w:adjustRightInd/>
        <w:snapToGrid/>
        <w:spacing w:line="590" w:lineRule="exact"/>
        <w:jc w:val="both"/>
        <w:textAlignment w:val="auto"/>
        <w:outlineLvl w:val="0"/>
        <w:rPr>
          <w:rFonts w:hint="default" w:ascii="Times New Roman" w:hAnsi="Times New Roman" w:eastAsia="方正黑体_GBK" w:cs="Times New Roman"/>
          <w:b w:val="0"/>
          <w:bCs/>
          <w:snapToGrid/>
          <w:color w:val="auto"/>
          <w:kern w:val="2"/>
          <w:sz w:val="32"/>
          <w:szCs w:val="32"/>
          <w:lang w:val="en-US" w:eastAsia="zh-CN"/>
        </w:rPr>
      </w:pPr>
      <w:r>
        <w:rPr>
          <w:rFonts w:hint="eastAsia" w:ascii="方正黑体_GBK" w:hAnsi="方正黑体_GBK" w:eastAsia="方正黑体_GBK" w:cs="方正黑体_GBK"/>
          <w:b w:val="0"/>
          <w:bCs/>
          <w:snapToGrid/>
          <w:color w:val="auto"/>
          <w:kern w:val="2"/>
          <w:sz w:val="32"/>
          <w:szCs w:val="32"/>
          <w:lang w:val="en-US" w:eastAsia="zh-CN"/>
        </w:rPr>
        <w:t>附件</w:t>
      </w:r>
      <w:r>
        <w:rPr>
          <w:rFonts w:hint="eastAsia" w:ascii="Times New Roman" w:hAnsi="Times New Roman" w:eastAsia="方正黑体_GBK" w:cs="Times New Roman"/>
          <w:b w:val="0"/>
          <w:bCs/>
          <w:snapToGrid/>
          <w:color w:val="auto"/>
          <w:kern w:val="2"/>
          <w:sz w:val="32"/>
          <w:szCs w:val="32"/>
          <w:lang w:val="en-US" w:eastAsia="zh-CN"/>
        </w:rPr>
        <w:t>2</w:t>
      </w:r>
      <w:bookmarkStart w:id="0" w:name="_GoBack"/>
      <w:bookmarkEnd w:id="0"/>
    </w:p>
    <w:p w14:paraId="0D89A005">
      <w:pPr>
        <w:keepNext w:val="0"/>
        <w:keepLines w:val="0"/>
        <w:pageBreakBefore w:val="0"/>
        <w:widowControl w:val="0"/>
        <w:kinsoku/>
        <w:wordWrap/>
        <w:overflowPunct/>
        <w:topLinePunct w:val="0"/>
        <w:autoSpaceDE/>
        <w:autoSpaceDN/>
        <w:bidi w:val="0"/>
        <w:adjustRightInd/>
        <w:snapToGrid/>
        <w:spacing w:line="590" w:lineRule="exact"/>
        <w:ind w:left="0" w:firstLine="880" w:firstLineChars="200"/>
        <w:jc w:val="both"/>
        <w:textAlignment w:val="auto"/>
        <w:rPr>
          <w:rFonts w:hint="eastAsia" w:ascii="方正小标宋_GBK" w:hAnsi="方正小标宋_GBK" w:eastAsia="方正小标宋_GBK" w:cs="方正小标宋_GBK"/>
          <w:snapToGrid/>
          <w:color w:val="auto"/>
          <w:kern w:val="2"/>
          <w:sz w:val="44"/>
          <w:szCs w:val="44"/>
          <w:lang w:eastAsia="zh-CN"/>
        </w:rPr>
      </w:pPr>
    </w:p>
    <w:p w14:paraId="2A280F06">
      <w:pPr>
        <w:keepNext w:val="0"/>
        <w:keepLines w:val="0"/>
        <w:pageBreakBefore w:val="0"/>
        <w:widowControl w:val="0"/>
        <w:kinsoku/>
        <w:wordWrap/>
        <w:overflowPunct/>
        <w:topLinePunct w:val="0"/>
        <w:autoSpaceDE/>
        <w:autoSpaceDN/>
        <w:bidi w:val="0"/>
        <w:adjustRightInd/>
        <w:snapToGrid/>
        <w:spacing w:line="630" w:lineRule="exact"/>
        <w:ind w:left="0"/>
        <w:jc w:val="center"/>
        <w:textAlignment w:val="auto"/>
        <w:outlineLvl w:val="9"/>
        <w:rPr>
          <w:rFonts w:hint="eastAsia" w:ascii="方正小标宋_GBK" w:hAnsi="方正小标宋_GBK" w:eastAsia="方正小标宋_GBK" w:cs="方正小标宋_GBK"/>
          <w:snapToGrid/>
          <w:color w:val="auto"/>
          <w:kern w:val="2"/>
          <w:sz w:val="44"/>
          <w:szCs w:val="44"/>
          <w:lang w:eastAsia="zh-CN"/>
        </w:rPr>
      </w:pPr>
      <w:r>
        <w:rPr>
          <w:rFonts w:hint="eastAsia" w:ascii="方正小标宋_GBK" w:hAnsi="方正小标宋_GBK" w:eastAsia="方正小标宋_GBK" w:cs="方正小标宋_GBK"/>
          <w:snapToGrid/>
          <w:color w:val="auto"/>
          <w:kern w:val="2"/>
          <w:sz w:val="44"/>
          <w:szCs w:val="44"/>
          <w:lang w:eastAsia="zh-CN"/>
        </w:rPr>
        <w:t>关于</w:t>
      </w:r>
      <w:r>
        <w:rPr>
          <w:rFonts w:hint="eastAsia" w:ascii="方正小标宋_GBK" w:hAnsi="方正小标宋_GBK" w:eastAsia="方正小标宋_GBK" w:cs="方正小标宋_GBK"/>
          <w:snapToGrid/>
          <w:color w:val="auto"/>
          <w:kern w:val="2"/>
          <w:sz w:val="44"/>
          <w:szCs w:val="44"/>
          <w:u w:val="single"/>
          <w:lang w:eastAsia="zh-CN"/>
        </w:rPr>
        <w:t>（数据产品</w:t>
      </w:r>
      <w:r>
        <w:rPr>
          <w:rFonts w:hint="eastAsia" w:ascii="方正小标宋_GBK" w:hAnsi="方正小标宋_GBK" w:eastAsia="方正小标宋_GBK" w:cs="方正小标宋_GBK"/>
          <w:snapToGrid/>
          <w:color w:val="auto"/>
          <w:kern w:val="2"/>
          <w:sz w:val="44"/>
          <w:szCs w:val="44"/>
          <w:u w:val="single"/>
          <w:lang w:val="en-US" w:eastAsia="zh-CN"/>
        </w:rPr>
        <w:t>系列</w:t>
      </w:r>
      <w:r>
        <w:rPr>
          <w:rFonts w:hint="eastAsia" w:ascii="方正小标宋_GBK" w:hAnsi="方正小标宋_GBK" w:eastAsia="方正小标宋_GBK" w:cs="方正小标宋_GBK"/>
          <w:snapToGrid/>
          <w:color w:val="auto"/>
          <w:kern w:val="2"/>
          <w:sz w:val="44"/>
          <w:szCs w:val="44"/>
          <w:u w:val="single"/>
          <w:lang w:eastAsia="zh-CN"/>
        </w:rPr>
        <w:t>名称）</w:t>
      </w:r>
      <w:r>
        <w:rPr>
          <w:rFonts w:hint="eastAsia" w:ascii="方正小标宋_GBK" w:hAnsi="方正小标宋_GBK" w:eastAsia="方正小标宋_GBK" w:cs="方正小标宋_GBK"/>
          <w:snapToGrid/>
          <w:color w:val="auto"/>
          <w:kern w:val="2"/>
          <w:sz w:val="44"/>
          <w:szCs w:val="44"/>
          <w:lang w:val="en-US" w:eastAsia="zh-CN"/>
        </w:rPr>
        <w:t>系列</w:t>
      </w:r>
      <w:r>
        <w:rPr>
          <w:rFonts w:hint="eastAsia" w:ascii="方正小标宋_GBK" w:hAnsi="方正小标宋_GBK" w:eastAsia="方正小标宋_GBK" w:cs="方正小标宋_GBK"/>
          <w:snapToGrid/>
          <w:color w:val="auto"/>
          <w:kern w:val="2"/>
          <w:sz w:val="44"/>
          <w:szCs w:val="44"/>
          <w:lang w:eastAsia="zh-CN"/>
        </w:rPr>
        <w:t>数据产品在</w:t>
      </w:r>
    </w:p>
    <w:p w14:paraId="7834686A">
      <w:pPr>
        <w:keepNext w:val="0"/>
        <w:keepLines w:val="0"/>
        <w:pageBreakBefore w:val="0"/>
        <w:widowControl w:val="0"/>
        <w:kinsoku/>
        <w:wordWrap/>
        <w:overflowPunct/>
        <w:topLinePunct w:val="0"/>
        <w:autoSpaceDE/>
        <w:autoSpaceDN/>
        <w:bidi w:val="0"/>
        <w:adjustRightInd/>
        <w:snapToGrid/>
        <w:spacing w:line="630" w:lineRule="exact"/>
        <w:ind w:left="0"/>
        <w:jc w:val="center"/>
        <w:textAlignment w:val="auto"/>
        <w:outlineLvl w:val="9"/>
        <w:rPr>
          <w:rFonts w:hint="default" w:ascii="方正小标宋_GBK" w:hAnsi="方正小标宋_GBK" w:eastAsia="方正小标宋_GBK" w:cs="方正小标宋_GBK"/>
          <w:snapToGrid/>
          <w:color w:val="auto"/>
          <w:kern w:val="2"/>
          <w:sz w:val="44"/>
          <w:szCs w:val="44"/>
          <w:lang w:val="en-US" w:eastAsia="zh-CN"/>
        </w:rPr>
      </w:pPr>
      <w:r>
        <w:rPr>
          <w:rFonts w:hint="eastAsia" w:ascii="方正小标宋_GBK" w:hAnsi="方正小标宋_GBK" w:eastAsia="方正小标宋_GBK" w:cs="方正小标宋_GBK"/>
          <w:snapToGrid/>
          <w:color w:val="auto"/>
          <w:kern w:val="2"/>
          <w:sz w:val="44"/>
          <w:szCs w:val="44"/>
          <w:lang w:val="en-US" w:eastAsia="zh-CN"/>
        </w:rPr>
        <w:t>江苏</w:t>
      </w:r>
      <w:r>
        <w:rPr>
          <w:rFonts w:hint="eastAsia" w:ascii="方正小标宋_GBK" w:hAnsi="方正小标宋_GBK" w:eastAsia="方正小标宋_GBK" w:cs="方正小标宋_GBK"/>
          <w:snapToGrid/>
          <w:color w:val="auto"/>
          <w:kern w:val="2"/>
          <w:sz w:val="44"/>
          <w:szCs w:val="44"/>
          <w:lang w:eastAsia="zh-CN"/>
        </w:rPr>
        <w:t>数据交易所挂牌交易的</w:t>
      </w:r>
      <w:r>
        <w:rPr>
          <w:rFonts w:hint="eastAsia" w:ascii="方正小标宋_GBK" w:hAnsi="方正小标宋_GBK" w:eastAsia="方正小标宋_GBK" w:cs="方正小标宋_GBK"/>
          <w:snapToGrid/>
          <w:color w:val="auto"/>
          <w:kern w:val="2"/>
          <w:sz w:val="44"/>
          <w:szCs w:val="44"/>
          <w:lang w:val="en-US" w:eastAsia="zh-CN"/>
        </w:rPr>
        <w:t>质量</w:t>
      </w:r>
      <w:r>
        <w:rPr>
          <w:rFonts w:hint="eastAsia" w:ascii="方正小标宋_GBK" w:hAnsi="方正小标宋_GBK" w:eastAsia="方正小标宋_GBK" w:cs="方正小标宋_GBK"/>
          <w:snapToGrid/>
          <w:color w:val="auto"/>
          <w:kern w:val="2"/>
          <w:sz w:val="44"/>
          <w:szCs w:val="44"/>
          <w:lang w:eastAsia="zh-CN"/>
        </w:rPr>
        <w:t>评估</w:t>
      </w:r>
      <w:r>
        <w:rPr>
          <w:rFonts w:hint="eastAsia" w:ascii="方正小标宋_GBK" w:hAnsi="方正小标宋_GBK" w:eastAsia="方正小标宋_GBK" w:cs="方正小标宋_GBK"/>
          <w:snapToGrid/>
          <w:color w:val="auto"/>
          <w:kern w:val="2"/>
          <w:sz w:val="44"/>
          <w:szCs w:val="44"/>
          <w:lang w:val="en-US" w:eastAsia="zh-CN"/>
        </w:rPr>
        <w:t>报告</w:t>
      </w:r>
    </w:p>
    <w:p w14:paraId="1ED3A673">
      <w:pPr>
        <w:widowControl w:val="0"/>
        <w:kinsoku/>
        <w:autoSpaceDE/>
        <w:autoSpaceDN/>
        <w:spacing w:line="590" w:lineRule="exact"/>
        <w:ind w:firstLine="0" w:firstLineChars="0"/>
        <w:jc w:val="center"/>
        <w:textAlignment w:val="auto"/>
        <w:rPr>
          <w:rFonts w:hint="default" w:ascii="方正楷体_GBK" w:hAnsi="方正楷体_GBK" w:eastAsia="方正楷体_GBK" w:cs="方正楷体_GBK"/>
          <w:snapToGrid/>
          <w:kern w:val="2"/>
          <w:sz w:val="32"/>
          <w:szCs w:val="24"/>
          <w:lang w:val="en-US" w:eastAsia="zh-CN"/>
        </w:rPr>
      </w:pPr>
      <w:r>
        <w:rPr>
          <w:rFonts w:hint="eastAsia" w:ascii="方正楷体_GBK" w:hAnsi="方正楷体_GBK" w:eastAsia="方正楷体_GBK" w:cs="方正楷体_GBK"/>
          <w:snapToGrid/>
          <w:kern w:val="2"/>
          <w:sz w:val="32"/>
          <w:szCs w:val="24"/>
          <w:lang w:val="en-US" w:eastAsia="zh-CN"/>
        </w:rPr>
        <w:t>（试行）</w:t>
      </w:r>
    </w:p>
    <w:p w14:paraId="64DEF1F0">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仿宋_GBK" w:eastAsia="方正仿宋_GBK" w:cs="Times New Roman"/>
          <w:snapToGrid/>
          <w:color w:val="auto"/>
          <w:kern w:val="2"/>
          <w:sz w:val="32"/>
          <w:szCs w:val="32"/>
          <w:lang w:val="en-US" w:eastAsia="zh-CN"/>
        </w:rPr>
      </w:pPr>
    </w:p>
    <w:tbl>
      <w:tblPr>
        <w:tblStyle w:val="2"/>
        <w:tblpPr w:leftFromText="180" w:rightFromText="180" w:vertAnchor="text" w:tblpXSpec="center" w:tblpY="1"/>
        <w:tblOverlap w:val="never"/>
        <w:tblW w:w="86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26"/>
        <w:gridCol w:w="2497"/>
        <w:gridCol w:w="1264"/>
        <w:gridCol w:w="2657"/>
      </w:tblGrid>
      <w:tr w14:paraId="4705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4CC506B8">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br w:type="page"/>
            </w:r>
            <w:r>
              <w:rPr>
                <w:rFonts w:hint="eastAsia" w:ascii="方正黑体_GBK" w:hAnsi="方正黑体_GBK" w:eastAsia="方正黑体_GBK" w:cs="方正黑体_GBK"/>
                <w:sz w:val="32"/>
                <w:szCs w:val="32"/>
              </w:rPr>
              <w:t>一、概况</w:t>
            </w:r>
          </w:p>
        </w:tc>
      </w:tr>
      <w:tr w14:paraId="523F6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exact"/>
          <w:jc w:val="center"/>
        </w:trPr>
        <w:tc>
          <w:tcPr>
            <w:tcW w:w="2226" w:type="dxa"/>
            <w:tcBorders>
              <w:top w:val="single" w:color="000000" w:sz="4" w:space="0"/>
              <w:left w:val="single" w:color="000000" w:sz="4" w:space="0"/>
              <w:bottom w:val="single" w:color="000000" w:sz="4" w:space="0"/>
              <w:right w:val="single" w:color="000000" w:sz="4" w:space="0"/>
            </w:tcBorders>
            <w:noWrap w:val="0"/>
            <w:vAlign w:val="center"/>
          </w:tcPr>
          <w:p w14:paraId="2C6F692F">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数据</w:t>
            </w:r>
            <w:r>
              <w:rPr>
                <w:rFonts w:hint="eastAsia" w:ascii="方正仿宋_GBK" w:hAnsi="方正仿宋_GBK" w:eastAsia="方正仿宋_GBK" w:cs="方正仿宋_GBK"/>
                <w:sz w:val="32"/>
                <w:szCs w:val="32"/>
              </w:rPr>
              <w:t>产品名称</w:t>
            </w:r>
          </w:p>
        </w:tc>
        <w:tc>
          <w:tcPr>
            <w:tcW w:w="6418" w:type="dxa"/>
            <w:gridSpan w:val="3"/>
            <w:tcBorders>
              <w:top w:val="single" w:color="000000" w:sz="4" w:space="0"/>
              <w:left w:val="single" w:color="000000" w:sz="4" w:space="0"/>
              <w:bottom w:val="single" w:color="000000" w:sz="4" w:space="0"/>
              <w:right w:val="single" w:color="000000" w:sz="4" w:space="0"/>
            </w:tcBorders>
            <w:noWrap w:val="0"/>
            <w:vAlign w:val="center"/>
          </w:tcPr>
          <w:p w14:paraId="1DEF791F">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p>
        </w:tc>
      </w:tr>
      <w:tr w14:paraId="0747F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exact"/>
          <w:jc w:val="center"/>
        </w:trPr>
        <w:tc>
          <w:tcPr>
            <w:tcW w:w="2226" w:type="dxa"/>
            <w:tcBorders>
              <w:top w:val="single" w:color="000000" w:sz="4" w:space="0"/>
              <w:left w:val="single" w:color="000000" w:sz="4" w:space="0"/>
              <w:bottom w:val="single" w:color="000000" w:sz="4" w:space="0"/>
              <w:right w:val="single" w:color="000000" w:sz="4" w:space="0"/>
            </w:tcBorders>
            <w:noWrap w:val="0"/>
            <w:vAlign w:val="center"/>
          </w:tcPr>
          <w:p w14:paraId="7322139C">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数据提供方</w:t>
            </w:r>
          </w:p>
        </w:tc>
        <w:tc>
          <w:tcPr>
            <w:tcW w:w="6418" w:type="dxa"/>
            <w:gridSpan w:val="3"/>
            <w:tcBorders>
              <w:top w:val="single" w:color="000000" w:sz="4" w:space="0"/>
              <w:left w:val="single" w:color="000000" w:sz="4" w:space="0"/>
              <w:bottom w:val="single" w:color="000000" w:sz="4" w:space="0"/>
              <w:right w:val="single" w:color="000000" w:sz="4" w:space="0"/>
            </w:tcBorders>
            <w:noWrap w:val="0"/>
            <w:vAlign w:val="center"/>
          </w:tcPr>
          <w:p w14:paraId="487F16B9">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p>
        </w:tc>
      </w:tr>
      <w:tr w14:paraId="7636D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exact"/>
          <w:jc w:val="center"/>
        </w:trPr>
        <w:tc>
          <w:tcPr>
            <w:tcW w:w="2226" w:type="dxa"/>
            <w:tcBorders>
              <w:top w:val="single" w:color="000000" w:sz="4" w:space="0"/>
              <w:left w:val="single" w:color="000000" w:sz="4" w:space="0"/>
              <w:bottom w:val="single" w:color="000000" w:sz="4" w:space="0"/>
              <w:right w:val="single" w:color="000000" w:sz="4" w:space="0"/>
            </w:tcBorders>
            <w:noWrap w:val="0"/>
            <w:vAlign w:val="center"/>
          </w:tcPr>
          <w:p w14:paraId="1ADC6532">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通信地址</w:t>
            </w:r>
          </w:p>
        </w:tc>
        <w:tc>
          <w:tcPr>
            <w:tcW w:w="6418" w:type="dxa"/>
            <w:gridSpan w:val="3"/>
            <w:tcBorders>
              <w:top w:val="single" w:color="000000" w:sz="4" w:space="0"/>
              <w:left w:val="single" w:color="000000" w:sz="4" w:space="0"/>
              <w:bottom w:val="single" w:color="000000" w:sz="4" w:space="0"/>
              <w:right w:val="single" w:color="000000" w:sz="4" w:space="0"/>
            </w:tcBorders>
            <w:noWrap w:val="0"/>
            <w:vAlign w:val="center"/>
          </w:tcPr>
          <w:p w14:paraId="63831D20">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p>
        </w:tc>
      </w:tr>
      <w:tr w14:paraId="5B781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exact"/>
          <w:jc w:val="center"/>
        </w:trPr>
        <w:tc>
          <w:tcPr>
            <w:tcW w:w="2226" w:type="dxa"/>
            <w:tcBorders>
              <w:top w:val="single" w:color="000000" w:sz="4" w:space="0"/>
              <w:left w:val="single" w:color="000000" w:sz="4" w:space="0"/>
              <w:bottom w:val="single" w:color="000000" w:sz="4" w:space="0"/>
              <w:right w:val="single" w:color="000000" w:sz="4" w:space="0"/>
            </w:tcBorders>
            <w:noWrap w:val="0"/>
            <w:vAlign w:val="center"/>
          </w:tcPr>
          <w:p w14:paraId="5708DE23">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联系人</w:t>
            </w:r>
          </w:p>
        </w:tc>
        <w:tc>
          <w:tcPr>
            <w:tcW w:w="2497" w:type="dxa"/>
            <w:tcBorders>
              <w:top w:val="single" w:color="000000" w:sz="4" w:space="0"/>
              <w:left w:val="single" w:color="000000" w:sz="4" w:space="0"/>
              <w:bottom w:val="single" w:color="000000" w:sz="4" w:space="0"/>
              <w:right w:val="single" w:color="000000" w:sz="4" w:space="0"/>
            </w:tcBorders>
            <w:noWrap w:val="0"/>
            <w:vAlign w:val="center"/>
          </w:tcPr>
          <w:p w14:paraId="1D821A8A">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p>
        </w:tc>
        <w:tc>
          <w:tcPr>
            <w:tcW w:w="1264" w:type="dxa"/>
            <w:tcBorders>
              <w:top w:val="single" w:color="000000" w:sz="4" w:space="0"/>
              <w:left w:val="single" w:color="000000" w:sz="4" w:space="0"/>
              <w:bottom w:val="single" w:color="000000" w:sz="4" w:space="0"/>
              <w:right w:val="single" w:color="000000" w:sz="4" w:space="0"/>
            </w:tcBorders>
            <w:noWrap w:val="0"/>
            <w:vAlign w:val="center"/>
          </w:tcPr>
          <w:p w14:paraId="38C8D7F1">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电话</w:t>
            </w:r>
          </w:p>
        </w:tc>
        <w:tc>
          <w:tcPr>
            <w:tcW w:w="2657" w:type="dxa"/>
            <w:tcBorders>
              <w:top w:val="single" w:color="000000" w:sz="4" w:space="0"/>
              <w:left w:val="single" w:color="000000" w:sz="4" w:space="0"/>
              <w:bottom w:val="single" w:color="000000" w:sz="4" w:space="0"/>
              <w:right w:val="single" w:color="000000" w:sz="4" w:space="0"/>
            </w:tcBorders>
            <w:noWrap w:val="0"/>
            <w:vAlign w:val="center"/>
          </w:tcPr>
          <w:p w14:paraId="0A1E73BF">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center"/>
              <w:textAlignment w:val="auto"/>
              <w:rPr>
                <w:rFonts w:hint="eastAsia" w:ascii="方正仿宋_GBK" w:hAnsi="方正仿宋_GBK" w:eastAsia="方正仿宋_GBK" w:cs="方正仿宋_GBK"/>
                <w:sz w:val="32"/>
                <w:szCs w:val="32"/>
              </w:rPr>
            </w:pPr>
          </w:p>
        </w:tc>
      </w:tr>
      <w:tr w14:paraId="47EEE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4" w:type="dxa"/>
            <w:gridSpan w:val="4"/>
            <w:tcBorders>
              <w:top w:val="single" w:color="auto" w:sz="4" w:space="0"/>
              <w:left w:val="single" w:color="000000" w:sz="4" w:space="0"/>
              <w:bottom w:val="single" w:color="000000" w:sz="4" w:space="0"/>
              <w:right w:val="single" w:color="000000" w:sz="4" w:space="0"/>
            </w:tcBorders>
            <w:noWrap w:val="0"/>
            <w:vAlign w:val="top"/>
          </w:tcPr>
          <w:p w14:paraId="2C15F2EC">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left"/>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val="en-US" w:eastAsia="zh-CN"/>
              </w:rPr>
              <w:t>二</w:t>
            </w:r>
            <w:r>
              <w:rPr>
                <w:rFonts w:hint="eastAsia" w:ascii="方正黑体_GBK" w:hAnsi="方正黑体_GBK" w:eastAsia="方正黑体_GBK" w:cs="方正黑体_GBK"/>
                <w:sz w:val="32"/>
                <w:szCs w:val="32"/>
              </w:rPr>
              <w:t>、</w:t>
            </w:r>
            <w:r>
              <w:rPr>
                <w:rFonts w:hint="eastAsia" w:ascii="方正黑体_GBK" w:hAnsi="方正黑体_GBK" w:eastAsia="方正黑体_GBK" w:cs="方正黑体_GBK"/>
                <w:sz w:val="32"/>
                <w:szCs w:val="32"/>
                <w:lang w:val="en-US" w:eastAsia="zh-CN"/>
              </w:rPr>
              <w:t>评估</w:t>
            </w:r>
            <w:r>
              <w:rPr>
                <w:rFonts w:hint="eastAsia" w:ascii="方正黑体_GBK" w:hAnsi="方正黑体_GBK" w:eastAsia="方正黑体_GBK" w:cs="方正黑体_GBK"/>
                <w:sz w:val="32"/>
                <w:szCs w:val="32"/>
              </w:rPr>
              <w:t>内容</w:t>
            </w:r>
          </w:p>
          <w:p w14:paraId="5562F725">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2.1 定量指标</w:t>
            </w:r>
          </w:p>
          <w:p w14:paraId="295FE349">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2.1.1 数据规范性</w:t>
            </w:r>
          </w:p>
          <w:p w14:paraId="5D940C09">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数据规范性描述数据内容的表达符合国内外相关规范、标准的程度。</w:t>
            </w:r>
          </w:p>
          <w:p w14:paraId="430D6BC5">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2.1.2 数据完整性</w:t>
            </w:r>
          </w:p>
          <w:p w14:paraId="0CDDA945">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完整性描述信息的完整程度。完整性包括三个方面的内容,分别是实体完整性、引用完整性和域完整性。</w:t>
            </w:r>
          </w:p>
          <w:p w14:paraId="004E3BF0">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2.1.3 数据准确性</w:t>
            </w:r>
          </w:p>
          <w:p w14:paraId="4D3937C5">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准确性用于描述一个值与它所描述的客观事物的真实值之间的接近程度，通俗来说就是指数据记录的信息是否存在异常或错误。</w:t>
            </w:r>
          </w:p>
          <w:p w14:paraId="1BEBBA06">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2.1.4 数据一致性</w:t>
            </w:r>
          </w:p>
          <w:p w14:paraId="49849E71">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一致性描述数据结构(包括概念、逻辑或物理数据结构)。要素属性和它们间的相互关系符合逻辑规则的程度。可分为:概念一致性、值域一致性、格式一致性和拓扑一致性等。</w:t>
            </w:r>
          </w:p>
          <w:p w14:paraId="42BC3176">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2.1.5 数据时效性</w:t>
            </w:r>
          </w:p>
          <w:p w14:paraId="1EBAC975">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时效性主要考察数据的时间特性对应用的满足程度。数据从产生、发展到消亡，有一个相对的有效期。</w:t>
            </w:r>
          </w:p>
          <w:p w14:paraId="5CACA086">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2.1.6 数据可达性</w:t>
            </w:r>
          </w:p>
          <w:p w14:paraId="6D659B7A">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可达性用于衡量数据量的大小对应用的满足程度。</w:t>
            </w:r>
          </w:p>
          <w:p w14:paraId="1B0EFC59">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2.2 非定量指标</w:t>
            </w:r>
          </w:p>
          <w:p w14:paraId="79698E2D">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数据质量非定量指标提供综述性的、非定量的质量信息。</w:t>
            </w:r>
          </w:p>
          <w:p w14:paraId="56141B47">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2.2.1 固有特性</w:t>
            </w:r>
          </w:p>
          <w:p w14:paraId="7F02440B">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其中包含八项指标：数据目的、数据用途、数据日志、可信性、客观性、可靠性、价值密度、多样性。</w:t>
            </w:r>
          </w:p>
          <w:p w14:paraId="67168B71">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2.2.2 说明性质量</w:t>
            </w:r>
          </w:p>
          <w:p w14:paraId="37F29F5B">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其中包含三项指标：可解释性、简明性、易懂性。</w:t>
            </w:r>
          </w:p>
          <w:p w14:paraId="1CF15BCA">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2.2.3 可访问性质量</w:t>
            </w:r>
          </w:p>
          <w:p w14:paraId="4D4ECC74">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其中包含两项指标：可访问性、安全性。</w:t>
            </w:r>
          </w:p>
          <w:p w14:paraId="0DFE8195">
            <w:pPr>
              <w:pStyle w:val="4"/>
              <w:keepNext w:val="0"/>
              <w:keepLines w:val="0"/>
              <w:pageBreakBefore w:val="0"/>
              <w:widowControl/>
              <w:kinsoku/>
              <w:wordWrap/>
              <w:overflowPunct/>
              <w:topLinePunct w:val="0"/>
              <w:autoSpaceDE w:val="0"/>
              <w:autoSpaceDN w:val="0"/>
              <w:bidi w:val="0"/>
              <w:adjustRightInd/>
              <w:snapToGrid/>
              <w:spacing w:line="560" w:lineRule="exact"/>
              <w:ind w:firstLine="643"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2.2.4 环境性质量</w:t>
            </w:r>
          </w:p>
          <w:p w14:paraId="66142997">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其中包含五项指标：适量性、相关性、增值性、易操作性、广泛性。</w:t>
            </w:r>
          </w:p>
        </w:tc>
      </w:tr>
      <w:tr w14:paraId="0026C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3AF272A0">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left"/>
              <w:textAlignment w:val="auto"/>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三</w:t>
            </w:r>
            <w:r>
              <w:rPr>
                <w:rFonts w:hint="eastAsia" w:ascii="方正黑体_GBK" w:hAnsi="方正黑体_GBK" w:eastAsia="方正黑体_GBK" w:cs="方正黑体_GBK"/>
                <w:sz w:val="32"/>
                <w:szCs w:val="32"/>
              </w:rPr>
              <w:t>、</w:t>
            </w:r>
            <w:r>
              <w:rPr>
                <w:rFonts w:hint="eastAsia" w:ascii="方正黑体_GBK" w:hAnsi="方正黑体_GBK" w:eastAsia="方正黑体_GBK" w:cs="方正黑体_GBK"/>
                <w:sz w:val="32"/>
                <w:szCs w:val="32"/>
                <w:lang w:val="en-US" w:eastAsia="zh-CN"/>
              </w:rPr>
              <w:t>评估依据和方法</w:t>
            </w:r>
          </w:p>
        </w:tc>
      </w:tr>
      <w:tr w14:paraId="678B0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70" w:hRule="atLeast"/>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6B23F1FB">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lang w:eastAsia="zh-CN"/>
              </w:rPr>
            </w:pPr>
          </w:p>
        </w:tc>
      </w:tr>
      <w:tr w14:paraId="02D82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73434916">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lang w:val="en-US" w:eastAsia="zh-CN"/>
              </w:rPr>
              <w:t>四</w:t>
            </w:r>
            <w:r>
              <w:rPr>
                <w:rFonts w:hint="eastAsia" w:ascii="方正黑体_GBK" w:hAnsi="方正黑体_GBK" w:eastAsia="方正黑体_GBK" w:cs="方正黑体_GBK"/>
                <w:sz w:val="32"/>
                <w:szCs w:val="32"/>
              </w:rPr>
              <w:t>、评估结论</w:t>
            </w:r>
            <w:r>
              <w:rPr>
                <w:rFonts w:hint="eastAsia" w:ascii="方正黑体_GBK" w:hAnsi="方正黑体_GBK" w:eastAsia="方正黑体_GBK" w:cs="方正黑体_GBK"/>
                <w:b w:val="0"/>
                <w:bCs w:val="0"/>
                <w:sz w:val="32"/>
                <w:szCs w:val="32"/>
              </w:rPr>
              <w:t>（可增加附页）</w:t>
            </w:r>
          </w:p>
        </w:tc>
      </w:tr>
      <w:tr w14:paraId="49AC7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3" w:hRule="atLeast"/>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4A45002F">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rPr>
            </w:pPr>
          </w:p>
        </w:tc>
      </w:tr>
      <w:tr w14:paraId="0C109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1E1B6DF1">
            <w:pPr>
              <w:pStyle w:val="4"/>
              <w:keepNext w:val="0"/>
              <w:keepLines w:val="0"/>
              <w:pageBreakBefore w:val="0"/>
              <w:widowControl/>
              <w:kinsoku/>
              <w:wordWrap/>
              <w:overflowPunct/>
              <w:topLinePunct w:val="0"/>
              <w:autoSpaceDE w:val="0"/>
              <w:autoSpaceDN w:val="0"/>
              <w:bidi w:val="0"/>
              <w:adjustRightInd/>
              <w:snapToGrid/>
              <w:spacing w:line="560" w:lineRule="exact"/>
              <w:ind w:firstLine="0" w:firstLineChars="0"/>
              <w:jc w:val="left"/>
              <w:textAlignment w:val="auto"/>
              <w:rPr>
                <w:rFonts w:hint="eastAsia" w:ascii="方正仿宋_GBK" w:hAnsi="方正仿宋_GBK" w:eastAsia="方正仿宋_GBK" w:cs="方正仿宋_GBK"/>
                <w:sz w:val="32"/>
                <w:szCs w:val="32"/>
                <w:lang w:val="en-US"/>
              </w:rPr>
            </w:pPr>
            <w:r>
              <w:rPr>
                <w:rFonts w:hint="eastAsia" w:ascii="方正黑体_GBK" w:hAnsi="方正黑体_GBK" w:eastAsia="方正黑体_GBK" w:cs="方正黑体_GBK"/>
                <w:sz w:val="32"/>
                <w:szCs w:val="32"/>
                <w:lang w:val="en-US" w:eastAsia="zh-CN"/>
              </w:rPr>
              <w:t>五、评估方确认</w:t>
            </w:r>
          </w:p>
        </w:tc>
      </w:tr>
      <w:tr w14:paraId="1E376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3" w:hRule="atLeast"/>
          <w:jc w:val="center"/>
        </w:trPr>
        <w:tc>
          <w:tcPr>
            <w:tcW w:w="8644" w:type="dxa"/>
            <w:gridSpan w:val="4"/>
            <w:tcBorders>
              <w:top w:val="single" w:color="000000" w:sz="4" w:space="0"/>
              <w:left w:val="single" w:color="000000" w:sz="4" w:space="0"/>
              <w:bottom w:val="single" w:color="000000" w:sz="4" w:space="0"/>
              <w:right w:val="single" w:color="000000" w:sz="4" w:space="0"/>
            </w:tcBorders>
            <w:noWrap w:val="0"/>
            <w:vAlign w:val="top"/>
          </w:tcPr>
          <w:p w14:paraId="7F6586D7">
            <w:pPr>
              <w:pStyle w:val="4"/>
              <w:keepNext w:val="0"/>
              <w:keepLines w:val="0"/>
              <w:pageBreakBefore w:val="0"/>
              <w:widowControl/>
              <w:kinsoku/>
              <w:wordWrap/>
              <w:overflowPunct/>
              <w:topLinePunct w:val="0"/>
              <w:autoSpaceDE w:val="0"/>
              <w:autoSpaceDN w:val="0"/>
              <w:bidi w:val="0"/>
              <w:adjustRightInd/>
              <w:snapToGrid/>
              <w:spacing w:line="56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  </w:t>
            </w:r>
          </w:p>
        </w:tc>
      </w:tr>
    </w:tbl>
    <w:p w14:paraId="499EBBB9">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color w:val="auto"/>
          <w:kern w:val="0"/>
          <w:sz w:val="32"/>
          <w:szCs w:val="32"/>
          <w:lang w:val="en-US" w:eastAsia="zh-CN" w:bidi="ar"/>
        </w:rPr>
      </w:pPr>
    </w:p>
    <w:p w14:paraId="23B2C718"/>
    <w:sectPr>
      <w:pgSz w:w="11906" w:h="16838"/>
      <w:pgMar w:top="1814" w:right="1531" w:bottom="1984"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黑体_GBK">
    <w:panose1 w:val="03000509000000000000"/>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6D5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kern w:val="0"/>
      <w:sz w:val="21"/>
      <w:szCs w:val="21"/>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B4DCB4"/>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2025-05-07T05:41:02Z</dcterms:created>
  <dc:creator>chy92</dc:creator>
  <cp:lastModifiedBy>陈寒祎</cp:lastModifiedBy>
  <dcterms:modified xsi:type="dcterms:W3CDTF">2025-05-07T05:41:52Z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eyJoZGlkIjoiYjZjMGYwMGYwNjZhNjMyNGY0NmMyNzVkNTIzYjRjNzEiLCJ1c2VySWQiOiIxNjkzNjA2MTIwIn0=</vt:lpwstr>
  </property>
  <property fmtid="{D5CDD505-2E9C-101B-9397-08002B2CF9AE}" pid="4" name="ICV">
    <vt:lpwstr>5A547D37B530451CB2C9963225037C93_12</vt:lpwstr>
  </property>
</Properties>
</file>