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朗新科技 × 中交信科 合作交流材料</w:t>
      </w:r>
    </w:p>
    <w:p/>
    <w:p>
      <w:r>
        <w:t>版本： V1.0</w:t>
      </w:r>
    </w:p>
    <w:p>
      <w:r>
        <w:t>日期： 2026年5月7日 北京</w:t>
      </w:r>
    </w:p>
    <w:p>
      <w:r>
        <w:t>地点： 中交科创园（海淀区）</w:t>
      </w:r>
    </w:p>
    <w:p/>
    <w:p/>
    <w:p>
      <w:r>
        <w:t>---</w:t>
      </w:r>
    </w:p>
    <w:p/>
    <w:p>
      <w:pPr>
        <w:pStyle w:val="Heading1"/>
        <w:jc w:val="left"/>
      </w:pPr>
      <w:r>
        <w:t>#一、政策背景："模数共振"行动解读</w:t>
      </w:r>
    </w:p>
    <w:p/>
    <w:p>
      <w:pPr>
        <w:pStyle w:val="Heading2"/>
        <w:jc w:val="left"/>
      </w:pPr>
      <w:r>
        <w:t>##1.1 政策基本信息</w:t>
      </w:r>
    </w:p>
    <w:p/>
    <w:p>
      <w:r>
        <w:t>文件名称： 工业和信息化部办公厅 国家数据局综合司关于联合实施2026年"模数共振"行动的通知</w:t>
      </w:r>
    </w:p>
    <w:p/>
    <w:p>
      <w:r>
        <w:t>文号： 工信厅联科函〔2026〕193号</w:t>
      </w:r>
    </w:p>
    <w:p/>
    <w:p>
      <w:r>
        <w:t>发布时间： 2026年4月24日</w:t>
      </w:r>
    </w:p>
    <w:p/>
    <w:p>
      <w:r>
        <w:t>发布单位： 工业和信息化部 + 国家数据局（联合发文）</w:t>
      </w:r>
    </w:p>
    <w:p/>
    <w:p>
      <w:r>
        <w:t>---</w:t>
      </w:r>
    </w:p>
    <w:p/>
    <w:p>
      <w:pPr>
        <w:pStyle w:val="Heading2"/>
        <w:jc w:val="left"/>
      </w:pPr>
      <w:r>
        <w:t>##1.2 政策核心目标</w:t>
      </w:r>
    </w:p>
    <w:p/>
    <w:p>
      <w:r>
        <w:t>推动 "数据-模型-场景应用"良性互促，实现 AI 高水平赋能新型工业化。</w:t>
      </w:r>
    </w:p>
    <w:p/>
    <w:p>
      <w:r>
        <w:t>重点行业覆盖：</w:t>
      </w:r>
    </w:p>
    <w:p>
      <w:r>
        <w:t>钢铁、石化化工、有色金属、建材、工业母机、汽车、医疗装备、电力装备、船舶、航空航天、家居、医药、生物制造、历史经典、电子元器件、消费电子、新型显示、软件、信息通信、网络安全</w:t>
      </w:r>
    </w:p>
    <w:p/>
    <w:p>
      <w:r>
        <w:t>→ 交通行业（含公路、铁路、港口、水路）虽未直接列出，但"软件、信息通信"与其高度相关，且交能融合属于新型工业化范畴。</w:t>
      </w:r>
    </w:p>
    <w:p/>
    <w:p>
      <w:r>
        <w:t>---</w:t>
      </w:r>
    </w:p>
    <w:p/>
    <w:p>
      <w:pPr>
        <w:pStyle w:val="Heading2"/>
        <w:jc w:val="left"/>
      </w:pPr>
      <w:r>
        <w:t>##1.3 七大重点任务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任务编号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任务名称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核心要求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与中交相关性</w:t>
            </w:r>
          </w:p>
        </w:tc>
      </w:tr>
      <w:tr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任务一</w:t>
            </w:r>
          </w:p>
        </w:tc>
        <w:tc>
          <w:tcPr>
            <w:tcW w:type="dxa" w:w="2160"/>
          </w:tcPr>
          <w:p>
            <w:r>
              <w:t>行业通识数据集 + 行业模型</w:t>
            </w:r>
          </w:p>
        </w:tc>
        <w:tc>
          <w:tcPr>
            <w:tcW w:type="dxa" w:w="2160"/>
          </w:tcPr>
          <w:p>
            <w:r>
              <w:t>每省≥3个行业，每行业≥5个数据集、≥1个行业模型、≥5个案例</w:t>
            </w:r>
          </w:p>
        </w:tc>
        <w:tc>
          <w:tcPr>
            <w:tcW w:type="dxa" w:w="2160"/>
          </w:tcPr>
          <w:p>
            <w:r>
              <w:t>交通数据资源 → 交能融合数据集</w:t>
            </w:r>
          </w:p>
        </w:tc>
      </w:tr>
      <w:tr>
        <w:tc>
          <w:tcPr>
            <w:tcW w:type="dxa" w:w="2160"/>
          </w:tcPr>
          <w:p>
            <w:r>
              <w:t>任务二</w:t>
            </w:r>
          </w:p>
        </w:tc>
        <w:tc>
          <w:tcPr>
            <w:tcW w:type="dxa" w:w="2160"/>
          </w:tcPr>
          <w:p>
            <w:r>
              <w:t>高价值场景 + 专识数据集 + 特色智能体</w:t>
            </w:r>
          </w:p>
        </w:tc>
        <w:tc>
          <w:tcPr>
            <w:tcW w:type="dxa" w:w="2160"/>
          </w:tcPr>
          <w:p>
            <w:r>
              <w:t>每行业≥30个场景，每场景≥1个数据集、≥1个模型/智能体</w:t>
            </w:r>
          </w:p>
        </w:tc>
        <w:tc>
          <w:tcPr>
            <w:tcW w:type="dxa" w:w="2160"/>
          </w:tcPr>
          <w:p>
            <w:r>
              <w:t>充电桩/光伏/储能 → 交能融合智能体</w:t>
            </w:r>
          </w:p>
        </w:tc>
      </w:tr>
      <w:tr>
        <w:tc>
          <w:tcPr>
            <w:tcW w:type="dxa" w:w="2160"/>
          </w:tcPr>
          <w:p>
            <w:r>
              <w:t>任务三</w:t>
            </w:r>
          </w:p>
        </w:tc>
        <w:tc>
          <w:tcPr>
            <w:tcW w:type="dxa" w:w="2160"/>
          </w:tcPr>
          <w:p>
            <w:r>
              <w:t>评测数据集 + 评测机制</w:t>
            </w:r>
          </w:p>
        </w:tc>
        <w:tc>
          <w:tcPr>
            <w:tcW w:type="dxa" w:w="2160"/>
          </w:tcPr>
          <w:p>
            <w:r>
              <w:t>构建"评测-优化-提升"循环</w:t>
            </w:r>
          </w:p>
        </w:tc>
        <w:tc>
          <w:tcPr>
            <w:tcW w:type="dxa" w:w="2160"/>
          </w:tcPr>
          <w:p>
            <w:r>
              <w:t>数据质量标准化</w:t>
            </w:r>
          </w:p>
        </w:tc>
      </w:tr>
      <w:tr>
        <w:tc>
          <w:tcPr>
            <w:tcW w:type="dxa" w:w="2160"/>
          </w:tcPr>
          <w:p>
            <w:r>
              <w:t>任务四</w:t>
            </w:r>
          </w:p>
        </w:tc>
        <w:tc>
          <w:tcPr>
            <w:tcW w:type="dxa" w:w="2160"/>
          </w:tcPr>
          <w:p>
            <w:r>
              <w:t>"模数共振"空间</w:t>
            </w:r>
          </w:p>
        </w:tc>
        <w:tc>
          <w:tcPr>
            <w:tcW w:type="dxa" w:w="2160"/>
          </w:tcPr>
          <w:p>
            <w:r>
              <w:t>每省≥3个，打造"智能体工厂"</w:t>
            </w:r>
          </w:p>
        </w:tc>
        <w:tc>
          <w:tcPr>
            <w:tcW w:type="dxa" w:w="2160"/>
          </w:tcPr>
          <w:p>
            <w:r>
              <w:t>跨主体数据贯通基础设施</w:t>
            </w:r>
          </w:p>
        </w:tc>
      </w:tr>
      <w:tr>
        <w:tc>
          <w:tcPr>
            <w:tcW w:type="dxa" w:w="2160"/>
          </w:tcPr>
          <w:p>
            <w:r>
              <w:t>任务五</w:t>
            </w:r>
          </w:p>
        </w:tc>
        <w:tc>
          <w:tcPr>
            <w:tcW w:type="dxa" w:w="2160"/>
          </w:tcPr>
          <w:p>
            <w:r>
              <w:t>创新联合体</w:t>
            </w:r>
          </w:p>
        </w:tc>
        <w:tc>
          <w:tcPr>
            <w:tcW w:type="dxa" w:w="2160"/>
          </w:tcPr>
          <w:p>
            <w:r>
              <w:t>每行业≥1个联合体</w:t>
            </w:r>
          </w:p>
        </w:tc>
        <w:tc>
          <w:tcPr>
            <w:tcW w:type="dxa" w:w="2160"/>
          </w:tcPr>
          <w:p>
            <w:r>
              <w:t>**最直接机会**</w:t>
            </w:r>
          </w:p>
        </w:tc>
      </w:tr>
      <w:tr>
        <w:tc>
          <w:tcPr>
            <w:tcW w:type="dxa" w:w="2160"/>
          </w:tcPr>
          <w:p>
            <w:r>
              <w:t>任务六</w:t>
            </w:r>
          </w:p>
        </w:tc>
        <w:tc>
          <w:tcPr>
            <w:tcW w:type="dxa" w:w="2160"/>
          </w:tcPr>
          <w:p>
            <w:r>
              <w:t>生态配套</w:t>
            </w:r>
          </w:p>
        </w:tc>
        <w:tc>
          <w:tcPr>
            <w:tcW w:type="dxa" w:w="2160"/>
          </w:tcPr>
          <w:p>
            <w:r>
              <w:t>人才培养、标准制定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任务七</w:t>
            </w:r>
          </w:p>
        </w:tc>
        <w:tc>
          <w:tcPr>
            <w:tcW w:type="dxa" w:w="2160"/>
          </w:tcPr>
          <w:p>
            <w:r>
              <w:t>重点城市</w:t>
            </w:r>
          </w:p>
        </w:tc>
        <w:tc>
          <w:tcPr>
            <w:tcW w:type="dxa" w:w="2160"/>
          </w:tcPr>
          <w:p>
            <w:r>
              <w:t>每省≤2-3个标杆城市</w:t>
            </w:r>
          </w:p>
        </w:tc>
        <w:tc>
          <w:tcPr>
            <w:tcW w:type="dxa" w:w="2160"/>
          </w:tcPr>
          <w:p>
            <w:r>
              <w:t>北京/无锡/苏州有机会</w:t>
            </w:r>
          </w:p>
        </w:tc>
      </w:tr>
    </w:tbl>
    <w:p/>
    <w:p>
      <w:r>
        <w:t>---</w:t>
      </w:r>
    </w:p>
    <w:p/>
    <w:p>
      <w:pPr>
        <w:pStyle w:val="Heading2"/>
        <w:jc w:val="left"/>
      </w:pPr>
      <w:r>
        <w:t>##1.4 关键时间节点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**2026年5月30日**</w:t>
            </w:r>
          </w:p>
        </w:tc>
        <w:tc>
          <w:tcPr>
            <w:tcW w:type="dxa" w:w="2880"/>
          </w:tcPr>
          <w:p>
            <w:r>
              <w:t>各省/央企报送实施方案</w:t>
            </w:r>
          </w:p>
        </w:tc>
        <w:tc>
          <w:tcPr>
            <w:tcW w:type="dxa" w:w="2880"/>
          </w:tcPr>
          <w:p>
            <w:r>
              <w:t>**距今约24天**</w:t>
            </w:r>
          </w:p>
        </w:tc>
      </w:tr>
      <w:tr>
        <w:tc>
          <w:tcPr>
            <w:tcW w:type="dxa" w:w="2880"/>
          </w:tcPr>
          <w:p>
            <w:r>
              <w:t>**2026年8月30日**</w:t>
            </w:r>
          </w:p>
        </w:tc>
        <w:tc>
          <w:tcPr>
            <w:tcW w:type="dxa" w:w="2880"/>
          </w:tcPr>
          <w:p>
            <w:r>
              <w:t>中期评估</w:t>
            </w:r>
          </w:p>
        </w:tc>
        <w:tc>
          <w:tcPr>
            <w:tcW w:type="dxa" w:w="2880"/>
          </w:tcPr>
          <w:p>
            <w:r>
              <w:t>阶段性总结报告</w:t>
            </w:r>
          </w:p>
        </w:tc>
      </w:tr>
      <w:tr>
        <w:tc>
          <w:tcPr>
            <w:tcW w:type="dxa" w:w="2880"/>
          </w:tcPr>
          <w:p>
            <w:r>
              <w:t>**2026年11月30日**</w:t>
            </w:r>
          </w:p>
        </w:tc>
        <w:tc>
          <w:tcPr>
            <w:tcW w:type="dxa" w:w="2880"/>
          </w:tcPr>
          <w:p>
            <w:r>
              <w:t>总结发布</w:t>
            </w:r>
          </w:p>
        </w:tc>
        <w:tc>
          <w:tcPr>
            <w:tcW w:type="dxa" w:w="2880"/>
          </w:tcPr>
          <w:p>
            <w:r>
              <w:t>发布成果名单、城市名单</w:t>
            </w:r>
          </w:p>
        </w:tc>
      </w:tr>
    </w:tbl>
    <w:p/>
    <w:p>
      <w:r>
        <w:t>⚠️ 重要提示： 揭榜挂帅截止日为2026年5月20日（交通行业可信数据空间方案），比模数共振方案报送早10天，需优先处理。</w:t>
      </w:r>
    </w:p>
    <w:p/>
    <w:p>
      <w:r>
        <w:t>---</w:t>
      </w:r>
    </w:p>
    <w:p/>
    <w:p>
      <w:pPr>
        <w:pStyle w:val="Heading1"/>
        <w:jc w:val="left"/>
      </w:pPr>
      <w:r>
        <w:t>#二、中交信科基本情况</w:t>
      </w:r>
    </w:p>
    <w:p/>
    <w:p>
      <w:pPr>
        <w:pStyle w:val="Heading2"/>
        <w:jc w:val="left"/>
      </w:pPr>
      <w:r>
        <w:t>##2.1 企业定位</w:t>
      </w:r>
    </w:p>
    <w:p/>
    <w:p>
      <w:r>
        <w:t>全称： 中交信息技术国家工程研究中心有限公司（中交信科）</w:t>
      </w:r>
    </w:p>
    <w:p/>
    <w:p>
      <w:r>
        <w:t>母公司： 中国交通建设集团有限公司（央企，世界500强）</w:t>
      </w:r>
    </w:p>
    <w:p/>
    <w:p>
      <w:r>
        <w:t>核心业务：</w:t>
      </w:r>
    </w:p>
    <w:p>
      <w:pPr>
        <w:pStyle w:val="ListBullet"/>
      </w:pPr>
      <w:r>
        <w:t>交通基础设施信息化建设</w:t>
      </w:r>
    </w:p>
    <w:p>
      <w:pPr>
        <w:pStyle w:val="ListBullet"/>
      </w:pPr>
      <w:r>
        <w:t>智慧交通、智慧港口</w:t>
      </w:r>
    </w:p>
    <w:p>
      <w:pPr>
        <w:pStyle w:val="ListBullet"/>
      </w:pPr>
      <w:r>
        <w:t>交通大数据应用</w:t>
      </w:r>
    </w:p>
    <w:p>
      <w:pPr>
        <w:pStyle w:val="ListBullet"/>
      </w:pPr>
      <w:r>
        <w:t>交能融合（新能源与交通基础设施结合）</w:t>
      </w:r>
    </w:p>
    <w:p/>
    <w:p>
      <w:r>
        <w:t>---</w:t>
      </w:r>
    </w:p>
    <w:p/>
    <w:p>
      <w:pPr>
        <w:pStyle w:val="Heading2"/>
        <w:jc w:val="left"/>
      </w:pPr>
      <w:r>
        <w:t>##2.2 已有资源/能力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资源类型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具体内容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与朗新合作切入点</w:t>
            </w:r>
          </w:p>
        </w:tc>
      </w:tr>
      <w:tr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----------------</w:t>
            </w:r>
          </w:p>
        </w:tc>
      </w:tr>
      <w:tr>
        <w:tc>
          <w:tcPr>
            <w:tcW w:type="dxa" w:w="2880"/>
          </w:tcPr>
          <w:p>
            <w:r>
              <w:t>**交通基础设施数据**</w:t>
            </w:r>
          </w:p>
        </w:tc>
        <w:tc>
          <w:tcPr>
            <w:tcW w:type="dxa" w:w="2880"/>
          </w:tcPr>
          <w:p>
            <w:r>
              <w:t>公路/铁路/港口/航道的建设数据、运营数据</w:t>
            </w:r>
          </w:p>
        </w:tc>
        <w:tc>
          <w:tcPr>
            <w:tcW w:type="dxa" w:w="2880"/>
          </w:tcPr>
          <w:p>
            <w:r>
              <w:t>交通数据 + 能源数据融合</w:t>
            </w:r>
          </w:p>
        </w:tc>
      </w:tr>
      <w:tr>
        <w:tc>
          <w:tcPr>
            <w:tcW w:type="dxa" w:w="2880"/>
          </w:tcPr>
          <w:p>
            <w:r>
              <w:t>**央企品牌背书**</w:t>
            </w:r>
          </w:p>
        </w:tc>
        <w:tc>
          <w:tcPr>
            <w:tcW w:type="dxa" w:w="2880"/>
          </w:tcPr>
          <w:p>
            <w:r>
              <w:t>中国交建世界500强品牌</w:t>
            </w:r>
          </w:p>
        </w:tc>
        <w:tc>
          <w:tcPr>
            <w:tcW w:type="dxa" w:w="2880"/>
          </w:tcPr>
          <w:p>
            <w:r>
              <w:t>联合申报背书</w:t>
            </w:r>
          </w:p>
        </w:tc>
      </w:tr>
      <w:tr>
        <w:tc>
          <w:tcPr>
            <w:tcW w:type="dxa" w:w="2880"/>
          </w:tcPr>
          <w:p>
            <w:r>
              <w:t>**场景资源**</w:t>
            </w:r>
          </w:p>
        </w:tc>
        <w:tc>
          <w:tcPr>
            <w:tcW w:type="dxa" w:w="2880"/>
          </w:tcPr>
          <w:p>
            <w:r>
              <w:t>高速公路服务区充电桩、港口岸电、公路沿线光伏</w:t>
            </w:r>
          </w:p>
        </w:tc>
        <w:tc>
          <w:tcPr>
            <w:tcW w:type="dxa" w:w="2880"/>
          </w:tcPr>
          <w:p>
            <w:r>
              <w:t>交能融合具体落地场景</w:t>
            </w:r>
          </w:p>
        </w:tc>
      </w:tr>
      <w:tr>
        <w:tc>
          <w:tcPr>
            <w:tcW w:type="dxa" w:w="2880"/>
          </w:tcPr>
          <w:p>
            <w:r>
              <w:t>**资金实力**</w:t>
            </w:r>
          </w:p>
        </w:tc>
        <w:tc>
          <w:tcPr>
            <w:tcW w:type="dxa" w:w="2880"/>
          </w:tcPr>
          <w:p>
            <w:r>
              <w:t>央企资源调配能力</w:t>
            </w:r>
          </w:p>
        </w:tc>
        <w:tc>
          <w:tcPr>
            <w:tcW w:type="dxa" w:w="2880"/>
          </w:tcPr>
          <w:p>
            <w:r>
              <w:t>联合投资/REITs</w:t>
            </w:r>
          </w:p>
        </w:tc>
      </w:tr>
    </w:tbl>
    <w:p/>
    <w:p>
      <w:r>
        <w:t>---</w:t>
      </w:r>
    </w:p>
    <w:p/>
    <w:p>
      <w:pPr>
        <w:pStyle w:val="Heading2"/>
        <w:jc w:val="left"/>
      </w:pPr>
      <w:r>
        <w:t>##2.3 可能的痛点/需求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痛点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朗新能解决的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------------</w:t>
            </w:r>
          </w:p>
        </w:tc>
      </w:tr>
      <w:tr>
        <w:tc>
          <w:tcPr>
            <w:tcW w:type="dxa" w:w="4320"/>
          </w:tcPr>
          <w:p>
            <w:r>
              <w:t>**能源管理能力弱**</w:t>
            </w:r>
          </w:p>
        </w:tc>
        <w:tc>
          <w:tcPr>
            <w:tcW w:type="dxa" w:w="4320"/>
          </w:tcPr>
          <w:p>
            <w:r>
              <w:t>朗新有充电桩76%、电力90%、光伏95%的预测能力</w:t>
            </w:r>
          </w:p>
        </w:tc>
      </w:tr>
      <w:tr>
        <w:tc>
          <w:tcPr>
            <w:tcW w:type="dxa" w:w="4320"/>
          </w:tcPr>
          <w:p>
            <w:r>
              <w:t>**数据变现能力不足**</w:t>
            </w:r>
          </w:p>
        </w:tc>
        <w:tc>
          <w:tcPr>
            <w:tcW w:type="dxa" w:w="4320"/>
          </w:tcPr>
          <w:p>
            <w:r>
              <w:t>朗新有数据产品化经验（北京数交所上架）</w:t>
            </w:r>
          </w:p>
        </w:tc>
      </w:tr>
      <w:tr>
        <w:tc>
          <w:tcPr>
            <w:tcW w:type="dxa" w:w="4320"/>
          </w:tcPr>
          <w:p>
            <w:r>
              <w:t>**缺乏能源互联网平台**</w:t>
            </w:r>
          </w:p>
        </w:tc>
        <w:tc>
          <w:tcPr>
            <w:tcW w:type="dxa" w:w="4320"/>
          </w:tcPr>
          <w:p>
            <w:r>
              <w:t>朗新有成熟的可信数据空间平台</w:t>
            </w:r>
          </w:p>
        </w:tc>
      </w:tr>
      <w:tr>
        <w:tc>
          <w:tcPr>
            <w:tcW w:type="dxa" w:w="4320"/>
          </w:tcPr>
          <w:p>
            <w:r>
              <w:t>**REITs数据服务缺失**</w:t>
            </w:r>
          </w:p>
        </w:tc>
        <w:tc>
          <w:tcPr>
            <w:tcW w:type="dxa" w:w="4320"/>
          </w:tcPr>
          <w:p>
            <w:r>
              <w:t>朗新有交能融合REITs研究基础</w:t>
            </w:r>
          </w:p>
        </w:tc>
      </w:tr>
    </w:tbl>
    <w:p/>
    <w:p>
      <w:r>
        <w:t>---</w:t>
      </w:r>
    </w:p>
    <w:p/>
    <w:p>
      <w:pPr>
        <w:pStyle w:val="Heading1"/>
        <w:jc w:val="left"/>
      </w:pPr>
      <w:r>
        <w:t>#三、朗新科技基本情况</w:t>
      </w:r>
    </w:p>
    <w:p/>
    <w:p>
      <w:pPr>
        <w:pStyle w:val="Heading2"/>
        <w:jc w:val="left"/>
      </w:pPr>
      <w:r>
        <w:t>##3.1 企业定位</w:t>
      </w:r>
    </w:p>
    <w:p/>
    <w:p>
      <w:r>
        <w:t>朗新科技股份有限公司（股票代码：300682）</w:t>
      </w:r>
    </w:p>
    <w:p/>
    <w:p>
      <w:r>
        <w:t>核心资产： 能源互联网可信数据空间平台</w:t>
      </w:r>
    </w:p>
    <w:p/>
    <w:p>
      <w:r>
        <w:t>差异化定位： 跨行业数据连接能力 + 联合运营模式</w:t>
      </w:r>
    </w:p>
    <w:p/>
    <w:p>
      <w:r>
        <w:t>专注领域： 数据要素 · 能源互联网 · 新能源场景运营</w:t>
      </w:r>
    </w:p>
    <w:p/>
    <w:p>
      <w:r>
        <w:t>---</w:t>
      </w:r>
    </w:p>
    <w:p/>
    <w:p>
      <w:pPr>
        <w:pStyle w:val="Heading2"/>
        <w:jc w:val="left"/>
      </w:pPr>
      <w:r>
        <w:t>##3.2 核心能力矩阵</w:t>
      </w:r>
    </w:p>
    <w:p/>
    <w:p>
      <w:pPr>
        <w:pStyle w:val="Heading3"/>
        <w:jc w:val="left"/>
      </w:pPr>
      <w:r>
        <w:t>###3.2.1 AI 预测能力（已验证）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准确率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数据基础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商业化路径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</w:tr>
      <w:tr>
        <w:tc>
          <w:tcPr>
            <w:tcW w:type="dxa" w:w="2160"/>
          </w:tcPr>
          <w:p>
            <w:r>
              <w:t>**充电桩负荷预测**</w:t>
            </w:r>
          </w:p>
        </w:tc>
        <w:tc>
          <w:tcPr>
            <w:tcW w:type="dxa" w:w="2160"/>
          </w:tcPr>
          <w:p>
            <w:r>
              <w:t>76%</w:t>
            </w:r>
          </w:p>
        </w:tc>
        <w:tc>
          <w:tcPr>
            <w:tcW w:type="dxa" w:w="2160"/>
          </w:tcPr>
          <w:p>
            <w:r>
              <w:t>存量充电桩运营数据</w:t>
            </w:r>
          </w:p>
        </w:tc>
        <w:tc>
          <w:tcPr>
            <w:tcW w:type="dxa" w:w="2160"/>
          </w:tcPr>
          <w:p>
            <w:r>
              <w:t>数据服务费</w:t>
            </w:r>
          </w:p>
        </w:tc>
      </w:tr>
      <w:tr>
        <w:tc>
          <w:tcPr>
            <w:tcW w:type="dxa" w:w="2160"/>
          </w:tcPr>
          <w:p>
            <w:r>
              <w:t>**电力负荷预测**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电网调度数据</w:t>
            </w:r>
          </w:p>
        </w:tc>
        <w:tc>
          <w:tcPr>
            <w:tcW w:type="dxa" w:w="2160"/>
          </w:tcPr>
          <w:p>
            <w:r>
              <w:t>电力市场数据服务</w:t>
            </w:r>
          </w:p>
        </w:tc>
      </w:tr>
      <w:tr>
        <w:tc>
          <w:tcPr>
            <w:tcW w:type="dxa" w:w="2160"/>
          </w:tcPr>
          <w:p>
            <w:r>
              <w:t>**光伏发电预测**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分布式光伏数据</w:t>
            </w:r>
          </w:p>
        </w:tc>
        <w:tc>
          <w:tcPr>
            <w:tcW w:type="dxa" w:w="2160"/>
          </w:tcPr>
          <w:p>
            <w:r>
              <w:t>绿电交易数据</w:t>
            </w:r>
          </w:p>
        </w:tc>
      </w:tr>
    </w:tbl>
    <w:p/>
    <w:p>
      <w:pPr>
        <w:pStyle w:val="Heading3"/>
        <w:jc w:val="left"/>
      </w:pPr>
      <w:r>
        <w:t>###3.2.2 可信数据空间平台</w:t>
      </w:r>
    </w:p>
    <w:p/>
    <w:p>
      <w:pPr>
        <w:pStyle w:val="ListBullet"/>
      </w:pPr>
      <w:r>
        <w:t>功能： 跨行业数据可信贯通、数据产品化</w:t>
      </w:r>
    </w:p>
    <w:p>
      <w:pPr>
        <w:pStyle w:val="ListBullet"/>
      </w:pPr>
      <w:r>
        <w:t>已落地： 北京数交所数据产品上架</w:t>
      </w:r>
    </w:p>
    <w:p>
      <w:pPr>
        <w:pStyle w:val="ListBullet"/>
      </w:pPr>
      <w:r>
        <w:t>能力： 数据脱敏、隐私计算、数据资产登记</w:t>
      </w:r>
    </w:p>
    <w:p/>
    <w:p>
      <w:pPr>
        <w:pStyle w:val="Heading3"/>
        <w:jc w:val="left"/>
      </w:pPr>
      <w:r>
        <w:t>###3.2.3 联合运营模式</w:t>
      </w:r>
    </w:p>
    <w:p/>
    <w:p>
      <w:pPr>
        <w:pStyle w:val="ListBullet"/>
      </w:pPr>
      <w:r>
        <w:t>不只是卖工具，是一起做运营</w:t>
      </w:r>
    </w:p>
    <w:p>
      <w:pPr>
        <w:pStyle w:val="ListBullet"/>
      </w:pPr>
      <w:r>
        <w:t>收益分成而非一次性销售</w:t>
      </w:r>
    </w:p>
    <w:p>
      <w:pPr>
        <w:pStyle w:val="ListBullet"/>
      </w:pPr>
      <w:r>
        <w:t>已在北京数交所、网上国网等验证</w:t>
      </w:r>
    </w:p>
    <w:p/>
    <w:p>
      <w:r>
        <w:t>---</w:t>
      </w:r>
    </w:p>
    <w:p/>
    <w:p>
      <w:pPr>
        <w:pStyle w:val="Heading1"/>
        <w:jc w:val="left"/>
      </w:pPr>
      <w:r>
        <w:t>#四、合作方向一：揭榜挂帅（最高优先级）</w:t>
      </w:r>
    </w:p>
    <w:p/>
    <w:p>
      <w:pPr>
        <w:pStyle w:val="Heading2"/>
        <w:jc w:val="left"/>
      </w:pPr>
      <w:r>
        <w:t>##4.1 命题回顾</w:t>
      </w:r>
    </w:p>
    <w:p/>
    <w:p>
      <w:r>
        <w:t>命题： 交通行业可信数据空间总体方案（含系统建设方案 + 运营体系方案 + ≥1个示范场景）</w:t>
      </w:r>
    </w:p>
    <w:p/>
    <w:p>
      <w:r>
        <w:t>激励： 60万元（采用后发放）</w:t>
      </w:r>
    </w:p>
    <w:p/>
    <w:p>
      <w:r>
        <w:t>截止： 2026年5月20日17:00</w:t>
      </w:r>
    </w:p>
    <w:p/>
    <w:p>
      <w:r>
        <w:t>资质门槛： 近两年有数据流通/可信数据空间相关项目业绩</w:t>
      </w:r>
    </w:p>
    <w:p/>
    <w:p>
      <w:r>
        <w:t>---</w:t>
      </w:r>
    </w:p>
    <w:p/>
    <w:p>
      <w:pPr>
        <w:pStyle w:val="Heading2"/>
        <w:jc w:val="left"/>
      </w:pPr>
      <w:r>
        <w:t>##4.2 朗新优势对应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命题要求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朗新优势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证明材料</w:t>
            </w:r>
          </w:p>
        </w:tc>
      </w:tr>
      <w:tr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</w:tr>
      <w:tr>
        <w:tc>
          <w:tcPr>
            <w:tcW w:type="dxa" w:w="2880"/>
          </w:tcPr>
          <w:p>
            <w:r>
              <w:t>数据流通/可信数据空间业绩</w:t>
            </w:r>
          </w:p>
        </w:tc>
        <w:tc>
          <w:tcPr>
            <w:tcW w:type="dxa" w:w="2880"/>
          </w:tcPr>
          <w:p>
            <w:r>
              <w:t>✅ 北京数交所数据产品上架</w:t>
            </w:r>
          </w:p>
        </w:tc>
        <w:tc>
          <w:tcPr>
            <w:tcW w:type="dxa" w:w="2880"/>
          </w:tcPr>
          <w:p>
            <w:r>
              <w:t>合作协议</w:t>
            </w:r>
          </w:p>
        </w:tc>
      </w:tr>
      <w:tr>
        <w:tc>
          <w:tcPr>
            <w:tcW w:type="dxa" w:w="2880"/>
          </w:tcPr>
          <w:p>
            <w:r>
              <w:t>系统建设方案能力</w:t>
            </w:r>
          </w:p>
        </w:tc>
        <w:tc>
          <w:tcPr>
            <w:tcW w:type="dxa" w:w="2880"/>
          </w:tcPr>
          <w:p>
            <w:r>
              <w:t>✅ 能源互联网平台建设经验</w:t>
            </w:r>
          </w:p>
        </w:tc>
        <w:tc>
          <w:tcPr>
            <w:tcW w:type="dxa" w:w="2880"/>
          </w:tcPr>
          <w:p>
            <w:r>
              <w:t>产品介绍</w:t>
            </w:r>
          </w:p>
        </w:tc>
      </w:tr>
      <w:tr>
        <w:tc>
          <w:tcPr>
            <w:tcW w:type="dxa" w:w="2880"/>
          </w:tcPr>
          <w:p>
            <w:r>
              <w:t>运营体系方案能力</w:t>
            </w:r>
          </w:p>
        </w:tc>
        <w:tc>
          <w:tcPr>
            <w:tcW w:type="dxa" w:w="2880"/>
          </w:tcPr>
          <w:p>
            <w:r>
              <w:t>✅ 联合运营模式</w:t>
            </w:r>
          </w:p>
        </w:tc>
        <w:tc>
          <w:tcPr>
            <w:tcW w:type="dxa" w:w="2880"/>
          </w:tcPr>
          <w:p>
            <w:r>
              <w:t>运营案例</w:t>
            </w:r>
          </w:p>
        </w:tc>
      </w:tr>
      <w:tr>
        <w:tc>
          <w:tcPr>
            <w:tcW w:type="dxa" w:w="2880"/>
          </w:tcPr>
          <w:p>
            <w:r>
              <w:t>行业理解（能源）</w:t>
            </w:r>
          </w:p>
        </w:tc>
        <w:tc>
          <w:tcPr>
            <w:tcW w:type="dxa" w:w="2880"/>
          </w:tcPr>
          <w:p>
            <w:r>
              <w:t>✅ 充电桩/光伏/储能预测能力</w:t>
            </w:r>
          </w:p>
        </w:tc>
        <w:tc>
          <w:tcPr>
            <w:tcW w:type="dxa" w:w="2880"/>
          </w:tcPr>
          <w:p>
            <w:r>
              <w:t>技术白皮书</w:t>
            </w:r>
          </w:p>
        </w:tc>
      </w:tr>
    </w:tbl>
    <w:p/>
    <w:p>
      <w:r>
        <w:t>---</w:t>
      </w:r>
    </w:p>
    <w:p/>
    <w:p>
      <w:pPr>
        <w:pStyle w:val="Heading2"/>
        <w:jc w:val="left"/>
      </w:pPr>
      <w:r>
        <w:t>##4.3 方案框架建议</w:t>
      </w:r>
    </w:p>
    <w:p/>
    <w:p>
      <w:r>
        <w:t>一、总体架构（1页）</w:t>
      </w:r>
    </w:p>
    <w:p>
      <w:pPr>
        <w:pStyle w:val="ListBullet"/>
      </w:pPr>
      <w:r>
        <w:t>交通行业可信数据空间定位</w:t>
      </w:r>
    </w:p>
    <w:p>
      <w:pPr>
        <w:pStyle w:val="ListBullet"/>
      </w:pPr>
      <w:r>
        <w:t>与国家数据基础设施的关系</w:t>
      </w:r>
    </w:p>
    <w:p/>
    <w:p>
      <w:r>
        <w:t>二、顶层设计（2页）</w:t>
      </w:r>
    </w:p>
    <w:p>
      <w:pPr>
        <w:pStyle w:val="ListBullet"/>
      </w:pPr>
      <w:r>
        <w:t>数据空间架构（数据源→平台→应用）</w:t>
      </w:r>
    </w:p>
    <w:p>
      <w:pPr>
        <w:pStyle w:val="ListBullet"/>
      </w:pPr>
      <w:r>
        <w:t>参与主体角色定义（中交/朗新/数据使用方）</w:t>
      </w:r>
    </w:p>
    <w:p/>
    <w:p>
      <w:r>
        <w:t>三、数据资源梳理（2页）</w:t>
      </w:r>
    </w:p>
    <w:p>
      <w:pPr>
        <w:pStyle w:val="ListBullet"/>
      </w:pPr>
      <w:r>
        <w:t>交通数据资源清单（公路/港口/充电桩）</w:t>
      </w:r>
    </w:p>
    <w:p>
      <w:pPr>
        <w:pStyle w:val="ListBullet"/>
      </w:pPr>
      <w:r>
        <w:t>能源数据资源清单（电力/光伏/储能）</w:t>
      </w:r>
    </w:p>
    <w:p>
      <w:pPr>
        <w:pStyle w:val="ListBullet"/>
      </w:pPr>
      <w:r>
        <w:t>交能融合数据贯通路径</w:t>
      </w:r>
    </w:p>
    <w:p/>
    <w:p>
      <w:r>
        <w:t>四、行业模型设计（2页）</w:t>
      </w:r>
    </w:p>
    <w:p>
      <w:pPr>
        <w:pStyle w:val="ListBullet"/>
      </w:pPr>
      <w:r>
        <w:t>交能融合负荷预测模型</w:t>
      </w:r>
    </w:p>
    <w:p>
      <w:pPr>
        <w:pStyle w:val="ListBullet"/>
      </w:pPr>
      <w:r>
        <w:t>应用场景：充电桩有序充电/光伏消纳优化</w:t>
      </w:r>
    </w:p>
    <w:p/>
    <w:p>
      <w:r>
        <w:t>五、示范场景方案（2页）</w:t>
      </w:r>
    </w:p>
    <w:p>
      <w:pPr>
        <w:pStyle w:val="ListBullet"/>
      </w:pPr>
      <w:r>
        <w:t>场景1：高速公路服务区充电桩负荷预测</w:t>
      </w:r>
    </w:p>
    <w:p>
      <w:pPr>
        <w:pStyle w:val="ListBullet"/>
      </w:pPr>
      <w:r>
        <w:t>场景2：港口岸电与光伏协同调度</w:t>
      </w:r>
    </w:p>
    <w:p>
      <w:pPr>
        <w:pStyle w:val="ListBullet"/>
      </w:pPr>
      <w:r>
        <w:t>场景3：公路沿线分布式光伏数据服务</w:t>
      </w:r>
    </w:p>
    <w:p/>
    <w:p>
      <w:r>
        <w:t>六、运营体系（1页）</w:t>
      </w:r>
    </w:p>
    <w:p>
      <w:pPr>
        <w:pStyle w:val="ListBullet"/>
      </w:pPr>
      <w:r>
        <w:t>数据产品化路径</w:t>
      </w:r>
    </w:p>
    <w:p>
      <w:pPr>
        <w:pStyle w:val="ListBullet"/>
      </w:pPr>
      <w:r>
        <w:t>收益分配机制</w:t>
      </w:r>
    </w:p>
    <w:p>
      <w:pPr>
        <w:pStyle w:val="ListBullet"/>
      </w:pPr>
      <w:r>
        <w:t>安全合规保障</w:t>
      </w:r>
    </w:p>
    <w:p/>
    <w:p>
      <w:r>
        <w:t>七、保障措施（1页）</w:t>
      </w:r>
    </w:p>
    <w:p>
      <w:pPr>
        <w:pStyle w:val="ListBullet"/>
      </w:pPr>
      <w:r>
        <w:t>组织保障</w:t>
      </w:r>
    </w:p>
    <w:p>
      <w:pPr>
        <w:pStyle w:val="ListBullet"/>
      </w:pPr>
      <w:r>
        <w:t>资源投入</w:t>
      </w:r>
    </w:p>
    <w:p>
      <w:pPr>
        <w:pStyle w:val="ListBullet"/>
      </w:pPr>
      <w:r>
        <w:t>时间计划</w:t>
      </w:r>
    </w:p>
    <w:p/>
    <w:p>
      <w:r>
        <w:t>---</w:t>
      </w:r>
    </w:p>
    <w:p/>
    <w:p>
      <w:pPr>
        <w:pStyle w:val="Heading2"/>
        <w:jc w:val="left"/>
      </w:pPr>
      <w:r>
        <w:t>##4.4 融入"模数共振"的包装策略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揭榜挂帅内容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对应模数共振表述</w:t>
            </w:r>
          </w:p>
        </w:tc>
      </w:tr>
      <w:tr>
        <w:tc>
          <w:tcPr>
            <w:tcW w:type="dxa" w:w="4320"/>
          </w:tcPr>
          <w:p>
            <w:r>
              <w:t>------------</w:t>
            </w:r>
          </w:p>
        </w:tc>
        <w:tc>
          <w:tcPr>
            <w:tcW w:type="dxa" w:w="4320"/>
          </w:tcPr>
          <w:p>
            <w:r>
              <w:t>----------------</w:t>
            </w:r>
          </w:p>
        </w:tc>
      </w:tr>
      <w:tr>
        <w:tc>
          <w:tcPr>
            <w:tcW w:type="dxa" w:w="4320"/>
          </w:tcPr>
          <w:p>
            <w:r>
              <w:t>交能融合数据集</w:t>
            </w:r>
          </w:p>
        </w:tc>
        <w:tc>
          <w:tcPr>
            <w:tcW w:type="dxa" w:w="4320"/>
          </w:tcPr>
          <w:p>
            <w:r>
              <w:t>"行业通识高质量数据集"</w:t>
            </w:r>
          </w:p>
        </w:tc>
      </w:tr>
      <w:tr>
        <w:tc>
          <w:tcPr>
            <w:tcW w:type="dxa" w:w="4320"/>
          </w:tcPr>
          <w:p>
            <w:r>
              <w:t>负荷预测模型</w:t>
            </w:r>
          </w:p>
        </w:tc>
        <w:tc>
          <w:tcPr>
            <w:tcW w:type="dxa" w:w="4320"/>
          </w:tcPr>
          <w:p>
            <w:r>
              <w:t>"行业专用模型"</w:t>
            </w:r>
          </w:p>
        </w:tc>
      </w:tr>
      <w:tr>
        <w:tc>
          <w:tcPr>
            <w:tcW w:type="dxa" w:w="4320"/>
          </w:tcPr>
          <w:p>
            <w:r>
              <w:t>充电桩/港口智能体</w:t>
            </w:r>
          </w:p>
        </w:tc>
        <w:tc>
          <w:tcPr>
            <w:tcW w:type="dxa" w:w="4320"/>
          </w:tcPr>
          <w:p>
            <w:r>
              <w:t>"特色智能体"</w:t>
            </w:r>
          </w:p>
        </w:tc>
      </w:tr>
      <w:tr>
        <w:tc>
          <w:tcPr>
            <w:tcW w:type="dxa" w:w="4320"/>
          </w:tcPr>
          <w:p>
            <w:r>
              <w:t>数据空间运营</w:t>
            </w:r>
          </w:p>
        </w:tc>
        <w:tc>
          <w:tcPr>
            <w:tcW w:type="dxa" w:w="4320"/>
          </w:tcPr>
          <w:p>
            <w:r>
              <w:t>"模数共振空间"雏形</w:t>
            </w:r>
          </w:p>
        </w:tc>
      </w:tr>
    </w:tbl>
    <w:p/>
    <w:p>
      <w:r>
        <w:t>话术建议：</w:t>
      </w:r>
    </w:p>
    <w:p>
      <w:r>
        <w:t>&gt; "本方案不仅响应交通行业揭榜挂帅要求，更主动对接国家'模数共振'战略，构建'交通-能源'跨行业数据空间，为后续纳入模数共振创新联合体奠定基础。"</w:t>
      </w:r>
    </w:p>
    <w:p/>
    <w:p>
      <w:r>
        <w:t>---</w:t>
      </w:r>
    </w:p>
    <w:p/>
    <w:p>
      <w:pPr>
        <w:pStyle w:val="Heading1"/>
        <w:jc w:val="left"/>
      </w:pPr>
      <w:r>
        <w:t>#五、合作方向二：模数共振创新联合体</w:t>
      </w:r>
    </w:p>
    <w:p/>
    <w:p>
      <w:pPr>
        <w:pStyle w:val="Heading2"/>
        <w:jc w:val="left"/>
      </w:pPr>
      <w:r>
        <w:t>##5.1 政策要求</w:t>
      </w:r>
    </w:p>
    <w:p/>
    <w:p>
      <w:r>
        <w:t>每行业≥1个联合体，成员需包括：</w:t>
      </w:r>
    </w:p>
    <w:p>
      <w:pPr>
        <w:pStyle w:val="ListBullet"/>
      </w:pPr>
      <w:r>
        <w:t>算力企业</w:t>
      </w:r>
    </w:p>
    <w:p>
      <w:pPr>
        <w:pStyle w:val="ListBullet"/>
      </w:pPr>
      <w:r>
        <w:t>模型企业</w:t>
      </w:r>
    </w:p>
    <w:p>
      <w:pPr>
        <w:pStyle w:val="ListBullet"/>
      </w:pPr>
      <w:r>
        <w:t>数据企业</w:t>
      </w:r>
    </w:p>
    <w:p>
      <w:pPr>
        <w:pStyle w:val="ListBullet"/>
      </w:pPr>
      <w:r>
        <w:t>应用开发企业</w:t>
      </w:r>
    </w:p>
    <w:p/>
    <w:p>
      <w:pPr>
        <w:pStyle w:val="Heading2"/>
        <w:jc w:val="left"/>
      </w:pPr>
      <w:r>
        <w:t>##5.2 联合体组建方案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建议成员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朗新/中交谁来做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----------------</w:t>
            </w:r>
          </w:p>
        </w:tc>
      </w:tr>
      <w:tr>
        <w:tc>
          <w:tcPr>
            <w:tcW w:type="dxa" w:w="2880"/>
          </w:tcPr>
          <w:p>
            <w:r>
              <w:t>算力企业</w:t>
            </w:r>
          </w:p>
        </w:tc>
        <w:tc>
          <w:tcPr>
            <w:tcW w:type="dxa" w:w="2880"/>
          </w:tcPr>
          <w:p>
            <w:r>
              <w:t>中交信科/中交集团基础设施</w:t>
            </w:r>
          </w:p>
        </w:tc>
        <w:tc>
          <w:tcPr>
            <w:tcW w:type="dxa" w:w="2880"/>
          </w:tcPr>
          <w:p>
            <w:r>
              <w:t>中交</w:t>
            </w:r>
          </w:p>
        </w:tc>
      </w:tr>
      <w:tr>
        <w:tc>
          <w:tcPr>
            <w:tcW w:type="dxa" w:w="2880"/>
          </w:tcPr>
          <w:p>
            <w:r>
              <w:t>模型企业</w:t>
            </w:r>
          </w:p>
        </w:tc>
        <w:tc>
          <w:tcPr>
            <w:tcW w:type="dxa" w:w="2880"/>
          </w:tcPr>
          <w:p>
            <w:r>
              <w:t>朗新科技</w:t>
            </w:r>
          </w:p>
        </w:tc>
        <w:tc>
          <w:tcPr>
            <w:tcW w:type="dxa" w:w="2880"/>
          </w:tcPr>
          <w:p>
            <w:r>
              <w:t>**朗新（核心）**</w:t>
            </w:r>
          </w:p>
        </w:tc>
      </w:tr>
      <w:tr>
        <w:tc>
          <w:tcPr>
            <w:tcW w:type="dxa" w:w="2880"/>
          </w:tcPr>
          <w:p>
            <w:r>
              <w:t>数据企业</w:t>
            </w:r>
          </w:p>
        </w:tc>
        <w:tc>
          <w:tcPr>
            <w:tcW w:type="dxa" w:w="2880"/>
          </w:tcPr>
          <w:p>
            <w:r>
              <w:t>中交（交通数据）+ 朗新（能源数据）</w:t>
            </w:r>
          </w:p>
        </w:tc>
        <w:tc>
          <w:tcPr>
            <w:tcW w:type="dxa" w:w="2880"/>
          </w:tcPr>
          <w:p>
            <w:r>
              <w:t>双方</w:t>
            </w:r>
          </w:p>
        </w:tc>
      </w:tr>
      <w:tr>
        <w:tc>
          <w:tcPr>
            <w:tcW w:type="dxa" w:w="2880"/>
          </w:tcPr>
          <w:p>
            <w:r>
              <w:t>应用开发企业</w:t>
            </w:r>
          </w:p>
        </w:tc>
        <w:tc>
          <w:tcPr>
            <w:tcW w:type="dxa" w:w="2880"/>
          </w:tcPr>
          <w:p>
            <w:r>
              <w:t>朗新/中交信科</w:t>
            </w:r>
          </w:p>
        </w:tc>
        <w:tc>
          <w:tcPr>
            <w:tcW w:type="dxa" w:w="2880"/>
          </w:tcPr>
          <w:p>
            <w:r>
              <w:t>双方</w:t>
            </w:r>
          </w:p>
        </w:tc>
      </w:tr>
    </w:tbl>
    <w:p/>
    <w:p>
      <w:pPr>
        <w:pStyle w:val="Heading2"/>
        <w:jc w:val="left"/>
      </w:pPr>
      <w:r>
        <w:t>##5.3 联合体价值</w:t>
      </w:r>
    </w:p>
    <w:p/>
    <w:p>
      <w:pPr>
        <w:pStyle w:val="ListBullet"/>
      </w:pPr>
      <w:r>
        <w:t>✅ 进入国家政策支持名单</w:t>
      </w:r>
    </w:p>
    <w:p>
      <w:pPr>
        <w:pStyle w:val="ListBullet"/>
      </w:pPr>
      <w:r>
        <w:t>✅ 获取专项资金支持</w:t>
      </w:r>
    </w:p>
    <w:p>
      <w:pPr>
        <w:pStyle w:val="ListBullet"/>
      </w:pPr>
      <w:r>
        <w:t>✅ 享受政策倾斜（土地/税收/人才）</w:t>
      </w:r>
    </w:p>
    <w:p>
      <w:pPr>
        <w:pStyle w:val="ListBullet"/>
      </w:pPr>
      <w:r>
        <w:t>✅ 品牌背书（工信部+国家数据局联合认定）</w:t>
      </w:r>
    </w:p>
    <w:p/>
    <w:p>
      <w:pPr>
        <w:pStyle w:val="Heading2"/>
        <w:jc w:val="left"/>
      </w:pPr>
      <w:r>
        <w:t>##5.4 推进计划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事项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------</w:t>
            </w:r>
          </w:p>
        </w:tc>
      </w:tr>
      <w:tr>
        <w:tc>
          <w:tcPr>
            <w:tcW w:type="dxa" w:w="4320"/>
          </w:tcPr>
          <w:p>
            <w:r>
              <w:t>5月7日</w:t>
            </w:r>
          </w:p>
        </w:tc>
        <w:tc>
          <w:tcPr>
            <w:tcW w:type="dxa" w:w="4320"/>
          </w:tcPr>
          <w:p>
            <w:r>
              <w:t>北京交流确认合作意向</w:t>
            </w:r>
          </w:p>
        </w:tc>
      </w:tr>
      <w:tr>
        <w:tc>
          <w:tcPr>
            <w:tcW w:type="dxa" w:w="4320"/>
          </w:tcPr>
          <w:p>
            <w:r>
              <w:t>5月30日前</w:t>
            </w:r>
          </w:p>
        </w:tc>
        <w:tc>
          <w:tcPr>
            <w:tcW w:type="dxa" w:w="4320"/>
          </w:tcPr>
          <w:p>
            <w:r>
              <w:t>双方确定联合体框架</w:t>
            </w:r>
          </w:p>
        </w:tc>
      </w:tr>
      <w:tr>
        <w:tc>
          <w:tcPr>
            <w:tcW w:type="dxa" w:w="4320"/>
          </w:tcPr>
          <w:p>
            <w:r>
              <w:t>6月</w:t>
            </w:r>
          </w:p>
        </w:tc>
        <w:tc>
          <w:tcPr>
            <w:tcW w:type="dxa" w:w="4320"/>
          </w:tcPr>
          <w:p>
            <w:r>
              <w:t>正式启动申报材料准备</w:t>
            </w:r>
          </w:p>
        </w:tc>
      </w:tr>
      <w:tr>
        <w:tc>
          <w:tcPr>
            <w:tcW w:type="dxa" w:w="4320"/>
          </w:tcPr>
          <w:p>
            <w:r>
              <w:t>8月</w:t>
            </w:r>
          </w:p>
        </w:tc>
        <w:tc>
          <w:tcPr>
            <w:tcW w:type="dxa" w:w="4320"/>
          </w:tcPr>
          <w:p>
            <w:r>
              <w:t>中期评估跟进</w:t>
            </w:r>
          </w:p>
        </w:tc>
      </w:tr>
    </w:tbl>
    <w:p/>
    <w:p>
      <w:r>
        <w:t>---</w:t>
      </w:r>
    </w:p>
    <w:p/>
    <w:p>
      <w:pPr>
        <w:pStyle w:val="Heading1"/>
        <w:jc w:val="left"/>
      </w:pPr>
      <w:r>
        <w:t>#六、合作方向三：交能融合REITs → 模数共振空间试点</w:t>
      </w:r>
    </w:p>
    <w:p/>
    <w:p>
      <w:pPr>
        <w:pStyle w:val="Heading2"/>
        <w:jc w:val="left"/>
      </w:pPr>
      <w:r>
        <w:t>##6.1 现有进展</w:t>
      </w:r>
    </w:p>
    <w:p/>
    <w:p>
      <w:r>
        <w:t>朗新已完成交能融合REITs商业化路径研究：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**A. 数据服务费**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充电桩/电力/光伏预测数据服务</w:t>
            </w:r>
          </w:p>
        </w:tc>
      </w:tr>
      <w:tr>
        <w:tc>
          <w:tcPr>
            <w:tcW w:type="dxa" w:w="2880"/>
          </w:tcPr>
          <w:p>
            <w:r>
              <w:t>**B. 通道费**</w:t>
            </w:r>
          </w:p>
        </w:tc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数据贯通通道</w:t>
            </w:r>
          </w:p>
        </w:tc>
      </w:tr>
      <w:tr>
        <w:tc>
          <w:tcPr>
            <w:tcW w:type="dxa" w:w="2880"/>
          </w:tcPr>
          <w:p>
            <w:r>
              <w:t>**C. SaaS平台**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平台订阅费</w:t>
            </w:r>
          </w:p>
        </w:tc>
      </w:tr>
    </w:tbl>
    <w:p/>
    <w:p>
      <w:pPr>
        <w:pStyle w:val="Heading2"/>
        <w:jc w:val="left"/>
      </w:pPr>
      <w:r>
        <w:t>##6.2 对接模数共振空间</w:t>
      </w:r>
    </w:p>
    <w:p/>
    <w:p>
      <w:r>
        <w:t>"模数共振"空间要求：</w:t>
      </w:r>
    </w:p>
    <w:p>
      <w:pPr>
        <w:pStyle w:val="ListBullet"/>
      </w:pPr>
      <w:r>
        <w:t>跨主体数据汇聚和模型训练</w:t>
      </w:r>
    </w:p>
    <w:p>
      <w:pPr>
        <w:pStyle w:val="ListBullet"/>
      </w:pPr>
      <w:r>
        <w:t>软硬件基础设施</w:t>
      </w:r>
    </w:p>
    <w:p>
      <w:pPr>
        <w:pStyle w:val="ListBullet"/>
      </w:pPr>
      <w:r>
        <w:t>管理机制（数据协同、模型共建、责任划分、安全保障）</w:t>
      </w:r>
    </w:p>
    <w:p/>
    <w:p>
      <w:r>
        <w:t>朗新已有：</w:t>
      </w:r>
    </w:p>
    <w:p>
      <w:pPr>
        <w:pStyle w:val="ListBullet"/>
      </w:pPr>
      <w:r>
        <w:t>✅ 数据空间平台（软硬件基础）</w:t>
      </w:r>
    </w:p>
    <w:p>
      <w:pPr>
        <w:pStyle w:val="ListBullet"/>
      </w:pPr>
      <w:r>
        <w:t>✅ 隐私计算能力（安全合规）</w:t>
      </w:r>
    </w:p>
    <w:p>
      <w:pPr>
        <w:pStyle w:val="ListBullet"/>
      </w:pPr>
      <w:r>
        <w:t>✅ 联合运营模式（机制基础）</w:t>
      </w:r>
    </w:p>
    <w:p/>
    <w:p>
      <w:pPr>
        <w:pStyle w:val="Heading2"/>
        <w:jc w:val="left"/>
      </w:pPr>
      <w:r>
        <w:t>##6.3 试点落地路径</w:t>
      </w:r>
    </w:p>
    <w:p/>
    <w:p>
      <w:r>
        <w:t>阶段1（2026）：REITs数据服务 → 生成现金流</w:t>
      </w:r>
    </w:p>
    <w:p>
      <w:r>
        <w:t>阶段2（2027）：纳入模数共振空间 → 获取政策支持</w:t>
      </w:r>
    </w:p>
    <w:p>
      <w:r>
        <w:t>阶段3（2028）：复制到其他交通基础设施 → 规模化</w:t>
      </w:r>
    </w:p>
    <w:p/>
    <w:p>
      <w:r>
        <w:t>---</w:t>
      </w:r>
    </w:p>
    <w:p/>
    <w:p>
      <w:pPr>
        <w:pStyle w:val="Heading1"/>
        <w:jc w:val="left"/>
      </w:pPr>
      <w:r>
        <w:t>#七、交流议题建议（按优先级）</w:t>
      </w:r>
    </w:p>
    <w:p/>
    <w:p>
      <w:pPr>
        <w:pStyle w:val="Heading2"/>
        <w:jc w:val="left"/>
      </w:pPr>
      <w:r>
        <w:t>##议题一：揭榜挂帅方案（必谈）</w:t>
      </w:r>
    </w:p>
    <w:p/>
    <w:p>
      <w:r>
        <w:t>开场话术：</w:t>
      </w:r>
    </w:p>
    <w:p>
      <w:r>
        <w:t>&gt; "工信部刚发了'模数共振'行动，5月30日就要报方案。我们认为，朗新和中交在交通行业可信数据空间上有高度互补——中交有场景和数据，朗新有平台和能力。如果我们联合揭榜，不仅能拿到60万激励，更重要的是能借势政策红利，把交能融合做成行业标杆。"</w:t>
      </w:r>
    </w:p>
    <w:p/>
    <w:p>
      <w:r>
        <w:t>讨论点：</w:t>
      </w:r>
    </w:p>
    <w:p>
      <w:pPr>
        <w:pStyle w:val="ListBullet"/>
      </w:pPr>
      <w:r>
        <w:t>中交是否已启动揭榜挂帅准备？</w:t>
      </w:r>
    </w:p>
    <w:p>
      <w:pPr>
        <w:pStyle w:val="ListBullet"/>
      </w:pPr>
      <w:r>
        <w:t>朗新能否作为技术支撑方参与？</w:t>
      </w:r>
    </w:p>
    <w:p>
      <w:pPr>
        <w:pStyle w:val="ListBullet"/>
      </w:pPr>
      <w:r>
        <w:t>5月20日截止，时间非常紧，需要今天确认</w:t>
      </w:r>
    </w:p>
    <w:p/>
    <w:p>
      <w:r>
        <w:t>---</w:t>
      </w:r>
    </w:p>
    <w:p/>
    <w:p>
      <w:pPr>
        <w:pStyle w:val="Heading2"/>
        <w:jc w:val="left"/>
      </w:pPr>
      <w:r>
        <w:t>##议题二：创新联合体意向（重要）</w:t>
      </w:r>
    </w:p>
    <w:p/>
    <w:p>
      <w:r>
        <w:t>开场话术：</w:t>
      </w:r>
    </w:p>
    <w:p>
      <w:r>
        <w:t>&gt; "'模数共振'行动要求每行业建一个创新联合体。中交是交通行业龙头，朗新在能源数据上有独特积累。如果我们联合申报，成功率会大大提高。而且联合体一旦纳入，国家会有专项资金和政策支持。"</w:t>
      </w:r>
    </w:p>
    <w:p/>
    <w:p>
      <w:r>
        <w:t>讨论点：</w:t>
      </w:r>
    </w:p>
    <w:p>
      <w:pPr>
        <w:pStyle w:val="ListBullet"/>
      </w:pPr>
      <w:r>
        <w:t>中交对创新联合体的态度？</w:t>
      </w:r>
    </w:p>
    <w:p>
      <w:pPr>
        <w:pStyle w:val="ListBullet"/>
      </w:pPr>
      <w:r>
        <w:t>双方分工如何界定？</w:t>
      </w:r>
    </w:p>
    <w:p>
      <w:pPr>
        <w:pStyle w:val="ListBullet"/>
      </w:pPr>
      <w:r>
        <w:t>联合体落户在哪（北京/无锡/其他）？</w:t>
      </w:r>
    </w:p>
    <w:p/>
    <w:p>
      <w:r>
        <w:t>---</w:t>
      </w:r>
    </w:p>
    <w:p/>
    <w:p>
      <w:pPr>
        <w:pStyle w:val="Heading2"/>
        <w:jc w:val="left"/>
      </w:pPr>
      <w:r>
        <w:t>##议题三：REITs数据服务确认（务实）</w:t>
      </w:r>
    </w:p>
    <w:p/>
    <w:p>
      <w:r>
        <w:t>开场话术：</w:t>
      </w:r>
    </w:p>
    <w:p>
      <w:r>
        <w:t>&gt; "我们已经完成了交能融合REITs的商业化路径研究。核心逻辑很简单——朗新的AI预测能力可以帮中交的高速公路服务区充电桩、港口岸电等场景提升运营效率，数据服务费就是最直接的变现路径。你们有没有具体的场景需求？"</w:t>
      </w:r>
    </w:p>
    <w:p/>
    <w:p>
      <w:r>
        <w:t>讨论点：</w:t>
      </w:r>
    </w:p>
    <w:p>
      <w:pPr>
        <w:pStyle w:val="ListBullet"/>
      </w:pPr>
      <w:r>
        <w:t>中交有哪些具体场景可以试点？</w:t>
      </w:r>
    </w:p>
    <w:p>
      <w:pPr>
        <w:pStyle w:val="ListBullet"/>
      </w:pPr>
      <w:r>
        <w:t>数据需求是什么（实时/历史/预测）？</w:t>
      </w:r>
    </w:p>
    <w:p>
      <w:pPr>
        <w:pStyle w:val="ListBullet"/>
      </w:pPr>
      <w:r>
        <w:t>收益分成模式能否接受？</w:t>
      </w:r>
    </w:p>
    <w:p/>
    <w:p>
      <w:r>
        <w:t>---</w:t>
      </w:r>
    </w:p>
    <w:p/>
    <w:p>
      <w:pPr>
        <w:pStyle w:val="Heading2"/>
        <w:jc w:val="left"/>
      </w:pPr>
      <w:r>
        <w:t>##议题四：模数共振空间合作（长远）</w:t>
      </w:r>
    </w:p>
    <w:p/>
    <w:p>
      <w:r>
        <w:t>开场话术：</w:t>
      </w:r>
    </w:p>
    <w:p>
      <w:r>
        <w:t>&gt; "模数共振空间是这次政策的亮点，要求有跨主体数据贯通能力。朗新有成熟的数据空间平台，可以直接复用。我们建议把交能融合数据空间作为'模数共振'的示范点，既能服务中交自己的场景，也能对外赋能。"</w:t>
      </w:r>
    </w:p>
    <w:p/>
    <w:p>
      <w:r>
        <w:t>讨论点：</w:t>
      </w:r>
    </w:p>
    <w:p>
      <w:pPr>
        <w:pStyle w:val="ListBullet"/>
      </w:pPr>
      <w:r>
        <w:t>中交是否有自建平台的规划？</w:t>
      </w:r>
    </w:p>
    <w:p>
      <w:pPr>
        <w:pStyle w:val="ListBullet"/>
      </w:pPr>
      <w:r>
        <w:t>是否愿意开放给其他交通企业？</w:t>
      </w:r>
    </w:p>
    <w:p>
      <w:pPr>
        <w:pStyle w:val="ListBullet"/>
      </w:pPr>
      <w:r>
        <w:t>建设主体如何界定？</w:t>
      </w:r>
    </w:p>
    <w:p/>
    <w:p>
      <w:r>
        <w:t>---</w:t>
      </w:r>
    </w:p>
    <w:p/>
    <w:p>
      <w:pPr>
        <w:pStyle w:val="Heading1"/>
        <w:jc w:val="left"/>
      </w:pPr>
      <w:r>
        <w:t>#八、我们的核心优势（谈判要点）</w:t>
      </w:r>
    </w:p>
    <w:p/>
    <w:p>
      <w:pPr>
        <w:pStyle w:val="Heading2"/>
        <w:jc w:val="left"/>
      </w:pPr>
      <w:r>
        <w:t>##8.1 差异化定位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竞争对手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他们的定位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朗新的差异化</w:t>
            </w:r>
          </w:p>
        </w:tc>
      </w:tr>
      <w:tr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------------</w:t>
            </w:r>
          </w:p>
        </w:tc>
      </w:tr>
      <w:tr>
        <w:tc>
          <w:tcPr>
            <w:tcW w:type="dxa" w:w="2880"/>
          </w:tcPr>
          <w:p>
            <w:r>
              <w:t>华为/阿里/腾讯</w:t>
            </w:r>
          </w:p>
        </w:tc>
        <w:tc>
          <w:tcPr>
            <w:tcW w:type="dxa" w:w="2880"/>
          </w:tcPr>
          <w:p>
            <w:r>
              <w:t>云平台+通用AI</w:t>
            </w:r>
          </w:p>
        </w:tc>
        <w:tc>
          <w:tcPr>
            <w:tcW w:type="dxa" w:w="2880"/>
          </w:tcPr>
          <w:p>
            <w:r>
              <w:t>**垂直行业+跨行业数据贯通**</w:t>
            </w:r>
          </w:p>
        </w:tc>
      </w:tr>
      <w:tr>
        <w:tc>
          <w:tcPr>
            <w:tcW w:type="dxa" w:w="2880"/>
          </w:tcPr>
          <w:p>
            <w:r>
              <w:t>国网/南瑞</w:t>
            </w:r>
          </w:p>
        </w:tc>
        <w:tc>
          <w:tcPr>
            <w:tcW w:type="dxa" w:w="2880"/>
          </w:tcPr>
          <w:p>
            <w:r>
              <w:t>电力系统+调度</w:t>
            </w:r>
          </w:p>
        </w:tc>
        <w:tc>
          <w:tcPr>
            <w:tcW w:type="dxa" w:w="2880"/>
          </w:tcPr>
          <w:p>
            <w:r>
              <w:t>**交通+能源跨行业连接**</w:t>
            </w:r>
          </w:p>
        </w:tc>
      </w:tr>
      <w:tr>
        <w:tc>
          <w:tcPr>
            <w:tcW w:type="dxa" w:w="2880"/>
          </w:tcPr>
          <w:p>
            <w:r>
              <w:t>传统充电运营商</w:t>
            </w:r>
          </w:p>
        </w:tc>
        <w:tc>
          <w:tcPr>
            <w:tcW w:type="dxa" w:w="2880"/>
          </w:tcPr>
          <w:p>
            <w:r>
              <w:t>设备+运营</w:t>
            </w:r>
          </w:p>
        </w:tc>
        <w:tc>
          <w:tcPr>
            <w:tcW w:type="dxa" w:w="2880"/>
          </w:tcPr>
          <w:p>
            <w:r>
              <w:t>**数据产品+联合运营**</w:t>
            </w:r>
          </w:p>
        </w:tc>
      </w:tr>
    </w:tbl>
    <w:p/>
    <w:p>
      <w:pPr>
        <w:pStyle w:val="Heading2"/>
        <w:jc w:val="left"/>
      </w:pPr>
      <w:r>
        <w:t>##8.2 已落地的标杆案例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案例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合作方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效果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北京数交所数据产品</w:t>
            </w:r>
          </w:p>
        </w:tc>
        <w:tc>
          <w:tcPr>
            <w:tcW w:type="dxa" w:w="2160"/>
          </w:tcPr>
          <w:p>
            <w:r>
              <w:t>北京数据交易所</w:t>
            </w:r>
          </w:p>
        </w:tc>
        <w:tc>
          <w:tcPr>
            <w:tcW w:type="dxa" w:w="2160"/>
          </w:tcPr>
          <w:p>
            <w:r>
              <w:t>数据产品上架+联合运营</w:t>
            </w:r>
          </w:p>
        </w:tc>
        <w:tc>
          <w:tcPr>
            <w:tcW w:type="dxa" w:w="2160"/>
          </w:tcPr>
          <w:p>
            <w:r>
              <w:t>已上线</w:t>
            </w:r>
          </w:p>
        </w:tc>
      </w:tr>
      <w:tr>
        <w:tc>
          <w:tcPr>
            <w:tcW w:type="dxa" w:w="2160"/>
          </w:tcPr>
          <w:p>
            <w:r>
              <w:t>网上国网用户运营</w:t>
            </w:r>
          </w:p>
        </w:tc>
        <w:tc>
          <w:tcPr>
            <w:tcW w:type="dxa" w:w="2160"/>
          </w:tcPr>
          <w:p>
            <w:r>
              <w:t>国客中心</w:t>
            </w:r>
          </w:p>
        </w:tc>
        <w:tc>
          <w:tcPr>
            <w:tcW w:type="dxa" w:w="2160"/>
          </w:tcPr>
          <w:p>
            <w:r>
              <w:t>C端用户运营+数据合作</w:t>
            </w:r>
          </w:p>
        </w:tc>
        <w:tc>
          <w:tcPr>
            <w:tcW w:type="dxa" w:w="2160"/>
          </w:tcPr>
          <w:p>
            <w:r>
              <w:t>进行中</w:t>
            </w:r>
          </w:p>
        </w:tc>
      </w:tr>
      <w:tr>
        <w:tc>
          <w:tcPr>
            <w:tcW w:type="dxa" w:w="2160"/>
          </w:tcPr>
          <w:p>
            <w:r>
              <w:t>电力负荷预测</w:t>
            </w:r>
          </w:p>
        </w:tc>
        <w:tc>
          <w:tcPr>
            <w:tcW w:type="dxa" w:w="2160"/>
          </w:tcPr>
          <w:p>
            <w:r>
              <w:t>江苏某供电公司</w:t>
            </w:r>
          </w:p>
        </w:tc>
        <w:tc>
          <w:tcPr>
            <w:tcW w:type="dxa" w:w="2160"/>
          </w:tcPr>
          <w:p>
            <w:r>
              <w:t>API服务</w:t>
            </w:r>
          </w:p>
        </w:tc>
        <w:tc>
          <w:tcPr>
            <w:tcW w:type="dxa" w:w="2160"/>
          </w:tcPr>
          <w:p>
            <w:r>
              <w:t>已商业化</w:t>
            </w:r>
          </w:p>
        </w:tc>
      </w:tr>
    </w:tbl>
    <w:p/>
    <w:p>
      <w:pPr>
        <w:pStyle w:val="Heading2"/>
        <w:jc w:val="left"/>
      </w:pPr>
      <w:r>
        <w:t>##8.3 技术验证数据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准确率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验证方式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</w:tr>
      <w:tr>
        <w:tc>
          <w:tcPr>
            <w:tcW w:type="dxa" w:w="2880"/>
          </w:tcPr>
          <w:p>
            <w:r>
              <w:t>充电桩负荷预测</w:t>
            </w:r>
          </w:p>
        </w:tc>
        <w:tc>
          <w:tcPr>
            <w:tcW w:type="dxa" w:w="2880"/>
          </w:tcPr>
          <w:p>
            <w:r>
              <w:t>76%</w:t>
            </w:r>
          </w:p>
        </w:tc>
        <w:tc>
          <w:tcPr>
            <w:tcW w:type="dxa" w:w="2880"/>
          </w:tcPr>
          <w:p>
            <w:r>
              <w:t>历史数据回测+实时验证</w:t>
            </w:r>
          </w:p>
        </w:tc>
      </w:tr>
      <w:tr>
        <w:tc>
          <w:tcPr>
            <w:tcW w:type="dxa" w:w="2880"/>
          </w:tcPr>
          <w:p>
            <w:r>
              <w:t>电力负荷预测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电网调度实际使用</w:t>
            </w:r>
          </w:p>
        </w:tc>
      </w:tr>
      <w:tr>
        <w:tc>
          <w:tcPr>
            <w:tcW w:type="dxa" w:w="2880"/>
          </w:tcPr>
          <w:p>
            <w:r>
              <w:t>光伏发电预测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分布式光伏项目验证</w:t>
            </w:r>
          </w:p>
        </w:tc>
      </w:tr>
    </w:tbl>
    <w:p/>
    <w:p>
      <w:r>
        <w:t>---</w:t>
      </w:r>
    </w:p>
    <w:p/>
    <w:p>
      <w:pPr>
        <w:pStyle w:val="Heading1"/>
        <w:jc w:val="left"/>
      </w:pPr>
      <w:r>
        <w:t>#九、风险提示与预案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可能性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预案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揭榜挂帅竞争激烈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联合中交增加竞争力</w:t>
            </w:r>
          </w:p>
        </w:tc>
      </w:tr>
      <w:tr>
        <w:tc>
          <w:tcPr>
            <w:tcW w:type="dxa" w:w="2160"/>
          </w:tcPr>
          <w:p>
            <w:r>
              <w:t>联合体申报被其他央企抢先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尽快在5月7日确认意向</w:t>
            </w:r>
          </w:p>
        </w:tc>
      </w:tr>
      <w:tr>
        <w:tc>
          <w:tcPr>
            <w:tcW w:type="dxa" w:w="2160"/>
          </w:tcPr>
          <w:p>
            <w:r>
              <w:t>REITs数据需求不明确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先从具体场景切入</w:t>
            </w:r>
          </w:p>
        </w:tc>
      </w:tr>
      <w:tr>
        <w:tc>
          <w:tcPr>
            <w:tcW w:type="dxa" w:w="2160"/>
          </w:tcPr>
          <w:p>
            <w:r>
              <w:t>中交内部决策链长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对接关键决策人</w:t>
            </w:r>
          </w:p>
        </w:tc>
      </w:tr>
    </w:tbl>
    <w:p/>
    <w:p>
      <w:r>
        <w:t>---</w:t>
      </w:r>
    </w:p>
    <w:p/>
    <w:p>
      <w:pPr>
        <w:pStyle w:val="Heading1"/>
        <w:jc w:val="left"/>
      </w:pPr>
      <w:r>
        <w:t>#十、下一步行动计划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责任方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🔴 最高</w:t>
            </w:r>
          </w:p>
        </w:tc>
        <w:tc>
          <w:tcPr>
            <w:tcW w:type="dxa" w:w="2160"/>
          </w:tcPr>
          <w:p>
            <w:r>
              <w:t>确认揭榜挂帅合作意向</w:t>
            </w:r>
          </w:p>
        </w:tc>
        <w:tc>
          <w:tcPr>
            <w:tcW w:type="dxa" w:w="2160"/>
          </w:tcPr>
          <w:p>
            <w:r>
              <w:t>双方</w:t>
            </w:r>
          </w:p>
        </w:tc>
        <w:tc>
          <w:tcPr>
            <w:tcW w:type="dxa" w:w="2160"/>
          </w:tcPr>
          <w:p>
            <w:r>
              <w:t>**5月7日今天**</w:t>
            </w:r>
          </w:p>
        </w:tc>
      </w:tr>
      <w:tr>
        <w:tc>
          <w:tcPr>
            <w:tcW w:type="dxa" w:w="2160"/>
          </w:tcPr>
          <w:p>
            <w:r>
              <w:t>🔴 最高</w:t>
            </w:r>
          </w:p>
        </w:tc>
        <w:tc>
          <w:tcPr>
            <w:tcW w:type="dxa" w:w="2160"/>
          </w:tcPr>
          <w:p>
            <w:r>
              <w:t>朗正起草方案初稿</w:t>
            </w:r>
          </w:p>
        </w:tc>
        <w:tc>
          <w:tcPr>
            <w:tcW w:type="dxa" w:w="2160"/>
          </w:tcPr>
          <w:p>
            <w:r>
              <w:t>朗新</w:t>
            </w:r>
          </w:p>
        </w:tc>
        <w:tc>
          <w:tcPr>
            <w:tcW w:type="dxa" w:w="2160"/>
          </w:tcPr>
          <w:p>
            <w:r>
              <w:t>5月10日前</w:t>
            </w:r>
          </w:p>
        </w:tc>
      </w:tr>
      <w:tr>
        <w:tc>
          <w:tcPr>
            <w:tcW w:type="dxa" w:w="2160"/>
          </w:tcPr>
          <w:p>
            <w:r>
              <w:t>🟡 高</w:t>
            </w:r>
          </w:p>
        </w:tc>
        <w:tc>
          <w:tcPr>
            <w:tcW w:type="dxa" w:w="2160"/>
          </w:tcPr>
          <w:p>
            <w:r>
              <w:t>中交提供必要数据/材料</w:t>
            </w:r>
          </w:p>
        </w:tc>
        <w:tc>
          <w:tcPr>
            <w:tcW w:type="dxa" w:w="2160"/>
          </w:tcPr>
          <w:p>
            <w:r>
              <w:t>中交</w:t>
            </w:r>
          </w:p>
        </w:tc>
        <w:tc>
          <w:tcPr>
            <w:tcW w:type="dxa" w:w="2160"/>
          </w:tcPr>
          <w:p>
            <w:r>
              <w:t>5月12日前</w:t>
            </w:r>
          </w:p>
        </w:tc>
      </w:tr>
      <w:tr>
        <w:tc>
          <w:tcPr>
            <w:tcW w:type="dxa" w:w="2160"/>
          </w:tcPr>
          <w:p>
            <w:r>
              <w:t>🟡 高</w:t>
            </w:r>
          </w:p>
        </w:tc>
        <w:tc>
          <w:tcPr>
            <w:tcW w:type="dxa" w:w="2160"/>
          </w:tcPr>
          <w:p>
            <w:r>
              <w:t>确定创新联合体框架</w:t>
            </w:r>
          </w:p>
        </w:tc>
        <w:tc>
          <w:tcPr>
            <w:tcW w:type="dxa" w:w="2160"/>
          </w:tcPr>
          <w:p>
            <w:r>
              <w:t>双方</w:t>
            </w:r>
          </w:p>
        </w:tc>
        <w:tc>
          <w:tcPr>
            <w:tcW w:type="dxa" w:w="2160"/>
          </w:tcPr>
          <w:p>
            <w:r>
              <w:t>5月20日前</w:t>
            </w:r>
          </w:p>
        </w:tc>
      </w:tr>
      <w:tr>
        <w:tc>
          <w:tcPr>
            <w:tcW w:type="dxa" w:w="2160"/>
          </w:tcPr>
          <w:p>
            <w:r>
              <w:t>🟡 高</w:t>
            </w:r>
          </w:p>
        </w:tc>
        <w:tc>
          <w:tcPr>
            <w:tcW w:type="dxa" w:w="2160"/>
          </w:tcPr>
          <w:p>
            <w:r>
              <w:t>确认REITs试点场景</w:t>
            </w:r>
          </w:p>
        </w:tc>
        <w:tc>
          <w:tcPr>
            <w:tcW w:type="dxa" w:w="2160"/>
          </w:tcPr>
          <w:p>
            <w:r>
              <w:t>双方</w:t>
            </w:r>
          </w:p>
        </w:tc>
        <w:tc>
          <w:tcPr>
            <w:tcW w:type="dxa" w:w="2160"/>
          </w:tcPr>
          <w:p>
            <w:r>
              <w:t>5月30日前</w:t>
            </w:r>
          </w:p>
        </w:tc>
      </w:tr>
    </w:tbl>
    <w:p/>
    <w:p>
      <w:r>
        <w:t>---</w:t>
      </w:r>
    </w:p>
    <w:p/>
    <w:p>
      <w:pPr>
        <w:pStyle w:val="Heading1"/>
        <w:jc w:val="left"/>
      </w:pPr>
      <w:r>
        <w:t>#附录：关键联系人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朗新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中交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项目负责人</w:t>
            </w:r>
          </w:p>
        </w:tc>
        <w:tc>
          <w:tcPr>
            <w:tcW w:type="dxa" w:w="2880"/>
          </w:tcPr>
          <w:p>
            <w:r>
              <w:t>（待补充）</w:t>
            </w:r>
          </w:p>
        </w:tc>
        <w:tc>
          <w:tcPr>
            <w:tcW w:type="dxa" w:w="2880"/>
          </w:tcPr>
          <w:p>
            <w:r>
              <w:t>（待补充）</w:t>
            </w:r>
          </w:p>
        </w:tc>
      </w:tr>
      <w:tr>
        <w:tc>
          <w:tcPr>
            <w:tcW w:type="dxa" w:w="2880"/>
          </w:tcPr>
          <w:p>
            <w:r>
              <w:t>技术对接</w:t>
            </w:r>
          </w:p>
        </w:tc>
        <w:tc>
          <w:tcPr>
            <w:tcW w:type="dxa" w:w="2880"/>
          </w:tcPr>
          <w:p>
            <w:r>
              <w:t>（待补充）</w:t>
            </w:r>
          </w:p>
        </w:tc>
        <w:tc>
          <w:tcPr>
            <w:tcW w:type="dxa" w:w="2880"/>
          </w:tcPr>
          <w:p>
            <w:r>
              <w:t>（待补充）</w:t>
            </w:r>
          </w:p>
        </w:tc>
      </w:tr>
      <w:tr>
        <w:tc>
          <w:tcPr>
            <w:tcW w:type="dxa" w:w="2880"/>
          </w:tcPr>
          <w:p>
            <w:r>
              <w:t>商务对接</w:t>
            </w:r>
          </w:p>
        </w:tc>
        <w:tc>
          <w:tcPr>
            <w:tcW w:type="dxa" w:w="2880"/>
          </w:tcPr>
          <w:p>
            <w:r>
              <w:t>（待补充）</w:t>
            </w:r>
          </w:p>
        </w:tc>
        <w:tc>
          <w:tcPr>
            <w:tcW w:type="dxa" w:w="2880"/>
          </w:tcPr>
          <w:p>
            <w:r>
              <w:t>（待补充）</w:t>
            </w:r>
          </w:p>
        </w:tc>
      </w:tr>
    </w:tbl>
    <w:p/>
    <w:p>
      <w:r>
        <w:t>---</w:t>
      </w:r>
    </w:p>
    <w:p/>
    <w:p>
      <w:r>
        <w:t>材料版本记录：</w:t>
      </w:r>
    </w:p>
    <w:p>
      <w:pPr>
        <w:pStyle w:val="ListBullet"/>
      </w:pPr>
      <w:r>
        <w:t>V1.0（2026-05-06）：初稿完成</w:t>
      </w:r>
    </w:p>
    <w:p/>
    <w:p>
      <w:r>
        <w:t>---</w:t>
      </w:r>
    </w:p>
    <w:p/>
    <w:p>
      <w:r>
        <w:t>本材料由 Domi 整理，仅供内部参考，不对外传播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