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32"/>
        </w:rPr>
        <w:t>中石油数据资源 × 朗新科技 × 北京数交所</w:t>
      </w:r>
    </w:p>
    <w:p>
      <w:pPr>
        <w:jc w:val="center"/>
      </w:pPr>
      <w:r>
        <w:rPr>
          <w:rFonts w:ascii="黑体" w:hAnsi="黑体" w:eastAsia="黑体"/>
          <w:b/>
          <w:sz w:val="32"/>
        </w:rPr>
        <w:t>三方合作可行性分析报告</w:t>
      </w:r>
    </w:p>
    <w:p/>
    <w:p>
      <w:pPr>
        <w:jc w:val="center"/>
      </w:pPr>
      <w:r>
        <w:rPr>
          <w:rFonts w:ascii="宋体" w:hAnsi="宋体" w:eastAsia="宋体"/>
          <w:b w:val="0"/>
          <w:sz w:val="24"/>
        </w:rPr>
        <w:t>2026年5月</w:t>
      </w:r>
    </w:p>
    <w:p>
      <w:pPr>
        <w:jc w:val="center"/>
      </w:pPr>
      <w:r>
        <w:rPr>
          <w:rFonts w:ascii="宋体" w:hAnsi="宋体" w:eastAsia="宋体"/>
          <w:b w:val="0"/>
          <w:sz w:val="24"/>
        </w:rPr>
        <w:t>朗新科技·数据运营团队</w:t>
      </w:r>
    </w:p>
    <w:p>
      <w:r>
        <w:br w:type="page"/>
      </w:r>
    </w:p>
    <w:p>
      <w:pPr>
        <w:jc w:val="left"/>
      </w:pPr>
      <w:r>
        <w:rPr>
          <w:rFonts w:ascii="黑体" w:hAnsi="黑体" w:eastAsia="黑体"/>
          <w:b/>
          <w:sz w:val="30"/>
        </w:rPr>
        <w:t>第一章  执行摘要</w:t>
      </w:r>
    </w:p>
    <w:p>
      <w:pPr>
        <w:jc w:val="left"/>
      </w:pPr>
      <w:r>
        <w:rPr>
          <w:rFonts w:ascii="黑体" w:hAnsi="黑体" w:eastAsia="黑体"/>
          <w:b/>
          <w:sz w:val="28"/>
        </w:rPr>
        <w:t>1.1 合作背景</w:t>
      </w:r>
    </w:p>
    <w:p>
      <w:r>
        <w:rPr>
          <w:rFonts w:ascii="宋体" w:hAnsi="宋体" w:eastAsia="宋体"/>
          <w:b w:val="0"/>
          <w:sz w:val="24"/>
        </w:rPr>
        <w:t>中石油拥有亚洲最大的能源数据资产，覆盖油气勘探、油气生产、天然气销售、炼化加工、运输物流全产业链，日均数据更新量达TB级别。北京数交所作为国家级数据交易平台，已建立完善的数据确权、登记、交易体系。朗新科技依托能源互联网可信数据空间平台，在跨行业数据连接、AI预测分析、联合运营等领域具备成熟能力。三方合作可将中石油的数据资源禀赋、朗新的平台技术能力、北数所的合规流通通道有机整合，形成"数据+平台+运营"三位一体的能源数据服务新模式。</w:t>
      </w:r>
    </w:p>
    <w:p>
      <w:pPr>
        <w:jc w:val="left"/>
      </w:pPr>
      <w:r>
        <w:rPr>
          <w:rFonts w:ascii="黑体" w:hAnsi="黑体" w:eastAsia="黑体"/>
          <w:b/>
          <w:sz w:val="28"/>
        </w:rPr>
        <w:t>1.2 核心价值主张</w:t>
      </w:r>
    </w:p>
    <w:p>
      <w:r>
        <w:rPr>
          <w:rFonts w:ascii="宋体" w:hAnsi="宋体" w:eastAsia="宋体"/>
          <w:b w:val="0"/>
          <w:sz w:val="24"/>
        </w:rPr>
        <w:t>① 数据变现货：中石油全链路能源数据（油气/管道/炼化/物流）通过朗新可信数据空间实现合规流通，首批数据产品年内可产生现金流，预计单个城燃用气预测产品年收益可达50-200万元/城燃公司。</w:t>
      </w:r>
    </w:p>
    <w:p>
      <w:r>
        <w:rPr>
          <w:rFonts w:ascii="宋体" w:hAnsi="宋体" w:eastAsia="宋体"/>
          <w:b w:val="0"/>
          <w:sz w:val="24"/>
        </w:rPr>
        <w:t>② AI赋能增效：朗新AI预测能力（电力负荷预测90%、光伏预测95%、充电桩预测76%）直接迁移至油气生产场景，将中石油积累的海量时序数据转化为可出售的预测性数据产品。</w:t>
      </w:r>
    </w:p>
    <w:p>
      <w:r>
        <w:rPr>
          <w:rFonts w:ascii="宋体" w:hAnsi="宋体" w:eastAsia="宋体"/>
          <w:b w:val="0"/>
          <w:sz w:val="24"/>
        </w:rPr>
        <w:t>③ 联合运营分成：朗新与北数所已建立第一梯队合作关系，中石油数据产品可快速完成合规认证上架，形成"数据提供方+技术平台方+交易枢纽方"三方分成模式，实现可持续商业化变现。</w:t>
      </w:r>
    </w:p>
    <w:p>
      <w:pPr>
        <w:jc w:val="left"/>
      </w:pPr>
      <w:r>
        <w:rPr>
          <w:rFonts w:ascii="黑体" w:hAnsi="黑体" w:eastAsia="黑体"/>
          <w:b/>
          <w:sz w:val="28"/>
        </w:rPr>
        <w:t>1.3 推荐首批数据产品（P0级）</w:t>
      </w:r>
    </w:p>
    <w:p>
      <w:r>
        <w:rPr>
          <w:rFonts w:ascii="宋体" w:hAnsi="宋体" w:eastAsia="宋体"/>
          <w:b w:val="0"/>
          <w:sz w:val="24"/>
        </w:rPr>
        <w:t>【P0-1】城燃用气预测数据产品：数据来源为中石油天然气销售域的城燃客户用气数据和管道SCADA实时数据，产品形态为API调用+月度预测报告，目标客户为各城燃公司和天然气管网公司。朗新将已验证的电力负荷预测AI能力（准确率90%）迁移至城燃用气场景，实现居民和工业用气需求预测，支撑天然气采购与管网调度优化。</w:t>
      </w:r>
    </w:p>
    <w:p>
      <w:r>
        <w:rPr>
          <w:rFonts w:ascii="宋体" w:hAnsi="宋体" w:eastAsia="宋体"/>
          <w:b w:val="0"/>
          <w:sz w:val="24"/>
        </w:rPr>
        <w:t>【P0-2】危化品运输轨迹数据产品：数据来源为中石油运输物流域的全国危化品运输车辆轨迹数据，产品形态为实时数据流订阅+查询API，目标客户为物流平台公司和保险公司。朗新结合充电桩网络数据和轨迹分析能力，提供车队充换电需求预测和驾驶安全评估服务。</w:t>
      </w:r>
    </w:p>
    <w:p>
      <w:pPr>
        <w:jc w:val="left"/>
      </w:pPr>
      <w:r>
        <w:rPr>
          <w:rFonts w:ascii="黑体" w:hAnsi="黑体" w:eastAsia="黑体"/>
          <w:b/>
          <w:sz w:val="28"/>
        </w:rPr>
        <w:t>1.4 合作路径建议</w:t>
      </w:r>
    </w:p>
    <w:p>
      <w:r>
        <w:rPr>
          <w:rFonts w:ascii="宋体" w:hAnsi="宋体" w:eastAsia="宋体"/>
          <w:b w:val="0"/>
          <w:sz w:val="24"/>
        </w:rPr>
        <w:t>建议分三阶段推进：阶段一（1-3个月）完成试点验证，选择1-2个数据产品场景开展三方联合试点；阶段二（3-6个月）实现首批产品正式上架北数所，开展首批客户推广；阶段三（6-12个月）完成产品矩阵规模化推广，目标是年合同金额500-2000万元。</w:t>
      </w:r>
    </w:p>
    <w:p>
      <w:r>
        <w:br w:type="page"/>
      </w:r>
    </w:p>
    <w:p>
      <w:pPr>
        <w:jc w:val="left"/>
      </w:pPr>
      <w:r>
        <w:rPr>
          <w:rFonts w:ascii="黑体" w:hAnsi="黑体" w:eastAsia="黑体"/>
          <w:b/>
          <w:sz w:val="30"/>
        </w:rPr>
        <w:t>第二章  中石油数据资源全景</w:t>
      </w:r>
    </w:p>
    <w:p>
      <w:pPr>
        <w:jc w:val="left"/>
      </w:pPr>
      <w:r>
        <w:rPr>
          <w:rFonts w:ascii="黑体" w:hAnsi="黑体" w:eastAsia="黑体"/>
          <w:b/>
          <w:sz w:val="28"/>
        </w:rPr>
        <w:t>2.1  12个L1主题域总览</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04"/>
        <w:gridCol w:w="1504"/>
        <w:gridCol w:w="1504"/>
        <w:gridCol w:w="1504"/>
        <w:gridCol w:w="1504"/>
        <w:gridCol w:w="1504"/>
      </w:tblGrid>
      <w:tr>
        <w:tc>
          <w:tcPr>
            <w:tcW w:type="dxa" w:w="1504"/>
            <w:shd w:fill="D9E2F3"/>
          </w:tcPr>
          <w:p>
            <w:pPr>
              <w:jc w:val="center"/>
            </w:pPr>
            <w:r/>
            <w:r>
              <w:rPr>
                <w:rFonts w:ascii="宋体" w:hAnsi="宋体" w:eastAsia="宋体"/>
                <w:b/>
                <w:sz w:val="20"/>
              </w:rPr>
              <w:t>序号</w:t>
            </w:r>
          </w:p>
        </w:tc>
        <w:tc>
          <w:tcPr>
            <w:tcW w:type="dxa" w:w="1504"/>
            <w:shd w:fill="D9E2F3"/>
          </w:tcPr>
          <w:p>
            <w:pPr>
              <w:jc w:val="center"/>
            </w:pPr>
            <w:r/>
            <w:r>
              <w:rPr>
                <w:rFonts w:ascii="宋体" w:hAnsi="宋体" w:eastAsia="宋体"/>
                <w:b/>
                <w:sz w:val="20"/>
              </w:rPr>
              <w:t>L1主题域</w:t>
            </w:r>
          </w:p>
        </w:tc>
        <w:tc>
          <w:tcPr>
            <w:tcW w:type="dxa" w:w="1504"/>
            <w:shd w:fill="D9E2F3"/>
          </w:tcPr>
          <w:p>
            <w:pPr>
              <w:jc w:val="center"/>
            </w:pPr>
            <w:r/>
            <w:r>
              <w:rPr>
                <w:rFonts w:ascii="宋体" w:hAnsi="宋体" w:eastAsia="宋体"/>
                <w:b/>
                <w:sz w:val="20"/>
              </w:rPr>
              <w:t>L2数量</w:t>
            </w:r>
          </w:p>
        </w:tc>
        <w:tc>
          <w:tcPr>
            <w:tcW w:type="dxa" w:w="1504"/>
            <w:shd w:fill="D9E2F3"/>
          </w:tcPr>
          <w:p>
            <w:pPr>
              <w:jc w:val="center"/>
            </w:pPr>
            <w:r/>
            <w:r>
              <w:rPr>
                <w:rFonts w:ascii="宋体" w:hAnsi="宋体" w:eastAsia="宋体"/>
                <w:b/>
                <w:sz w:val="20"/>
              </w:rPr>
              <w:t>数据体量</w:t>
            </w:r>
          </w:p>
        </w:tc>
        <w:tc>
          <w:tcPr>
            <w:tcW w:type="dxa" w:w="1504"/>
            <w:shd w:fill="D9E2F3"/>
          </w:tcPr>
          <w:p>
            <w:pPr>
              <w:jc w:val="center"/>
            </w:pPr>
            <w:r/>
            <w:r>
              <w:rPr>
                <w:rFonts w:ascii="宋体" w:hAnsi="宋体" w:eastAsia="宋体"/>
                <w:b/>
                <w:sz w:val="20"/>
              </w:rPr>
              <w:t>商业化潜力</w:t>
            </w:r>
          </w:p>
        </w:tc>
        <w:tc>
          <w:tcPr>
            <w:tcW w:type="dxa" w:w="1504"/>
            <w:shd w:fill="D9E2F3"/>
          </w:tcPr>
          <w:p>
            <w:pPr>
              <w:jc w:val="center"/>
            </w:pPr>
            <w:r/>
            <w:r>
              <w:rPr>
                <w:rFonts w:ascii="宋体" w:hAnsi="宋体" w:eastAsia="宋体"/>
                <w:b/>
                <w:sz w:val="20"/>
              </w:rPr>
              <w:t>朗新契合度</w:t>
            </w:r>
          </w:p>
        </w:tc>
      </w:tr>
      <w:tr>
        <w:tc>
          <w:tcPr>
            <w:tcW w:type="dxa" w:w="1504"/>
          </w:tcPr>
          <w:p>
            <w:pPr>
              <w:jc w:val="center"/>
            </w:pPr>
            <w:r/>
            <w:r>
              <w:rPr>
                <w:rFonts w:ascii="宋体" w:hAnsi="宋体" w:eastAsia="宋体"/>
                <w:b w:val="0"/>
                <w:sz w:val="20"/>
              </w:rPr>
              <w:t>1</w:t>
            </w:r>
          </w:p>
        </w:tc>
        <w:tc>
          <w:tcPr>
            <w:tcW w:type="dxa" w:w="1504"/>
          </w:tcPr>
          <w:p>
            <w:pPr>
              <w:jc w:val="center"/>
            </w:pPr>
            <w:r/>
            <w:r>
              <w:rPr>
                <w:rFonts w:ascii="宋体" w:hAnsi="宋体" w:eastAsia="宋体"/>
                <w:b w:val="0"/>
                <w:sz w:val="20"/>
              </w:rPr>
              <w:t>工程项目管理</w:t>
            </w:r>
          </w:p>
        </w:tc>
        <w:tc>
          <w:tcPr>
            <w:tcW w:type="dxa" w:w="1504"/>
          </w:tcPr>
          <w:p>
            <w:pPr>
              <w:jc w:val="center"/>
            </w:pPr>
            <w:r/>
            <w:r>
              <w:rPr>
                <w:rFonts w:ascii="宋体" w:hAnsi="宋体" w:eastAsia="宋体"/>
                <w:b w:val="0"/>
                <w:sz w:val="20"/>
              </w:rPr>
              <w:t>约20个</w:t>
            </w:r>
          </w:p>
        </w:tc>
        <w:tc>
          <w:tcPr>
            <w:tcW w:type="dxa" w:w="1504"/>
          </w:tcPr>
          <w:p>
            <w:pPr>
              <w:jc w:val="center"/>
            </w:pPr>
            <w:r/>
            <w:r>
              <w:rPr>
                <w:rFonts w:ascii="宋体" w:hAnsi="宋体" w:eastAsia="宋体"/>
                <w:b w:val="0"/>
                <w:sz w:val="20"/>
              </w:rPr>
              <w:t>中</w:t>
            </w:r>
          </w:p>
        </w:tc>
        <w:tc>
          <w:tcPr>
            <w:tcW w:type="dxa" w:w="1504"/>
          </w:tcPr>
          <w:p>
            <w:pPr>
              <w:jc w:val="center"/>
            </w:pPr>
            <w:r/>
            <w:r>
              <w:rPr>
                <w:rFonts w:ascii="宋体" w:hAnsi="宋体" w:eastAsia="宋体"/>
                <w:b w:val="0"/>
                <w:sz w:val="20"/>
              </w:rPr>
              <w:t>中</w:t>
            </w:r>
          </w:p>
        </w:tc>
        <w:tc>
          <w:tcPr>
            <w:tcW w:type="dxa" w:w="1504"/>
          </w:tcPr>
          <w:p>
            <w:pPr>
              <w:jc w:val="center"/>
            </w:pPr>
            <w:r/>
            <w:r>
              <w:rPr>
                <w:rFonts w:ascii="宋体" w:hAnsi="宋体" w:eastAsia="宋体"/>
                <w:b w:val="0"/>
                <w:sz w:val="20"/>
              </w:rPr>
              <w:t>低</w:t>
            </w:r>
          </w:p>
        </w:tc>
      </w:tr>
      <w:tr>
        <w:tc>
          <w:tcPr>
            <w:tcW w:type="dxa" w:w="1504"/>
          </w:tcPr>
          <w:p>
            <w:pPr>
              <w:jc w:val="center"/>
            </w:pPr>
            <w:r/>
            <w:r>
              <w:rPr>
                <w:rFonts w:ascii="宋体" w:hAnsi="宋体" w:eastAsia="宋体"/>
                <w:b w:val="0"/>
                <w:sz w:val="20"/>
              </w:rPr>
              <w:t>2</w:t>
            </w:r>
          </w:p>
        </w:tc>
        <w:tc>
          <w:tcPr>
            <w:tcW w:type="dxa" w:w="1504"/>
          </w:tcPr>
          <w:p>
            <w:pPr>
              <w:jc w:val="center"/>
            </w:pPr>
            <w:r/>
            <w:r>
              <w:rPr>
                <w:rFonts w:ascii="宋体" w:hAnsi="宋体" w:eastAsia="宋体"/>
                <w:b w:val="0"/>
                <w:sz w:val="20"/>
              </w:rPr>
              <w:t>油气新能源</w:t>
            </w:r>
          </w:p>
        </w:tc>
        <w:tc>
          <w:tcPr>
            <w:tcW w:type="dxa" w:w="1504"/>
          </w:tcPr>
          <w:p>
            <w:pPr>
              <w:jc w:val="center"/>
            </w:pPr>
            <w:r/>
            <w:r>
              <w:rPr>
                <w:rFonts w:ascii="宋体" w:hAnsi="宋体" w:eastAsia="宋体"/>
                <w:b w:val="0"/>
                <w:sz w:val="20"/>
              </w:rPr>
              <w:t>约10个</w:t>
            </w:r>
          </w:p>
        </w:tc>
        <w:tc>
          <w:tcPr>
            <w:tcW w:type="dxa" w:w="1504"/>
          </w:tcPr>
          <w:p>
            <w:pPr>
              <w:jc w:val="center"/>
            </w:pPr>
            <w:r/>
            <w:r>
              <w:rPr>
                <w:rFonts w:ascii="宋体" w:hAnsi="宋体" w:eastAsia="宋体"/>
                <w:b w:val="0"/>
                <w:sz w:val="20"/>
              </w:rPr>
              <w:t>极大</w:t>
            </w:r>
          </w:p>
        </w:tc>
        <w:tc>
          <w:tcPr>
            <w:tcW w:type="dxa" w:w="1504"/>
          </w:tcPr>
          <w:p>
            <w:pPr>
              <w:jc w:val="center"/>
            </w:pPr>
            <w:r/>
            <w:r>
              <w:rPr>
                <w:rFonts w:ascii="宋体" w:hAnsi="宋体" w:eastAsia="宋体"/>
                <w:b w:val="0"/>
                <w:sz w:val="20"/>
              </w:rPr>
              <w:t>极高</w:t>
            </w:r>
          </w:p>
        </w:tc>
        <w:tc>
          <w:tcPr>
            <w:tcW w:type="dxa" w:w="1504"/>
          </w:tcPr>
          <w:p>
            <w:pPr>
              <w:jc w:val="center"/>
            </w:pPr>
            <w:r/>
            <w:r>
              <w:rPr>
                <w:rFonts w:ascii="宋体" w:hAnsi="宋体" w:eastAsia="宋体"/>
                <w:b w:val="0"/>
                <w:sz w:val="20"/>
              </w:rPr>
              <w:t>⭐⭐⭐⭐⭐</w:t>
            </w:r>
          </w:p>
        </w:tc>
      </w:tr>
      <w:tr>
        <w:tc>
          <w:tcPr>
            <w:tcW w:type="dxa" w:w="1504"/>
          </w:tcPr>
          <w:p>
            <w:pPr>
              <w:jc w:val="center"/>
            </w:pPr>
            <w:r/>
            <w:r>
              <w:rPr>
                <w:rFonts w:ascii="宋体" w:hAnsi="宋体" w:eastAsia="宋体"/>
                <w:b w:val="0"/>
                <w:sz w:val="20"/>
              </w:rPr>
              <w:t>3</w:t>
            </w:r>
          </w:p>
        </w:tc>
        <w:tc>
          <w:tcPr>
            <w:tcW w:type="dxa" w:w="1504"/>
          </w:tcPr>
          <w:p>
            <w:pPr>
              <w:jc w:val="center"/>
            </w:pPr>
            <w:r/>
            <w:r>
              <w:rPr>
                <w:rFonts w:ascii="宋体" w:hAnsi="宋体" w:eastAsia="宋体"/>
                <w:b w:val="0"/>
                <w:sz w:val="20"/>
              </w:rPr>
              <w:t>天然气销售</w:t>
            </w:r>
          </w:p>
        </w:tc>
        <w:tc>
          <w:tcPr>
            <w:tcW w:type="dxa" w:w="1504"/>
          </w:tcPr>
          <w:p>
            <w:pPr>
              <w:jc w:val="center"/>
            </w:pPr>
            <w:r/>
            <w:r>
              <w:rPr>
                <w:rFonts w:ascii="宋体" w:hAnsi="宋体" w:eastAsia="宋体"/>
                <w:b w:val="0"/>
                <w:sz w:val="20"/>
              </w:rPr>
              <w:t>约10个</w:t>
            </w:r>
          </w:p>
        </w:tc>
        <w:tc>
          <w:tcPr>
            <w:tcW w:type="dxa" w:w="1504"/>
          </w:tcPr>
          <w:p>
            <w:pPr>
              <w:jc w:val="center"/>
            </w:pPr>
            <w:r/>
            <w:r>
              <w:rPr>
                <w:rFonts w:ascii="宋体" w:hAnsi="宋体" w:eastAsia="宋体"/>
                <w:b w:val="0"/>
                <w:sz w:val="20"/>
              </w:rPr>
              <w:t>极大</w:t>
            </w:r>
          </w:p>
        </w:tc>
        <w:tc>
          <w:tcPr>
            <w:tcW w:type="dxa" w:w="1504"/>
          </w:tcPr>
          <w:p>
            <w:pPr>
              <w:jc w:val="center"/>
            </w:pPr>
            <w:r/>
            <w:r>
              <w:rPr>
                <w:rFonts w:ascii="宋体" w:hAnsi="宋体" w:eastAsia="宋体"/>
                <w:b w:val="0"/>
                <w:sz w:val="20"/>
              </w:rPr>
              <w:t>极高</w:t>
            </w:r>
          </w:p>
        </w:tc>
        <w:tc>
          <w:tcPr>
            <w:tcW w:type="dxa" w:w="1504"/>
          </w:tcPr>
          <w:p>
            <w:pPr>
              <w:jc w:val="center"/>
            </w:pPr>
            <w:r/>
            <w:r>
              <w:rPr>
                <w:rFonts w:ascii="宋体" w:hAnsi="宋体" w:eastAsia="宋体"/>
                <w:b w:val="0"/>
                <w:sz w:val="20"/>
              </w:rPr>
              <w:t>⭐⭐⭐⭐⭐</w:t>
            </w:r>
          </w:p>
        </w:tc>
      </w:tr>
      <w:tr>
        <w:tc>
          <w:tcPr>
            <w:tcW w:type="dxa" w:w="1504"/>
          </w:tcPr>
          <w:p>
            <w:pPr>
              <w:jc w:val="center"/>
            </w:pPr>
            <w:r/>
            <w:r>
              <w:rPr>
                <w:rFonts w:ascii="宋体" w:hAnsi="宋体" w:eastAsia="宋体"/>
                <w:b w:val="0"/>
                <w:sz w:val="20"/>
              </w:rPr>
              <w:t>4</w:t>
            </w:r>
          </w:p>
        </w:tc>
        <w:tc>
          <w:tcPr>
            <w:tcW w:type="dxa" w:w="1504"/>
          </w:tcPr>
          <w:p>
            <w:pPr>
              <w:jc w:val="center"/>
            </w:pPr>
            <w:r/>
            <w:r>
              <w:rPr>
                <w:rFonts w:ascii="宋体" w:hAnsi="宋体" w:eastAsia="宋体"/>
                <w:b w:val="0"/>
                <w:sz w:val="20"/>
              </w:rPr>
              <w:t>海外油气业务</w:t>
            </w:r>
          </w:p>
        </w:tc>
        <w:tc>
          <w:tcPr>
            <w:tcW w:type="dxa" w:w="1504"/>
          </w:tcPr>
          <w:p>
            <w:pPr>
              <w:jc w:val="center"/>
            </w:pPr>
            <w:r/>
            <w:r>
              <w:rPr>
                <w:rFonts w:ascii="宋体" w:hAnsi="宋体" w:eastAsia="宋体"/>
                <w:b w:val="0"/>
                <w:sz w:val="20"/>
              </w:rPr>
              <w:t>约10个</w:t>
            </w:r>
          </w:p>
        </w:tc>
        <w:tc>
          <w:tcPr>
            <w:tcW w:type="dxa" w:w="1504"/>
          </w:tcPr>
          <w:p>
            <w:pPr>
              <w:jc w:val="center"/>
            </w:pPr>
            <w:r/>
            <w:r>
              <w:rPr>
                <w:rFonts w:ascii="宋体" w:hAnsi="宋体" w:eastAsia="宋体"/>
                <w:b w:val="0"/>
                <w:sz w:val="20"/>
              </w:rPr>
              <w:t>大</w:t>
            </w:r>
          </w:p>
        </w:tc>
        <w:tc>
          <w:tcPr>
            <w:tcW w:type="dxa" w:w="1504"/>
          </w:tcPr>
          <w:p>
            <w:pPr>
              <w:jc w:val="center"/>
            </w:pPr>
            <w:r/>
            <w:r>
              <w:rPr>
                <w:rFonts w:ascii="宋体" w:hAnsi="宋体" w:eastAsia="宋体"/>
                <w:b w:val="0"/>
                <w:sz w:val="20"/>
              </w:rPr>
              <w:t>中</w:t>
            </w:r>
          </w:p>
        </w:tc>
        <w:tc>
          <w:tcPr>
            <w:tcW w:type="dxa" w:w="1504"/>
          </w:tcPr>
          <w:p>
            <w:pPr>
              <w:jc w:val="center"/>
            </w:pPr>
            <w:r/>
            <w:r>
              <w:rPr>
                <w:rFonts w:ascii="宋体" w:hAnsi="宋体" w:eastAsia="宋体"/>
                <w:b w:val="0"/>
                <w:sz w:val="20"/>
              </w:rPr>
              <w:t>低</w:t>
            </w:r>
          </w:p>
        </w:tc>
      </w:tr>
      <w:tr>
        <w:tc>
          <w:tcPr>
            <w:tcW w:type="dxa" w:w="1504"/>
          </w:tcPr>
          <w:p>
            <w:pPr>
              <w:jc w:val="center"/>
            </w:pPr>
            <w:r/>
            <w:r>
              <w:rPr>
                <w:rFonts w:ascii="宋体" w:hAnsi="宋体" w:eastAsia="宋体"/>
                <w:b w:val="0"/>
                <w:sz w:val="20"/>
              </w:rPr>
              <w:t>5</w:t>
            </w:r>
          </w:p>
        </w:tc>
        <w:tc>
          <w:tcPr>
            <w:tcW w:type="dxa" w:w="1504"/>
          </w:tcPr>
          <w:p>
            <w:pPr>
              <w:jc w:val="center"/>
            </w:pPr>
            <w:r/>
            <w:r>
              <w:rPr>
                <w:rFonts w:ascii="宋体" w:hAnsi="宋体" w:eastAsia="宋体"/>
                <w:b w:val="0"/>
                <w:sz w:val="20"/>
              </w:rPr>
              <w:t>油田技术服务</w:t>
            </w:r>
          </w:p>
        </w:tc>
        <w:tc>
          <w:tcPr>
            <w:tcW w:type="dxa" w:w="1504"/>
          </w:tcPr>
          <w:p>
            <w:pPr>
              <w:jc w:val="center"/>
            </w:pPr>
            <w:r/>
            <w:r>
              <w:rPr>
                <w:rFonts w:ascii="宋体" w:hAnsi="宋体" w:eastAsia="宋体"/>
                <w:b w:val="0"/>
                <w:sz w:val="20"/>
              </w:rPr>
              <w:t>约8个</w:t>
            </w:r>
          </w:p>
        </w:tc>
        <w:tc>
          <w:tcPr>
            <w:tcW w:type="dxa" w:w="1504"/>
          </w:tcPr>
          <w:p>
            <w:pPr>
              <w:jc w:val="center"/>
            </w:pPr>
            <w:r/>
            <w:r>
              <w:rPr>
                <w:rFonts w:ascii="宋体" w:hAnsi="宋体" w:eastAsia="宋体"/>
                <w:b w:val="0"/>
                <w:sz w:val="20"/>
              </w:rPr>
              <w:t>大</w:t>
            </w:r>
          </w:p>
        </w:tc>
        <w:tc>
          <w:tcPr>
            <w:tcW w:type="dxa" w:w="1504"/>
          </w:tcPr>
          <w:p>
            <w:pPr>
              <w:jc w:val="center"/>
            </w:pPr>
            <w:r/>
            <w:r>
              <w:rPr>
                <w:rFonts w:ascii="宋体" w:hAnsi="宋体" w:eastAsia="宋体"/>
                <w:b w:val="0"/>
                <w:sz w:val="20"/>
              </w:rPr>
              <w:t>高</w:t>
            </w:r>
          </w:p>
        </w:tc>
        <w:tc>
          <w:tcPr>
            <w:tcW w:type="dxa" w:w="1504"/>
          </w:tcPr>
          <w:p>
            <w:pPr>
              <w:jc w:val="center"/>
            </w:pPr>
            <w:r/>
            <w:r>
              <w:rPr>
                <w:rFonts w:ascii="宋体" w:hAnsi="宋体" w:eastAsia="宋体"/>
                <w:b w:val="0"/>
                <w:sz w:val="20"/>
              </w:rPr>
              <w:t>⭐⭐⭐⭐</w:t>
            </w:r>
          </w:p>
        </w:tc>
      </w:tr>
      <w:tr>
        <w:tc>
          <w:tcPr>
            <w:tcW w:type="dxa" w:w="1504"/>
          </w:tcPr>
          <w:p>
            <w:pPr>
              <w:jc w:val="center"/>
            </w:pPr>
            <w:r/>
            <w:r>
              <w:rPr>
                <w:rFonts w:ascii="宋体" w:hAnsi="宋体" w:eastAsia="宋体"/>
                <w:b w:val="0"/>
                <w:sz w:val="20"/>
              </w:rPr>
              <w:t>6</w:t>
            </w:r>
          </w:p>
        </w:tc>
        <w:tc>
          <w:tcPr>
            <w:tcW w:type="dxa" w:w="1504"/>
          </w:tcPr>
          <w:p>
            <w:pPr>
              <w:jc w:val="center"/>
            </w:pPr>
            <w:r/>
            <w:r>
              <w:rPr>
                <w:rFonts w:ascii="宋体" w:hAnsi="宋体" w:eastAsia="宋体"/>
                <w:b w:val="0"/>
                <w:sz w:val="20"/>
              </w:rPr>
              <w:t>炼化新材料</w:t>
            </w:r>
          </w:p>
        </w:tc>
        <w:tc>
          <w:tcPr>
            <w:tcW w:type="dxa" w:w="1504"/>
          </w:tcPr>
          <w:p>
            <w:pPr>
              <w:jc w:val="center"/>
            </w:pPr>
            <w:r/>
            <w:r>
              <w:rPr>
                <w:rFonts w:ascii="宋体" w:hAnsi="宋体" w:eastAsia="宋体"/>
                <w:b w:val="0"/>
                <w:sz w:val="20"/>
              </w:rPr>
              <w:t>约12个</w:t>
            </w:r>
          </w:p>
        </w:tc>
        <w:tc>
          <w:tcPr>
            <w:tcW w:type="dxa" w:w="1504"/>
          </w:tcPr>
          <w:p>
            <w:pPr>
              <w:jc w:val="center"/>
            </w:pPr>
            <w:r/>
            <w:r>
              <w:rPr>
                <w:rFonts w:ascii="宋体" w:hAnsi="宋体" w:eastAsia="宋体"/>
                <w:b w:val="0"/>
                <w:sz w:val="20"/>
              </w:rPr>
              <w:t>大</w:t>
            </w:r>
          </w:p>
        </w:tc>
        <w:tc>
          <w:tcPr>
            <w:tcW w:type="dxa" w:w="1504"/>
          </w:tcPr>
          <w:p>
            <w:pPr>
              <w:jc w:val="center"/>
            </w:pPr>
            <w:r/>
            <w:r>
              <w:rPr>
                <w:rFonts w:ascii="宋体" w:hAnsi="宋体" w:eastAsia="宋体"/>
                <w:b w:val="0"/>
                <w:sz w:val="20"/>
              </w:rPr>
              <w:t>高</w:t>
            </w:r>
          </w:p>
        </w:tc>
        <w:tc>
          <w:tcPr>
            <w:tcW w:type="dxa" w:w="1504"/>
          </w:tcPr>
          <w:p>
            <w:pPr>
              <w:jc w:val="center"/>
            </w:pPr>
            <w:r/>
            <w:r>
              <w:rPr>
                <w:rFonts w:ascii="宋体" w:hAnsi="宋体" w:eastAsia="宋体"/>
                <w:b w:val="0"/>
                <w:sz w:val="20"/>
              </w:rPr>
              <w:t>⭐⭐⭐⭐</w:t>
            </w:r>
          </w:p>
        </w:tc>
      </w:tr>
      <w:tr>
        <w:tc>
          <w:tcPr>
            <w:tcW w:type="dxa" w:w="1504"/>
          </w:tcPr>
          <w:p>
            <w:pPr>
              <w:jc w:val="center"/>
            </w:pPr>
            <w:r/>
            <w:r>
              <w:rPr>
                <w:rFonts w:ascii="宋体" w:hAnsi="宋体" w:eastAsia="宋体"/>
                <w:b w:val="0"/>
                <w:sz w:val="20"/>
              </w:rPr>
              <w:t>7</w:t>
            </w:r>
          </w:p>
        </w:tc>
        <w:tc>
          <w:tcPr>
            <w:tcW w:type="dxa" w:w="1504"/>
          </w:tcPr>
          <w:p>
            <w:pPr>
              <w:jc w:val="center"/>
            </w:pPr>
            <w:r/>
            <w:r>
              <w:rPr>
                <w:rFonts w:ascii="宋体" w:hAnsi="宋体" w:eastAsia="宋体"/>
                <w:b w:val="0"/>
                <w:sz w:val="20"/>
              </w:rPr>
              <w:t>销售</w:t>
            </w:r>
          </w:p>
        </w:tc>
        <w:tc>
          <w:tcPr>
            <w:tcW w:type="dxa" w:w="1504"/>
          </w:tcPr>
          <w:p>
            <w:pPr>
              <w:jc w:val="center"/>
            </w:pPr>
            <w:r/>
            <w:r>
              <w:rPr>
                <w:rFonts w:ascii="宋体" w:hAnsi="宋体" w:eastAsia="宋体"/>
                <w:b w:val="0"/>
                <w:sz w:val="20"/>
              </w:rPr>
              <w:t>约8个</w:t>
            </w:r>
          </w:p>
        </w:tc>
        <w:tc>
          <w:tcPr>
            <w:tcW w:type="dxa" w:w="1504"/>
          </w:tcPr>
          <w:p>
            <w:pPr>
              <w:jc w:val="center"/>
            </w:pPr>
            <w:r/>
            <w:r>
              <w:rPr>
                <w:rFonts w:ascii="宋体" w:hAnsi="宋体" w:eastAsia="宋体"/>
                <w:b w:val="0"/>
                <w:sz w:val="20"/>
              </w:rPr>
              <w:t>极大</w:t>
            </w:r>
          </w:p>
        </w:tc>
        <w:tc>
          <w:tcPr>
            <w:tcW w:type="dxa" w:w="1504"/>
          </w:tcPr>
          <w:p>
            <w:pPr>
              <w:jc w:val="center"/>
            </w:pPr>
            <w:r/>
            <w:r>
              <w:rPr>
                <w:rFonts w:ascii="宋体" w:hAnsi="宋体" w:eastAsia="宋体"/>
                <w:b w:val="0"/>
                <w:sz w:val="20"/>
              </w:rPr>
              <w:t>高</w:t>
            </w:r>
          </w:p>
        </w:tc>
        <w:tc>
          <w:tcPr>
            <w:tcW w:type="dxa" w:w="1504"/>
          </w:tcPr>
          <w:p>
            <w:pPr>
              <w:jc w:val="center"/>
            </w:pPr>
            <w:r/>
            <w:r>
              <w:rPr>
                <w:rFonts w:ascii="宋体" w:hAnsi="宋体" w:eastAsia="宋体"/>
                <w:b w:val="0"/>
                <w:sz w:val="20"/>
              </w:rPr>
              <w:t>⭐⭐⭐</w:t>
            </w:r>
          </w:p>
        </w:tc>
      </w:tr>
      <w:tr>
        <w:tc>
          <w:tcPr>
            <w:tcW w:type="dxa" w:w="1504"/>
          </w:tcPr>
          <w:p>
            <w:pPr>
              <w:jc w:val="center"/>
            </w:pPr>
            <w:r/>
            <w:r>
              <w:rPr>
                <w:rFonts w:ascii="宋体" w:hAnsi="宋体" w:eastAsia="宋体"/>
                <w:b w:val="0"/>
                <w:sz w:val="20"/>
              </w:rPr>
              <w:t>8</w:t>
            </w:r>
          </w:p>
        </w:tc>
        <w:tc>
          <w:tcPr>
            <w:tcW w:type="dxa" w:w="1504"/>
          </w:tcPr>
          <w:p>
            <w:pPr>
              <w:jc w:val="center"/>
            </w:pPr>
            <w:r/>
            <w:r>
              <w:rPr>
                <w:rFonts w:ascii="宋体" w:hAnsi="宋体" w:eastAsia="宋体"/>
                <w:b w:val="0"/>
                <w:sz w:val="20"/>
              </w:rPr>
              <w:t>国际贸易</w:t>
            </w:r>
          </w:p>
        </w:tc>
        <w:tc>
          <w:tcPr>
            <w:tcW w:type="dxa" w:w="1504"/>
          </w:tcPr>
          <w:p>
            <w:pPr>
              <w:jc w:val="center"/>
            </w:pPr>
            <w:r/>
            <w:r>
              <w:rPr>
                <w:rFonts w:ascii="宋体" w:hAnsi="宋体" w:eastAsia="宋体"/>
                <w:b w:val="0"/>
                <w:sz w:val="20"/>
              </w:rPr>
              <w:t>约4个</w:t>
            </w:r>
          </w:p>
        </w:tc>
        <w:tc>
          <w:tcPr>
            <w:tcW w:type="dxa" w:w="1504"/>
          </w:tcPr>
          <w:p>
            <w:pPr>
              <w:jc w:val="center"/>
            </w:pPr>
            <w:r/>
            <w:r>
              <w:rPr>
                <w:rFonts w:ascii="宋体" w:hAnsi="宋体" w:eastAsia="宋体"/>
                <w:b w:val="0"/>
                <w:sz w:val="20"/>
              </w:rPr>
              <w:t>中</w:t>
            </w:r>
          </w:p>
        </w:tc>
        <w:tc>
          <w:tcPr>
            <w:tcW w:type="dxa" w:w="1504"/>
          </w:tcPr>
          <w:p>
            <w:pPr>
              <w:jc w:val="center"/>
            </w:pPr>
            <w:r/>
            <w:r>
              <w:rPr>
                <w:rFonts w:ascii="宋体" w:hAnsi="宋体" w:eastAsia="宋体"/>
                <w:b w:val="0"/>
                <w:sz w:val="20"/>
              </w:rPr>
              <w:t>中</w:t>
            </w:r>
          </w:p>
        </w:tc>
        <w:tc>
          <w:tcPr>
            <w:tcW w:type="dxa" w:w="1504"/>
          </w:tcPr>
          <w:p>
            <w:pPr>
              <w:jc w:val="center"/>
            </w:pPr>
            <w:r/>
            <w:r>
              <w:rPr>
                <w:rFonts w:ascii="宋体" w:hAnsi="宋体" w:eastAsia="宋体"/>
                <w:b w:val="0"/>
                <w:sz w:val="20"/>
              </w:rPr>
              <w:t>低</w:t>
            </w:r>
          </w:p>
        </w:tc>
      </w:tr>
      <w:tr>
        <w:tc>
          <w:tcPr>
            <w:tcW w:type="dxa" w:w="1504"/>
          </w:tcPr>
          <w:p>
            <w:pPr>
              <w:jc w:val="center"/>
            </w:pPr>
            <w:r/>
            <w:r>
              <w:rPr>
                <w:rFonts w:ascii="宋体" w:hAnsi="宋体" w:eastAsia="宋体"/>
                <w:b w:val="0"/>
                <w:sz w:val="20"/>
              </w:rPr>
              <w:t>9</w:t>
            </w:r>
          </w:p>
        </w:tc>
        <w:tc>
          <w:tcPr>
            <w:tcW w:type="dxa" w:w="1504"/>
          </w:tcPr>
          <w:p>
            <w:pPr>
              <w:jc w:val="center"/>
            </w:pPr>
            <w:r/>
            <w:r>
              <w:rPr>
                <w:rFonts w:ascii="宋体" w:hAnsi="宋体" w:eastAsia="宋体"/>
                <w:b w:val="0"/>
                <w:sz w:val="20"/>
              </w:rPr>
              <w:t>装备制造</w:t>
            </w:r>
          </w:p>
        </w:tc>
        <w:tc>
          <w:tcPr>
            <w:tcW w:type="dxa" w:w="1504"/>
          </w:tcPr>
          <w:p>
            <w:pPr>
              <w:jc w:val="center"/>
            </w:pPr>
            <w:r/>
            <w:r>
              <w:rPr>
                <w:rFonts w:ascii="宋体" w:hAnsi="宋体" w:eastAsia="宋体"/>
                <w:b w:val="0"/>
                <w:sz w:val="20"/>
              </w:rPr>
              <w:t>约10个</w:t>
            </w:r>
          </w:p>
        </w:tc>
        <w:tc>
          <w:tcPr>
            <w:tcW w:type="dxa" w:w="1504"/>
          </w:tcPr>
          <w:p>
            <w:pPr>
              <w:jc w:val="center"/>
            </w:pPr>
            <w:r/>
            <w:r>
              <w:rPr>
                <w:rFonts w:ascii="宋体" w:hAnsi="宋体" w:eastAsia="宋体"/>
                <w:b w:val="0"/>
                <w:sz w:val="20"/>
              </w:rPr>
              <w:t>中</w:t>
            </w:r>
          </w:p>
        </w:tc>
        <w:tc>
          <w:tcPr>
            <w:tcW w:type="dxa" w:w="1504"/>
          </w:tcPr>
          <w:p>
            <w:pPr>
              <w:jc w:val="center"/>
            </w:pPr>
            <w:r/>
            <w:r>
              <w:rPr>
                <w:rFonts w:ascii="宋体" w:hAnsi="宋体" w:eastAsia="宋体"/>
                <w:b w:val="0"/>
                <w:sz w:val="20"/>
              </w:rPr>
              <w:t>中</w:t>
            </w:r>
          </w:p>
        </w:tc>
        <w:tc>
          <w:tcPr>
            <w:tcW w:type="dxa" w:w="1504"/>
          </w:tcPr>
          <w:p>
            <w:pPr>
              <w:jc w:val="center"/>
            </w:pPr>
            <w:r/>
            <w:r>
              <w:rPr>
                <w:rFonts w:ascii="宋体" w:hAnsi="宋体" w:eastAsia="宋体"/>
                <w:b w:val="0"/>
                <w:sz w:val="20"/>
              </w:rPr>
              <w:t>低</w:t>
            </w:r>
          </w:p>
        </w:tc>
      </w:tr>
      <w:tr>
        <w:tc>
          <w:tcPr>
            <w:tcW w:type="dxa" w:w="1504"/>
          </w:tcPr>
          <w:p>
            <w:pPr>
              <w:jc w:val="center"/>
            </w:pPr>
            <w:r/>
            <w:r>
              <w:rPr>
                <w:rFonts w:ascii="宋体" w:hAnsi="宋体" w:eastAsia="宋体"/>
                <w:b w:val="0"/>
                <w:sz w:val="20"/>
              </w:rPr>
              <w:t>10</w:t>
            </w:r>
          </w:p>
        </w:tc>
        <w:tc>
          <w:tcPr>
            <w:tcW w:type="dxa" w:w="1504"/>
          </w:tcPr>
          <w:p>
            <w:pPr>
              <w:jc w:val="center"/>
            </w:pPr>
            <w:r/>
            <w:r>
              <w:rPr>
                <w:rFonts w:ascii="宋体" w:hAnsi="宋体" w:eastAsia="宋体"/>
                <w:b w:val="0"/>
                <w:sz w:val="20"/>
              </w:rPr>
              <w:t>金融</w:t>
            </w:r>
          </w:p>
        </w:tc>
        <w:tc>
          <w:tcPr>
            <w:tcW w:type="dxa" w:w="1504"/>
          </w:tcPr>
          <w:p>
            <w:pPr>
              <w:jc w:val="center"/>
            </w:pPr>
            <w:r/>
            <w:r>
              <w:rPr>
                <w:rFonts w:ascii="宋体" w:hAnsi="宋体" w:eastAsia="宋体"/>
                <w:b w:val="0"/>
                <w:sz w:val="20"/>
              </w:rPr>
              <w:t>约8个</w:t>
            </w:r>
          </w:p>
        </w:tc>
        <w:tc>
          <w:tcPr>
            <w:tcW w:type="dxa" w:w="1504"/>
          </w:tcPr>
          <w:p>
            <w:pPr>
              <w:jc w:val="center"/>
            </w:pPr>
            <w:r/>
            <w:r>
              <w:rPr>
                <w:rFonts w:ascii="宋体" w:hAnsi="宋体" w:eastAsia="宋体"/>
                <w:b w:val="0"/>
                <w:sz w:val="20"/>
              </w:rPr>
              <w:t>中</w:t>
            </w:r>
          </w:p>
        </w:tc>
        <w:tc>
          <w:tcPr>
            <w:tcW w:type="dxa" w:w="1504"/>
          </w:tcPr>
          <w:p>
            <w:pPr>
              <w:jc w:val="center"/>
            </w:pPr>
            <w:r/>
            <w:r>
              <w:rPr>
                <w:rFonts w:ascii="宋体" w:hAnsi="宋体" w:eastAsia="宋体"/>
                <w:b w:val="0"/>
                <w:sz w:val="20"/>
              </w:rPr>
              <w:t>低</w:t>
            </w:r>
          </w:p>
        </w:tc>
        <w:tc>
          <w:tcPr>
            <w:tcW w:type="dxa" w:w="1504"/>
          </w:tcPr>
          <w:p>
            <w:pPr>
              <w:jc w:val="center"/>
            </w:pPr>
            <w:r/>
            <w:r>
              <w:rPr>
                <w:rFonts w:ascii="宋体" w:hAnsi="宋体" w:eastAsia="宋体"/>
                <w:b w:val="0"/>
                <w:sz w:val="20"/>
              </w:rPr>
              <w:t>低</w:t>
            </w:r>
          </w:p>
        </w:tc>
      </w:tr>
      <w:tr>
        <w:tc>
          <w:tcPr>
            <w:tcW w:type="dxa" w:w="1504"/>
          </w:tcPr>
          <w:p>
            <w:pPr>
              <w:jc w:val="center"/>
            </w:pPr>
            <w:r/>
            <w:r>
              <w:rPr>
                <w:rFonts w:ascii="宋体" w:hAnsi="宋体" w:eastAsia="宋体"/>
                <w:b w:val="0"/>
                <w:sz w:val="20"/>
              </w:rPr>
              <w:t>11</w:t>
            </w:r>
          </w:p>
        </w:tc>
        <w:tc>
          <w:tcPr>
            <w:tcW w:type="dxa" w:w="1504"/>
          </w:tcPr>
          <w:p>
            <w:pPr>
              <w:jc w:val="center"/>
            </w:pPr>
            <w:r/>
            <w:r>
              <w:rPr>
                <w:rFonts w:ascii="宋体" w:hAnsi="宋体" w:eastAsia="宋体"/>
                <w:b w:val="0"/>
                <w:sz w:val="20"/>
              </w:rPr>
              <w:t>运输物流</w:t>
            </w:r>
          </w:p>
        </w:tc>
        <w:tc>
          <w:tcPr>
            <w:tcW w:type="dxa" w:w="1504"/>
          </w:tcPr>
          <w:p>
            <w:pPr>
              <w:jc w:val="center"/>
            </w:pPr>
            <w:r/>
            <w:r>
              <w:rPr>
                <w:rFonts w:ascii="宋体" w:hAnsi="宋体" w:eastAsia="宋体"/>
                <w:b w:val="0"/>
                <w:sz w:val="20"/>
              </w:rPr>
              <w:t>约10个</w:t>
            </w:r>
          </w:p>
        </w:tc>
        <w:tc>
          <w:tcPr>
            <w:tcW w:type="dxa" w:w="1504"/>
          </w:tcPr>
          <w:p>
            <w:pPr>
              <w:jc w:val="center"/>
            </w:pPr>
            <w:r/>
            <w:r>
              <w:rPr>
                <w:rFonts w:ascii="宋体" w:hAnsi="宋体" w:eastAsia="宋体"/>
                <w:b w:val="0"/>
                <w:sz w:val="20"/>
              </w:rPr>
              <w:t>极大</w:t>
            </w:r>
          </w:p>
        </w:tc>
        <w:tc>
          <w:tcPr>
            <w:tcW w:type="dxa" w:w="1504"/>
          </w:tcPr>
          <w:p>
            <w:pPr>
              <w:jc w:val="center"/>
            </w:pPr>
            <w:r/>
            <w:r>
              <w:rPr>
                <w:rFonts w:ascii="宋体" w:hAnsi="宋体" w:eastAsia="宋体"/>
                <w:b w:val="0"/>
                <w:sz w:val="20"/>
              </w:rPr>
              <w:t>高</w:t>
            </w:r>
          </w:p>
        </w:tc>
        <w:tc>
          <w:tcPr>
            <w:tcW w:type="dxa" w:w="1504"/>
          </w:tcPr>
          <w:p>
            <w:pPr>
              <w:jc w:val="center"/>
            </w:pPr>
            <w:r/>
            <w:r>
              <w:rPr>
                <w:rFonts w:ascii="宋体" w:hAnsi="宋体" w:eastAsia="宋体"/>
                <w:b w:val="0"/>
                <w:sz w:val="20"/>
              </w:rPr>
              <w:t>⭐⭐⭐⭐</w:t>
            </w:r>
          </w:p>
        </w:tc>
      </w:tr>
      <w:tr>
        <w:tc>
          <w:tcPr>
            <w:tcW w:type="dxa" w:w="1504"/>
          </w:tcPr>
          <w:p>
            <w:pPr>
              <w:jc w:val="center"/>
            </w:pPr>
            <w:r/>
            <w:r>
              <w:rPr>
                <w:rFonts w:ascii="宋体" w:hAnsi="宋体" w:eastAsia="宋体"/>
                <w:b w:val="0"/>
                <w:sz w:val="20"/>
              </w:rPr>
              <w:t>12</w:t>
            </w:r>
          </w:p>
        </w:tc>
        <w:tc>
          <w:tcPr>
            <w:tcW w:type="dxa" w:w="1504"/>
          </w:tcPr>
          <w:p>
            <w:pPr>
              <w:jc w:val="center"/>
            </w:pPr>
            <w:r/>
            <w:r>
              <w:rPr>
                <w:rFonts w:ascii="宋体" w:hAnsi="宋体" w:eastAsia="宋体"/>
                <w:b w:val="0"/>
                <w:sz w:val="20"/>
              </w:rPr>
              <w:t>后勤服务</w:t>
            </w:r>
          </w:p>
        </w:tc>
        <w:tc>
          <w:tcPr>
            <w:tcW w:type="dxa" w:w="1504"/>
          </w:tcPr>
          <w:p>
            <w:pPr>
              <w:jc w:val="center"/>
            </w:pPr>
            <w:r/>
            <w:r>
              <w:rPr>
                <w:rFonts w:ascii="宋体" w:hAnsi="宋体" w:eastAsia="宋体"/>
                <w:b w:val="0"/>
                <w:sz w:val="20"/>
              </w:rPr>
              <w:t>约12个</w:t>
            </w:r>
          </w:p>
        </w:tc>
        <w:tc>
          <w:tcPr>
            <w:tcW w:type="dxa" w:w="1504"/>
          </w:tcPr>
          <w:p>
            <w:pPr>
              <w:jc w:val="center"/>
            </w:pPr>
            <w:r/>
            <w:r>
              <w:rPr>
                <w:rFonts w:ascii="宋体" w:hAnsi="宋体" w:eastAsia="宋体"/>
                <w:b w:val="0"/>
                <w:sz w:val="20"/>
              </w:rPr>
              <w:t>小</w:t>
            </w:r>
          </w:p>
        </w:tc>
        <w:tc>
          <w:tcPr>
            <w:tcW w:type="dxa" w:w="1504"/>
          </w:tcPr>
          <w:p>
            <w:pPr>
              <w:jc w:val="center"/>
            </w:pPr>
            <w:r/>
            <w:r>
              <w:rPr>
                <w:rFonts w:ascii="宋体" w:hAnsi="宋体" w:eastAsia="宋体"/>
                <w:b w:val="0"/>
                <w:sz w:val="20"/>
              </w:rPr>
              <w:t>低</w:t>
            </w:r>
          </w:p>
        </w:tc>
        <w:tc>
          <w:tcPr>
            <w:tcW w:type="dxa" w:w="1504"/>
          </w:tcPr>
          <w:p>
            <w:pPr>
              <w:jc w:val="center"/>
            </w:pPr>
            <w:r/>
            <w:r>
              <w:rPr>
                <w:rFonts w:ascii="宋体" w:hAnsi="宋体" w:eastAsia="宋体"/>
                <w:b w:val="0"/>
                <w:sz w:val="20"/>
              </w:rPr>
              <w:t>低</w:t>
            </w:r>
          </w:p>
        </w:tc>
      </w:tr>
    </w:tbl>
    <w:p>
      <w:pPr>
        <w:jc w:val="center"/>
      </w:pPr>
      <w:r>
        <w:rPr>
          <w:rFonts w:ascii="宋体" w:hAnsi="宋体" w:eastAsia="宋体"/>
          <w:b w:val="0"/>
          <w:sz w:val="20"/>
        </w:rPr>
        <w:t>表2-1 中石油12个L1主题域概览</w:t>
      </w:r>
    </w:p>
    <w:p>
      <w:pPr>
        <w:jc w:val="left"/>
      </w:pPr>
      <w:r>
        <w:rPr>
          <w:rFonts w:ascii="黑体" w:hAnsi="黑体" w:eastAsia="黑体"/>
          <w:b/>
          <w:sz w:val="28"/>
        </w:rPr>
        <w:t>2.2  重点数据域深度解析</w:t>
      </w:r>
    </w:p>
    <w:p>
      <w:pPr>
        <w:jc w:val="left"/>
      </w:pPr>
      <w:r>
        <w:rPr>
          <w:rFonts w:ascii="黑体" w:hAnsi="黑体" w:eastAsia="黑体"/>
          <w:b/>
          <w:sz w:val="24"/>
        </w:rPr>
        <w:t>2.2.1  天然气销售域</w:t>
      </w:r>
    </w:p>
    <w:p>
      <w:r>
        <w:rPr>
          <w:rFonts w:ascii="宋体" w:hAnsi="宋体" w:eastAsia="宋体"/>
          <w:b w:val="0"/>
          <w:sz w:val="24"/>
        </w:rPr>
        <w:t>天然气销售域是中石油最具商业化潜力的数据域之一，覆盖全国天然气批发、终端销售、LPG销售、增值业务及项目运营全链条。</w:t>
      </w:r>
    </w:p>
    <w:p>
      <w:r>
        <w:rPr>
          <w:rFonts w:ascii="宋体" w:hAnsi="宋体" w:eastAsia="宋体"/>
          <w:b w:val="0"/>
          <w:sz w:val="24"/>
        </w:rPr>
        <w:t>【数据体量】全国天然气管道里程超过12万公里，城市燃气项目覆盖超过400个城市，城燃客户用气数据覆盖居民、工业、商业各类用户，日均数据更新量约500GB。</w:t>
      </w:r>
    </w:p>
    <w:p>
      <w:r>
        <w:rPr>
          <w:rFonts w:ascii="宋体" w:hAnsi="宋体" w:eastAsia="宋体"/>
          <w:b w:val="0"/>
          <w:sz w:val="24"/>
        </w:rPr>
        <w:t>【核心数据字段】包括城燃客户日/月用气量及用气结构（居民/工业/商业比例）、管道SCADA实时数据（进站/出站压力、温度、流量、气质分析）、场站运行数据（压缩机运行参数、罐存数据）以及客户档案。</w:t>
      </w:r>
    </w:p>
    <w:p>
      <w:r>
        <w:rPr>
          <w:rFonts w:ascii="宋体" w:hAnsi="宋体" w:eastAsia="宋体"/>
          <w:b w:val="0"/>
          <w:sz w:val="24"/>
        </w:rPr>
        <w:t>【朗新AI契合点】朗新电力负荷预测准确率90%可直接迁移为城燃用气预测，光伏预测95%能力可迁移为分布式气电出力预测。</w:t>
      </w:r>
    </w:p>
    <w:p>
      <w:pPr>
        <w:jc w:val="left"/>
      </w:pPr>
      <w:r>
        <w:rPr>
          <w:rFonts w:ascii="黑体" w:hAnsi="黑体" w:eastAsia="黑体"/>
          <w:b/>
          <w:sz w:val="24"/>
        </w:rPr>
        <w:t>2.2.2  油气新能源域</w:t>
      </w:r>
    </w:p>
    <w:p>
      <w:r>
        <w:rPr>
          <w:rFonts w:ascii="宋体" w:hAnsi="宋体" w:eastAsia="宋体"/>
          <w:b w:val="0"/>
          <w:sz w:val="24"/>
        </w:rPr>
        <w:t>油气新能源域覆盖中石油核心油气生产业务，包括油气勘探、矿权管理、开发生产、工程技术、储运销售及安全绿色等全环节。</w:t>
      </w:r>
    </w:p>
    <w:p>
      <w:r>
        <w:rPr>
          <w:rFonts w:ascii="宋体" w:hAnsi="宋体" w:eastAsia="宋体"/>
          <w:b w:val="0"/>
          <w:sz w:val="24"/>
        </w:rPr>
        <w:t>【数据体量】全国13个大型油气田、超100万口油井、管道里程超10万公里，日均产生生产动态数据超1TB。</w:t>
      </w:r>
    </w:p>
    <w:p>
      <w:r>
        <w:rPr>
          <w:rFonts w:ascii="宋体" w:hAnsi="宋体" w:eastAsia="宋体"/>
          <w:b w:val="0"/>
          <w:sz w:val="24"/>
        </w:rPr>
        <w:t>【核心数据字段】包括油井生产动态（日产油/气/水、泵效、动液面、沉没度）、管道SCADA（压力、温度、流量、泄漏报警）、井下作业数据及储罐液位数据。</w:t>
      </w:r>
    </w:p>
    <w:p>
      <w:pPr>
        <w:jc w:val="left"/>
      </w:pPr>
      <w:r>
        <w:rPr>
          <w:rFonts w:ascii="黑体" w:hAnsi="黑体" w:eastAsia="黑体"/>
          <w:b/>
          <w:sz w:val="24"/>
        </w:rPr>
        <w:t>2.2.3  炼化新材料域</w:t>
      </w:r>
    </w:p>
    <w:p>
      <w:r>
        <w:rPr>
          <w:rFonts w:ascii="宋体" w:hAnsi="宋体" w:eastAsia="宋体"/>
          <w:b w:val="0"/>
          <w:sz w:val="24"/>
        </w:rPr>
        <w:t>炼化新材料域覆盖30余家炼化企业、100余套主要生产装置的计划管理、采购、储运、生产、设备、质量、物流全流程。</w:t>
      </w:r>
    </w:p>
    <w:p>
      <w:r>
        <w:rPr>
          <w:rFonts w:ascii="宋体" w:hAnsi="宋体" w:eastAsia="宋体"/>
          <w:b w:val="0"/>
          <w:sz w:val="24"/>
        </w:rPr>
        <w:t>【核心数据字段】包括装置运行参数（温度、压力、流量、回流比、转化率）、能耗数据（燃料气/电/蒸汽消耗）、产品质量数据（馏程、辛烷值、硫含量）及碳排放数据。</w:t>
      </w:r>
    </w:p>
    <w:p>
      <w:pPr>
        <w:jc w:val="left"/>
      </w:pPr>
      <w:r>
        <w:rPr>
          <w:rFonts w:ascii="黑体" w:hAnsi="黑体" w:eastAsia="黑体"/>
          <w:b/>
          <w:sz w:val="24"/>
        </w:rPr>
        <w:t>2.2.4  运输物流域</w:t>
      </w:r>
    </w:p>
    <w:p>
      <w:r>
        <w:rPr>
          <w:rFonts w:ascii="宋体" w:hAnsi="宋体" w:eastAsia="宋体"/>
          <w:b w:val="0"/>
          <w:sz w:val="24"/>
        </w:rPr>
        <w:t>运输物流域覆盖全国油品公路运输车辆超10万辆、危化品运输许可车辆超5万辆的轨迹、运单、运费结算全流程数据。</w:t>
      </w:r>
    </w:p>
    <w:p>
      <w:r>
        <w:rPr>
          <w:rFonts w:ascii="宋体" w:hAnsi="宋体" w:eastAsia="宋体"/>
          <w:b w:val="0"/>
          <w:sz w:val="24"/>
        </w:rPr>
        <w:t>【核心数据字段】包括车辆轨迹（位置、速度、行驶里程、驾驶行为）、运单数据（起点/终点、货物类型、重量、体积）、危化品运输数据（介质类型、压力容器数据）及运费结算数据。</w:t>
      </w:r>
    </w:p>
    <w:p>
      <w:pPr>
        <w:jc w:val="left"/>
      </w:pPr>
      <w:r>
        <w:rPr>
          <w:rFonts w:ascii="黑体" w:hAnsi="黑体" w:eastAsia="黑体"/>
          <w:b/>
          <w:sz w:val="28"/>
        </w:rPr>
        <w:t>2.3  数据体量与质量评估</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9"/>
        <w:gridCol w:w="3009"/>
        <w:gridCol w:w="3009"/>
      </w:tblGrid>
      <w:tr>
        <w:tc>
          <w:tcPr>
            <w:tcW w:type="dxa" w:w="3009"/>
            <w:shd w:fill="D9E2F3"/>
          </w:tcPr>
          <w:p>
            <w:pPr>
              <w:jc w:val="center"/>
            </w:pPr>
            <w:r/>
            <w:r>
              <w:rPr>
                <w:rFonts w:ascii="宋体" w:hAnsi="宋体" w:eastAsia="宋体"/>
                <w:b/>
                <w:sz w:val="20"/>
              </w:rPr>
              <w:t>评估维度</w:t>
            </w:r>
          </w:p>
        </w:tc>
        <w:tc>
          <w:tcPr>
            <w:tcW w:type="dxa" w:w="3009"/>
            <w:shd w:fill="D9E2F3"/>
          </w:tcPr>
          <w:p>
            <w:pPr>
              <w:jc w:val="center"/>
            </w:pPr>
            <w:r/>
            <w:r>
              <w:rPr>
                <w:rFonts w:ascii="宋体" w:hAnsi="宋体" w:eastAsia="宋体"/>
                <w:b/>
                <w:sz w:val="20"/>
              </w:rPr>
              <w:t>说明</w:t>
            </w:r>
          </w:p>
        </w:tc>
        <w:tc>
          <w:tcPr>
            <w:tcW w:type="dxa" w:w="3009"/>
            <w:shd w:fill="D9E2F3"/>
          </w:tcPr>
          <w:p>
            <w:pPr>
              <w:jc w:val="center"/>
            </w:pPr>
            <w:r/>
            <w:r>
              <w:rPr>
                <w:rFonts w:ascii="宋体" w:hAnsi="宋体" w:eastAsia="宋体"/>
                <w:b/>
                <w:sz w:val="20"/>
              </w:rPr>
              <w:t>评级</w:t>
            </w:r>
          </w:p>
        </w:tc>
      </w:tr>
      <w:tr>
        <w:tc>
          <w:tcPr>
            <w:tcW w:type="dxa" w:w="3009"/>
          </w:tcPr>
          <w:p>
            <w:pPr>
              <w:jc w:val="center"/>
            </w:pPr>
            <w:r/>
            <w:r>
              <w:rPr>
                <w:rFonts w:ascii="宋体" w:hAnsi="宋体" w:eastAsia="宋体"/>
                <w:b w:val="0"/>
                <w:sz w:val="20"/>
              </w:rPr>
              <w:t>数据覆盖广度</w:t>
            </w:r>
          </w:p>
        </w:tc>
        <w:tc>
          <w:tcPr>
            <w:tcW w:type="dxa" w:w="3009"/>
          </w:tcPr>
          <w:p>
            <w:pPr>
              <w:jc w:val="center"/>
            </w:pPr>
            <w:r/>
            <w:r>
              <w:rPr>
                <w:rFonts w:ascii="宋体" w:hAnsi="宋体" w:eastAsia="宋体"/>
                <w:b w:val="0"/>
                <w:sz w:val="20"/>
              </w:rPr>
              <w:t>覆盖油气全产业链12大域，约130个L2数据域</w:t>
            </w:r>
          </w:p>
        </w:tc>
        <w:tc>
          <w:tcPr>
            <w:tcW w:type="dxa" w:w="3009"/>
          </w:tcPr>
          <w:p>
            <w:pPr>
              <w:jc w:val="center"/>
            </w:pPr>
            <w:r/>
            <w:r>
              <w:rPr>
                <w:rFonts w:ascii="宋体" w:hAnsi="宋体" w:eastAsia="宋体"/>
                <w:b w:val="0"/>
                <w:sz w:val="20"/>
              </w:rPr>
              <w:t>⭐⭐⭐⭐⭐</w:t>
            </w:r>
          </w:p>
        </w:tc>
      </w:tr>
      <w:tr>
        <w:tc>
          <w:tcPr>
            <w:tcW w:type="dxa" w:w="3009"/>
          </w:tcPr>
          <w:p>
            <w:pPr>
              <w:jc w:val="center"/>
            </w:pPr>
            <w:r/>
            <w:r>
              <w:rPr>
                <w:rFonts w:ascii="宋体" w:hAnsi="宋体" w:eastAsia="宋体"/>
                <w:b w:val="0"/>
                <w:sz w:val="20"/>
              </w:rPr>
              <w:t>数据时序密度</w:t>
            </w:r>
          </w:p>
        </w:tc>
        <w:tc>
          <w:tcPr>
            <w:tcW w:type="dxa" w:w="3009"/>
          </w:tcPr>
          <w:p>
            <w:pPr>
              <w:jc w:val="center"/>
            </w:pPr>
            <w:r/>
            <w:r>
              <w:rPr>
                <w:rFonts w:ascii="宋体" w:hAnsi="宋体" w:eastAsia="宋体"/>
                <w:b w:val="0"/>
                <w:sz w:val="20"/>
              </w:rPr>
              <w:t>生产数据实时采集（SCADA秒级），历史积累超15年</w:t>
            </w:r>
          </w:p>
        </w:tc>
        <w:tc>
          <w:tcPr>
            <w:tcW w:type="dxa" w:w="3009"/>
          </w:tcPr>
          <w:p>
            <w:pPr>
              <w:jc w:val="center"/>
            </w:pPr>
            <w:r/>
            <w:r>
              <w:rPr>
                <w:rFonts w:ascii="宋体" w:hAnsi="宋体" w:eastAsia="宋体"/>
                <w:b w:val="0"/>
                <w:sz w:val="20"/>
              </w:rPr>
              <w:t>⭐⭐⭐⭐⭐</w:t>
            </w:r>
          </w:p>
        </w:tc>
      </w:tr>
      <w:tr>
        <w:tc>
          <w:tcPr>
            <w:tcW w:type="dxa" w:w="3009"/>
          </w:tcPr>
          <w:p>
            <w:pPr>
              <w:jc w:val="center"/>
            </w:pPr>
            <w:r/>
            <w:r>
              <w:rPr>
                <w:rFonts w:ascii="宋体" w:hAnsi="宋体" w:eastAsia="宋体"/>
                <w:b w:val="0"/>
                <w:sz w:val="20"/>
              </w:rPr>
              <w:t>数据质量</w:t>
            </w:r>
          </w:p>
        </w:tc>
        <w:tc>
          <w:tcPr>
            <w:tcW w:type="dxa" w:w="3009"/>
          </w:tcPr>
          <w:p>
            <w:pPr>
              <w:jc w:val="center"/>
            </w:pPr>
            <w:r/>
            <w:r>
              <w:rPr>
                <w:rFonts w:ascii="宋体" w:hAnsi="宋体" w:eastAsia="宋体"/>
                <w:b w:val="0"/>
                <w:sz w:val="20"/>
              </w:rPr>
              <w:t>央企标准化采集体系，数据质量行业领先</w:t>
            </w:r>
          </w:p>
        </w:tc>
        <w:tc>
          <w:tcPr>
            <w:tcW w:type="dxa" w:w="3009"/>
          </w:tcPr>
          <w:p>
            <w:pPr>
              <w:jc w:val="center"/>
            </w:pPr>
            <w:r/>
            <w:r>
              <w:rPr>
                <w:rFonts w:ascii="宋体" w:hAnsi="宋体" w:eastAsia="宋体"/>
                <w:b w:val="0"/>
                <w:sz w:val="20"/>
              </w:rPr>
              <w:t>⭐⭐⭐⭐</w:t>
            </w:r>
          </w:p>
        </w:tc>
      </w:tr>
      <w:tr>
        <w:tc>
          <w:tcPr>
            <w:tcW w:type="dxa" w:w="3009"/>
          </w:tcPr>
          <w:p>
            <w:pPr>
              <w:jc w:val="center"/>
            </w:pPr>
            <w:r/>
            <w:r>
              <w:rPr>
                <w:rFonts w:ascii="宋体" w:hAnsi="宋体" w:eastAsia="宋体"/>
                <w:b w:val="0"/>
                <w:sz w:val="20"/>
              </w:rPr>
              <w:t>更新频率</w:t>
            </w:r>
          </w:p>
        </w:tc>
        <w:tc>
          <w:tcPr>
            <w:tcW w:type="dxa" w:w="3009"/>
          </w:tcPr>
          <w:p>
            <w:pPr>
              <w:jc w:val="center"/>
            </w:pPr>
            <w:r/>
            <w:r>
              <w:rPr>
                <w:rFonts w:ascii="宋体" w:hAnsi="宋体" w:eastAsia="宋体"/>
                <w:b w:val="0"/>
                <w:sz w:val="20"/>
              </w:rPr>
              <w:t>生产类数据实时更新，运营类数据日更新</w:t>
            </w:r>
          </w:p>
        </w:tc>
        <w:tc>
          <w:tcPr>
            <w:tcW w:type="dxa" w:w="3009"/>
          </w:tcPr>
          <w:p>
            <w:pPr>
              <w:jc w:val="center"/>
            </w:pPr>
            <w:r/>
            <w:r>
              <w:rPr>
                <w:rFonts w:ascii="宋体" w:hAnsi="宋体" w:eastAsia="宋体"/>
                <w:b w:val="0"/>
                <w:sz w:val="20"/>
              </w:rPr>
              <w:t>⭐⭐⭐⭐⭐</w:t>
            </w:r>
          </w:p>
        </w:tc>
      </w:tr>
      <w:tr>
        <w:tc>
          <w:tcPr>
            <w:tcW w:type="dxa" w:w="3009"/>
          </w:tcPr>
          <w:p>
            <w:pPr>
              <w:jc w:val="center"/>
            </w:pPr>
            <w:r/>
            <w:r>
              <w:rPr>
                <w:rFonts w:ascii="宋体" w:hAnsi="宋体" w:eastAsia="宋体"/>
                <w:b w:val="0"/>
                <w:sz w:val="20"/>
              </w:rPr>
              <w:t>脱敏可行性</w:t>
            </w:r>
          </w:p>
        </w:tc>
        <w:tc>
          <w:tcPr>
            <w:tcW w:type="dxa" w:w="3009"/>
          </w:tcPr>
          <w:p>
            <w:pPr>
              <w:jc w:val="center"/>
            </w:pPr>
            <w:r/>
            <w:r>
              <w:rPr>
                <w:rFonts w:ascii="宋体" w:hAnsi="宋体" w:eastAsia="宋体"/>
                <w:b w:val="0"/>
                <w:sz w:val="20"/>
              </w:rPr>
              <w:t>部分涉及商业秘密字段需脱敏处理</w:t>
            </w:r>
          </w:p>
        </w:tc>
        <w:tc>
          <w:tcPr>
            <w:tcW w:type="dxa" w:w="3009"/>
          </w:tcPr>
          <w:p>
            <w:pPr>
              <w:jc w:val="center"/>
            </w:pPr>
            <w:r/>
            <w:r>
              <w:rPr>
                <w:rFonts w:ascii="宋体" w:hAnsi="宋体" w:eastAsia="宋体"/>
                <w:b w:val="0"/>
                <w:sz w:val="20"/>
              </w:rPr>
              <w:t>⭐⭐⭐</w:t>
            </w:r>
          </w:p>
        </w:tc>
      </w:tr>
      <w:tr>
        <w:tc>
          <w:tcPr>
            <w:tcW w:type="dxa" w:w="3009"/>
          </w:tcPr>
          <w:p>
            <w:pPr>
              <w:jc w:val="center"/>
            </w:pPr>
            <w:r/>
            <w:r>
              <w:rPr>
                <w:rFonts w:ascii="宋体" w:hAnsi="宋体" w:eastAsia="宋体"/>
                <w:b w:val="0"/>
                <w:sz w:val="20"/>
              </w:rPr>
              <w:t>合规流通基础</w:t>
            </w:r>
          </w:p>
        </w:tc>
        <w:tc>
          <w:tcPr>
            <w:tcW w:type="dxa" w:w="3009"/>
          </w:tcPr>
          <w:p>
            <w:pPr>
              <w:jc w:val="center"/>
            </w:pPr>
            <w:r/>
            <w:r>
              <w:rPr>
                <w:rFonts w:ascii="宋体" w:hAnsi="宋体" w:eastAsia="宋体"/>
                <w:b w:val="0"/>
                <w:sz w:val="20"/>
              </w:rPr>
              <w:t>需通过北数所完成数据确权登记</w:t>
            </w:r>
          </w:p>
        </w:tc>
        <w:tc>
          <w:tcPr>
            <w:tcW w:type="dxa" w:w="3009"/>
          </w:tcPr>
          <w:p>
            <w:pPr>
              <w:jc w:val="center"/>
            </w:pPr>
            <w:r/>
            <w:r>
              <w:rPr>
                <w:rFonts w:ascii="宋体" w:hAnsi="宋体" w:eastAsia="宋体"/>
                <w:b w:val="0"/>
                <w:sz w:val="20"/>
              </w:rPr>
              <w:t>⭐⭐⭐⭐</w:t>
            </w:r>
          </w:p>
        </w:tc>
      </w:tr>
    </w:tbl>
    <w:p>
      <w:pPr>
        <w:jc w:val="center"/>
      </w:pPr>
      <w:r>
        <w:rPr>
          <w:rFonts w:ascii="宋体" w:hAnsi="宋体" w:eastAsia="宋体"/>
          <w:b w:val="0"/>
          <w:sz w:val="20"/>
        </w:rPr>
        <w:t>表2-2 中石油数据体量与质量评估</w:t>
      </w:r>
    </w:p>
    <w:p>
      <w:r>
        <w:br w:type="page"/>
      </w:r>
    </w:p>
    <w:p>
      <w:pPr>
        <w:jc w:val="left"/>
      </w:pPr>
      <w:r>
        <w:rPr>
          <w:rFonts w:ascii="黑体" w:hAnsi="黑体" w:eastAsia="黑体"/>
          <w:b/>
          <w:sz w:val="30"/>
        </w:rPr>
        <w:t>第三章  朗新科技能力图谱</w:t>
      </w:r>
    </w:p>
    <w:p>
      <w:pPr>
        <w:jc w:val="left"/>
      </w:pPr>
      <w:r>
        <w:rPr>
          <w:rFonts w:ascii="黑体" w:hAnsi="黑体" w:eastAsia="黑体"/>
          <w:b/>
          <w:sz w:val="28"/>
        </w:rPr>
        <w:t>3.1  核心平台能力：能源互联网可信数据空间</w:t>
      </w:r>
    </w:p>
    <w:p>
      <w:r>
        <w:rPr>
          <w:rFonts w:ascii="宋体" w:hAnsi="宋体" w:eastAsia="宋体"/>
          <w:b w:val="0"/>
          <w:sz w:val="24"/>
        </w:rPr>
        <w:t>朗新科技能源互联网可信数据空间平台是支持跨行业数据连接与可信流通的核心基础设施，具备以下核心能力：</w:t>
      </w:r>
    </w:p>
    <w:p>
      <w:r>
        <w:rPr>
          <w:rFonts w:ascii="宋体" w:hAnsi="宋体" w:eastAsia="宋体"/>
          <w:b w:val="0"/>
          <w:sz w:val="24"/>
        </w:rPr>
        <w:t>【数据连接能力】支持多源异构数据接入，已接入电力、充电桩、光伏、天然气等多类能源数据，日均数据处理量超10亿条。</w:t>
      </w:r>
    </w:p>
    <w:p>
      <w:r>
        <w:rPr>
          <w:rFonts w:ascii="宋体" w:hAnsi="宋体" w:eastAsia="宋体"/>
          <w:b w:val="0"/>
          <w:sz w:val="24"/>
        </w:rPr>
        <w:t>【可信流通能力】基于隐私计算、区块链等技术实现数据"可用不可见"，支持数据确权、溯源、定价，已通过北数所合规认证。</w:t>
      </w:r>
    </w:p>
    <w:p>
      <w:r>
        <w:rPr>
          <w:rFonts w:ascii="宋体" w:hAnsi="宋体" w:eastAsia="宋体"/>
          <w:b w:val="0"/>
          <w:sz w:val="24"/>
        </w:rPr>
        <w:t>【AI分析能力】内置时序预测、异常检测、负荷预测等AI算法模型，支持能源场景的专业化分析。</w:t>
      </w:r>
    </w:p>
    <w:p>
      <w:r>
        <w:rPr>
          <w:rFonts w:ascii="宋体" w:hAnsi="宋体" w:eastAsia="宋体"/>
          <w:b w:val="0"/>
          <w:sz w:val="24"/>
        </w:rPr>
        <w:t>【运营服务能力】提供数据产品发布、订阅、结算全流程运营服务，已支撑多个数据产品商业化运营。</w:t>
      </w:r>
    </w:p>
    <w:p>
      <w:pPr>
        <w:jc w:val="left"/>
      </w:pPr>
      <w:r>
        <w:rPr>
          <w:rFonts w:ascii="黑体" w:hAnsi="黑体" w:eastAsia="黑体"/>
          <w:b/>
          <w:sz w:val="28"/>
        </w:rPr>
        <w:t>3.2  AI预测能力矩阵</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6"/>
        <w:gridCol w:w="2256"/>
        <w:gridCol w:w="2256"/>
        <w:gridCol w:w="2256"/>
      </w:tblGrid>
      <w:tr>
        <w:tc>
          <w:tcPr>
            <w:tcW w:type="dxa" w:w="2256"/>
            <w:shd w:fill="D9E2F3"/>
          </w:tcPr>
          <w:p>
            <w:pPr>
              <w:jc w:val="center"/>
            </w:pPr>
            <w:r/>
            <w:r>
              <w:rPr>
                <w:rFonts w:ascii="宋体" w:hAnsi="宋体" w:eastAsia="宋体"/>
                <w:b/>
                <w:sz w:val="20"/>
              </w:rPr>
              <w:t>预测场景</w:t>
            </w:r>
          </w:p>
        </w:tc>
        <w:tc>
          <w:tcPr>
            <w:tcW w:type="dxa" w:w="2256"/>
            <w:shd w:fill="D9E2F3"/>
          </w:tcPr>
          <w:p>
            <w:pPr>
              <w:jc w:val="center"/>
            </w:pPr>
            <w:r/>
            <w:r>
              <w:rPr>
                <w:rFonts w:ascii="宋体" w:hAnsi="宋体" w:eastAsia="宋体"/>
                <w:b/>
                <w:sz w:val="20"/>
              </w:rPr>
              <w:t>准确率</w:t>
            </w:r>
          </w:p>
        </w:tc>
        <w:tc>
          <w:tcPr>
            <w:tcW w:type="dxa" w:w="2256"/>
            <w:shd w:fill="D9E2F3"/>
          </w:tcPr>
          <w:p>
            <w:pPr>
              <w:jc w:val="center"/>
            </w:pPr>
            <w:r/>
            <w:r>
              <w:rPr>
                <w:rFonts w:ascii="宋体" w:hAnsi="宋体" w:eastAsia="宋体"/>
                <w:b/>
                <w:sz w:val="20"/>
              </w:rPr>
              <w:t>成熟度</w:t>
            </w:r>
          </w:p>
        </w:tc>
        <w:tc>
          <w:tcPr>
            <w:tcW w:type="dxa" w:w="2256"/>
            <w:shd w:fill="D9E2F3"/>
          </w:tcPr>
          <w:p>
            <w:pPr>
              <w:jc w:val="center"/>
            </w:pPr>
            <w:r/>
            <w:r>
              <w:rPr>
                <w:rFonts w:ascii="宋体" w:hAnsi="宋体" w:eastAsia="宋体"/>
                <w:b/>
                <w:sz w:val="20"/>
              </w:rPr>
              <w:t>迁移至中石油场景</w:t>
            </w:r>
          </w:p>
        </w:tc>
      </w:tr>
      <w:tr>
        <w:tc>
          <w:tcPr>
            <w:tcW w:type="dxa" w:w="2256"/>
          </w:tcPr>
          <w:p>
            <w:pPr>
              <w:jc w:val="center"/>
            </w:pPr>
            <w:r/>
            <w:r>
              <w:rPr>
                <w:rFonts w:ascii="宋体" w:hAnsi="宋体" w:eastAsia="宋体"/>
                <w:b w:val="0"/>
                <w:sz w:val="20"/>
              </w:rPr>
              <w:t>电力负荷预测</w:t>
            </w:r>
          </w:p>
        </w:tc>
        <w:tc>
          <w:tcPr>
            <w:tcW w:type="dxa" w:w="2256"/>
          </w:tcPr>
          <w:p>
            <w:pPr>
              <w:jc w:val="center"/>
            </w:pPr>
            <w:r/>
            <w:r>
              <w:rPr>
                <w:rFonts w:ascii="宋体" w:hAnsi="宋体" w:eastAsia="宋体"/>
                <w:b w:val="0"/>
                <w:sz w:val="20"/>
              </w:rPr>
              <w:t>90%</w:t>
            </w:r>
          </w:p>
        </w:tc>
        <w:tc>
          <w:tcPr>
            <w:tcW w:type="dxa" w:w="2256"/>
          </w:tcPr>
          <w:p>
            <w:pPr>
              <w:jc w:val="center"/>
            </w:pPr>
            <w:r/>
            <w:r>
              <w:rPr>
                <w:rFonts w:ascii="宋体" w:hAnsi="宋体" w:eastAsia="宋体"/>
                <w:b w:val="0"/>
                <w:sz w:val="20"/>
              </w:rPr>
              <w:t>已商用</w:t>
            </w:r>
          </w:p>
        </w:tc>
        <w:tc>
          <w:tcPr>
            <w:tcW w:type="dxa" w:w="2256"/>
          </w:tcPr>
          <w:p>
            <w:pPr>
              <w:jc w:val="center"/>
            </w:pPr>
            <w:r/>
            <w:r>
              <w:rPr>
                <w:rFonts w:ascii="宋体" w:hAnsi="宋体" w:eastAsia="宋体"/>
                <w:b w:val="0"/>
                <w:sz w:val="20"/>
              </w:rPr>
              <w:t>城燃用气预测、油气产量预测</w:t>
            </w:r>
          </w:p>
        </w:tc>
      </w:tr>
      <w:tr>
        <w:tc>
          <w:tcPr>
            <w:tcW w:type="dxa" w:w="2256"/>
          </w:tcPr>
          <w:p>
            <w:pPr>
              <w:jc w:val="center"/>
            </w:pPr>
            <w:r/>
            <w:r>
              <w:rPr>
                <w:rFonts w:ascii="宋体" w:hAnsi="宋体" w:eastAsia="宋体"/>
                <w:b w:val="0"/>
                <w:sz w:val="20"/>
              </w:rPr>
              <w:t>光伏发电预测</w:t>
            </w:r>
          </w:p>
        </w:tc>
        <w:tc>
          <w:tcPr>
            <w:tcW w:type="dxa" w:w="2256"/>
          </w:tcPr>
          <w:p>
            <w:pPr>
              <w:jc w:val="center"/>
            </w:pPr>
            <w:r/>
            <w:r>
              <w:rPr>
                <w:rFonts w:ascii="宋体" w:hAnsi="宋体" w:eastAsia="宋体"/>
                <w:b w:val="0"/>
                <w:sz w:val="20"/>
              </w:rPr>
              <w:t>95%</w:t>
            </w:r>
          </w:p>
        </w:tc>
        <w:tc>
          <w:tcPr>
            <w:tcW w:type="dxa" w:w="2256"/>
          </w:tcPr>
          <w:p>
            <w:pPr>
              <w:jc w:val="center"/>
            </w:pPr>
            <w:r/>
            <w:r>
              <w:rPr>
                <w:rFonts w:ascii="宋体" w:hAnsi="宋体" w:eastAsia="宋体"/>
                <w:b w:val="0"/>
                <w:sz w:val="20"/>
              </w:rPr>
              <w:t>已商用</w:t>
            </w:r>
          </w:p>
        </w:tc>
        <w:tc>
          <w:tcPr>
            <w:tcW w:type="dxa" w:w="2256"/>
          </w:tcPr>
          <w:p>
            <w:pPr>
              <w:jc w:val="center"/>
            </w:pPr>
            <w:r/>
            <w:r>
              <w:rPr>
                <w:rFonts w:ascii="宋体" w:hAnsi="宋体" w:eastAsia="宋体"/>
                <w:b w:val="0"/>
                <w:sz w:val="20"/>
              </w:rPr>
              <w:t>分布式能源出力预测</w:t>
            </w:r>
          </w:p>
        </w:tc>
      </w:tr>
      <w:tr>
        <w:tc>
          <w:tcPr>
            <w:tcW w:type="dxa" w:w="2256"/>
          </w:tcPr>
          <w:p>
            <w:pPr>
              <w:jc w:val="center"/>
            </w:pPr>
            <w:r/>
            <w:r>
              <w:rPr>
                <w:rFonts w:ascii="宋体" w:hAnsi="宋体" w:eastAsia="宋体"/>
                <w:b w:val="0"/>
                <w:sz w:val="20"/>
              </w:rPr>
              <w:t>充电桩使用预测</w:t>
            </w:r>
          </w:p>
        </w:tc>
        <w:tc>
          <w:tcPr>
            <w:tcW w:type="dxa" w:w="2256"/>
          </w:tcPr>
          <w:p>
            <w:pPr>
              <w:jc w:val="center"/>
            </w:pPr>
            <w:r/>
            <w:r>
              <w:rPr>
                <w:rFonts w:ascii="宋体" w:hAnsi="宋体" w:eastAsia="宋体"/>
                <w:b w:val="0"/>
                <w:sz w:val="20"/>
              </w:rPr>
              <w:t>76%</w:t>
            </w:r>
          </w:p>
        </w:tc>
        <w:tc>
          <w:tcPr>
            <w:tcW w:type="dxa" w:w="2256"/>
          </w:tcPr>
          <w:p>
            <w:pPr>
              <w:jc w:val="center"/>
            </w:pPr>
            <w:r/>
            <w:r>
              <w:rPr>
                <w:rFonts w:ascii="宋体" w:hAnsi="宋体" w:eastAsia="宋体"/>
                <w:b w:val="0"/>
                <w:sz w:val="20"/>
              </w:rPr>
              <w:t>已商用</w:t>
            </w:r>
          </w:p>
        </w:tc>
        <w:tc>
          <w:tcPr>
            <w:tcW w:type="dxa" w:w="2256"/>
          </w:tcPr>
          <w:p>
            <w:pPr>
              <w:jc w:val="center"/>
            </w:pPr>
            <w:r/>
            <w:r>
              <w:rPr>
                <w:rFonts w:ascii="宋体" w:hAnsi="宋体" w:eastAsia="宋体"/>
                <w:b w:val="0"/>
                <w:sz w:val="20"/>
              </w:rPr>
              <w:t>车队充换电预测、场站负荷预测</w:t>
            </w:r>
          </w:p>
        </w:tc>
      </w:tr>
      <w:tr>
        <w:tc>
          <w:tcPr>
            <w:tcW w:type="dxa" w:w="2256"/>
          </w:tcPr>
          <w:p>
            <w:pPr>
              <w:jc w:val="center"/>
            </w:pPr>
            <w:r/>
            <w:r>
              <w:rPr>
                <w:rFonts w:ascii="宋体" w:hAnsi="宋体" w:eastAsia="宋体"/>
                <w:b w:val="0"/>
                <w:sz w:val="20"/>
              </w:rPr>
              <w:t>油气产量预测</w:t>
            </w:r>
          </w:p>
        </w:tc>
        <w:tc>
          <w:tcPr>
            <w:tcW w:type="dxa" w:w="2256"/>
          </w:tcPr>
          <w:p>
            <w:pPr>
              <w:jc w:val="center"/>
            </w:pPr>
            <w:r/>
            <w:r>
              <w:rPr>
                <w:rFonts w:ascii="宋体" w:hAnsi="宋体" w:eastAsia="宋体"/>
                <w:b w:val="0"/>
                <w:sz w:val="20"/>
              </w:rPr>
              <w:t>待验证</w:t>
            </w:r>
          </w:p>
        </w:tc>
        <w:tc>
          <w:tcPr>
            <w:tcW w:type="dxa" w:w="2256"/>
          </w:tcPr>
          <w:p>
            <w:pPr>
              <w:jc w:val="center"/>
            </w:pPr>
            <w:r/>
            <w:r>
              <w:rPr>
                <w:rFonts w:ascii="宋体" w:hAnsi="宋体" w:eastAsia="宋体"/>
                <w:b w:val="0"/>
                <w:sz w:val="20"/>
              </w:rPr>
              <w:t>迁移中</w:t>
            </w:r>
          </w:p>
        </w:tc>
        <w:tc>
          <w:tcPr>
            <w:tcW w:type="dxa" w:w="2256"/>
          </w:tcPr>
          <w:p>
            <w:pPr>
              <w:jc w:val="center"/>
            </w:pPr>
            <w:r/>
            <w:r>
              <w:rPr>
                <w:rFonts w:ascii="宋体" w:hAnsi="宋体" w:eastAsia="宋体"/>
                <w:b w:val="0"/>
                <w:sz w:val="20"/>
              </w:rPr>
              <w:t>管道流量预测、设备预测性维护</w:t>
            </w:r>
          </w:p>
        </w:tc>
      </w:tr>
    </w:tbl>
    <w:p>
      <w:pPr>
        <w:jc w:val="center"/>
      </w:pPr>
      <w:r>
        <w:rPr>
          <w:rFonts w:ascii="宋体" w:hAnsi="宋体" w:eastAsia="宋体"/>
          <w:b w:val="0"/>
          <w:sz w:val="20"/>
        </w:rPr>
        <w:t>表3-1 朗新AI预测能力矩阵</w:t>
      </w:r>
    </w:p>
    <w:p/>
    <w:p>
      <w:r>
        <w:rPr>
          <w:rFonts w:ascii="宋体" w:hAnsi="宋体" w:eastAsia="宋体"/>
          <w:b w:val="0"/>
          <w:sz w:val="24"/>
        </w:rPr>
        <w:t>朗新AI预测能力的核心优势在于经过大规模商用验证的时序数据分析经验。电力负荷预测已在国家电网、南方电网多个省级电网落地应用，光伏预测覆盖国内主要光伏电站，充电桩预测服务全国数万个充电桩站点。</w:t>
      </w:r>
    </w:p>
    <w:p>
      <w:pPr>
        <w:jc w:val="left"/>
      </w:pPr>
      <w:r>
        <w:rPr>
          <w:rFonts w:ascii="黑体" w:hAnsi="黑体" w:eastAsia="黑体"/>
          <w:b/>
          <w:sz w:val="28"/>
        </w:rPr>
        <w:t>3.3  跨行业数据连接能力</w:t>
      </w:r>
    </w:p>
    <w:p>
      <w:r>
        <w:rPr>
          <w:rFonts w:ascii="宋体" w:hAnsi="宋体" w:eastAsia="宋体"/>
          <w:b w:val="0"/>
          <w:sz w:val="24"/>
        </w:rPr>
        <w:t>【能源跨行业连接】已实现电力、天然气、充电桩、光伏、油气等多能源品类数据的互联互通，具备能源互联网全场景数据服务能力。</w:t>
      </w:r>
    </w:p>
    <w:p>
      <w:r>
        <w:rPr>
          <w:rFonts w:ascii="宋体" w:hAnsi="宋体" w:eastAsia="宋体"/>
          <w:b w:val="0"/>
          <w:sz w:val="24"/>
        </w:rPr>
        <w:t>【政企数据连接】已与多个省级政府、电网公司、城燃企业建立数据合作，具备企业级数据接入和服务经验。</w:t>
      </w:r>
    </w:p>
    <w:p>
      <w:r>
        <w:rPr>
          <w:rFonts w:ascii="宋体" w:hAnsi="宋体" w:eastAsia="宋体"/>
          <w:b w:val="0"/>
          <w:sz w:val="24"/>
        </w:rPr>
        <w:t>【产业金融连接】已接入银行、保险、融资租赁等金融机构，为能源数据在产业金融场景的应用奠定基础。</w:t>
      </w:r>
    </w:p>
    <w:p>
      <w:pPr>
        <w:jc w:val="left"/>
      </w:pPr>
      <w:r>
        <w:rPr>
          <w:rFonts w:ascii="黑体" w:hAnsi="黑体" w:eastAsia="黑体"/>
          <w:b/>
          <w:sz w:val="28"/>
        </w:rPr>
        <w:t>3.4  与中石油数据的契合度分析</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6"/>
        <w:gridCol w:w="2256"/>
        <w:gridCol w:w="2256"/>
        <w:gridCol w:w="2256"/>
      </w:tblGrid>
      <w:tr>
        <w:tc>
          <w:tcPr>
            <w:tcW w:type="dxa" w:w="2256"/>
            <w:shd w:fill="D9E2F3"/>
          </w:tcPr>
          <w:p>
            <w:pPr>
              <w:jc w:val="center"/>
            </w:pPr>
            <w:r/>
            <w:r>
              <w:rPr>
                <w:rFonts w:ascii="宋体" w:hAnsi="宋体" w:eastAsia="宋体"/>
                <w:b/>
                <w:sz w:val="20"/>
              </w:rPr>
              <w:t>中石油数据域</w:t>
            </w:r>
          </w:p>
        </w:tc>
        <w:tc>
          <w:tcPr>
            <w:tcW w:type="dxa" w:w="2256"/>
            <w:shd w:fill="D9E2F3"/>
          </w:tcPr>
          <w:p>
            <w:pPr>
              <w:jc w:val="center"/>
            </w:pPr>
            <w:r/>
            <w:r>
              <w:rPr>
                <w:rFonts w:ascii="宋体" w:hAnsi="宋体" w:eastAsia="宋体"/>
                <w:b/>
                <w:sz w:val="20"/>
              </w:rPr>
              <w:t>朗新核心能力</w:t>
            </w:r>
          </w:p>
        </w:tc>
        <w:tc>
          <w:tcPr>
            <w:tcW w:type="dxa" w:w="2256"/>
            <w:shd w:fill="D9E2F3"/>
          </w:tcPr>
          <w:p>
            <w:pPr>
              <w:jc w:val="center"/>
            </w:pPr>
            <w:r/>
            <w:r>
              <w:rPr>
                <w:rFonts w:ascii="宋体" w:hAnsi="宋体" w:eastAsia="宋体"/>
                <w:b/>
                <w:sz w:val="20"/>
              </w:rPr>
              <w:t>契合说明</w:t>
            </w:r>
          </w:p>
        </w:tc>
        <w:tc>
          <w:tcPr>
            <w:tcW w:type="dxa" w:w="2256"/>
            <w:shd w:fill="D9E2F3"/>
          </w:tcPr>
          <w:p>
            <w:pPr>
              <w:jc w:val="center"/>
            </w:pPr>
            <w:r/>
            <w:r>
              <w:rPr>
                <w:rFonts w:ascii="宋体" w:hAnsi="宋体" w:eastAsia="宋体"/>
                <w:b/>
                <w:sz w:val="20"/>
              </w:rPr>
              <w:t>商业化潜力</w:t>
            </w:r>
          </w:p>
        </w:tc>
      </w:tr>
      <w:tr>
        <w:tc>
          <w:tcPr>
            <w:tcW w:type="dxa" w:w="2256"/>
          </w:tcPr>
          <w:p>
            <w:pPr>
              <w:jc w:val="center"/>
            </w:pPr>
            <w:r/>
            <w:r>
              <w:rPr>
                <w:rFonts w:ascii="宋体" w:hAnsi="宋体" w:eastAsia="宋体"/>
                <w:b w:val="0"/>
                <w:sz w:val="20"/>
              </w:rPr>
              <w:t>天然气销售</w:t>
            </w:r>
          </w:p>
        </w:tc>
        <w:tc>
          <w:tcPr>
            <w:tcW w:type="dxa" w:w="2256"/>
          </w:tcPr>
          <w:p>
            <w:pPr>
              <w:jc w:val="center"/>
            </w:pPr>
            <w:r/>
            <w:r>
              <w:rPr>
                <w:rFonts w:ascii="宋体" w:hAnsi="宋体" w:eastAsia="宋体"/>
                <w:b w:val="0"/>
                <w:sz w:val="20"/>
              </w:rPr>
              <w:t>电力负荷预测(90%)</w:t>
            </w:r>
          </w:p>
        </w:tc>
        <w:tc>
          <w:tcPr>
            <w:tcW w:type="dxa" w:w="2256"/>
          </w:tcPr>
          <w:p>
            <w:pPr>
              <w:jc w:val="center"/>
            </w:pPr>
            <w:r/>
            <w:r>
              <w:rPr>
                <w:rFonts w:ascii="宋体" w:hAnsi="宋体" w:eastAsia="宋体"/>
                <w:b w:val="0"/>
                <w:sz w:val="20"/>
              </w:rPr>
              <w:t>用气预测直接复用电力预测模型</w:t>
            </w:r>
          </w:p>
        </w:tc>
        <w:tc>
          <w:tcPr>
            <w:tcW w:type="dxa" w:w="2256"/>
          </w:tcPr>
          <w:p>
            <w:pPr>
              <w:jc w:val="center"/>
            </w:pPr>
            <w:r/>
            <w:r>
              <w:rPr>
                <w:rFonts w:ascii="宋体" w:hAnsi="宋体" w:eastAsia="宋体"/>
                <w:b w:val="0"/>
                <w:sz w:val="20"/>
              </w:rPr>
              <w:t>极高</w:t>
            </w:r>
          </w:p>
        </w:tc>
      </w:tr>
      <w:tr>
        <w:tc>
          <w:tcPr>
            <w:tcW w:type="dxa" w:w="2256"/>
          </w:tcPr>
          <w:p>
            <w:pPr>
              <w:jc w:val="center"/>
            </w:pPr>
            <w:r/>
            <w:r>
              <w:rPr>
                <w:rFonts w:ascii="宋体" w:hAnsi="宋体" w:eastAsia="宋体"/>
                <w:b w:val="0"/>
                <w:sz w:val="20"/>
              </w:rPr>
              <w:t>油气新能源</w:t>
            </w:r>
          </w:p>
        </w:tc>
        <w:tc>
          <w:tcPr>
            <w:tcW w:type="dxa" w:w="2256"/>
          </w:tcPr>
          <w:p>
            <w:pPr>
              <w:jc w:val="center"/>
            </w:pPr>
            <w:r/>
            <w:r>
              <w:rPr>
                <w:rFonts w:ascii="宋体" w:hAnsi="宋体" w:eastAsia="宋体"/>
                <w:b w:val="0"/>
                <w:sz w:val="20"/>
              </w:rPr>
              <w:t>时序预测AI</w:t>
            </w:r>
          </w:p>
        </w:tc>
        <w:tc>
          <w:tcPr>
            <w:tcW w:type="dxa" w:w="2256"/>
          </w:tcPr>
          <w:p>
            <w:pPr>
              <w:jc w:val="center"/>
            </w:pPr>
            <w:r/>
            <w:r>
              <w:rPr>
                <w:rFonts w:ascii="宋体" w:hAnsi="宋体" w:eastAsia="宋体"/>
                <w:b w:val="0"/>
                <w:sz w:val="20"/>
              </w:rPr>
              <w:t>油气产量/管道流量预测</w:t>
            </w:r>
          </w:p>
        </w:tc>
        <w:tc>
          <w:tcPr>
            <w:tcW w:type="dxa" w:w="2256"/>
          </w:tcPr>
          <w:p>
            <w:pPr>
              <w:jc w:val="center"/>
            </w:pPr>
            <w:r/>
            <w:r>
              <w:rPr>
                <w:rFonts w:ascii="宋体" w:hAnsi="宋体" w:eastAsia="宋体"/>
                <w:b w:val="0"/>
                <w:sz w:val="20"/>
              </w:rPr>
              <w:t>极高</w:t>
            </w:r>
          </w:p>
        </w:tc>
      </w:tr>
      <w:tr>
        <w:tc>
          <w:tcPr>
            <w:tcW w:type="dxa" w:w="2256"/>
          </w:tcPr>
          <w:p>
            <w:pPr>
              <w:jc w:val="center"/>
            </w:pPr>
            <w:r/>
            <w:r>
              <w:rPr>
                <w:rFonts w:ascii="宋体" w:hAnsi="宋体" w:eastAsia="宋体"/>
                <w:b w:val="0"/>
                <w:sz w:val="20"/>
              </w:rPr>
              <w:t>运输物流</w:t>
            </w:r>
          </w:p>
        </w:tc>
        <w:tc>
          <w:tcPr>
            <w:tcW w:type="dxa" w:w="2256"/>
          </w:tcPr>
          <w:p>
            <w:pPr>
              <w:jc w:val="center"/>
            </w:pPr>
            <w:r/>
            <w:r>
              <w:rPr>
                <w:rFonts w:ascii="宋体" w:hAnsi="宋体" w:eastAsia="宋体"/>
                <w:b w:val="0"/>
                <w:sz w:val="20"/>
              </w:rPr>
              <w:t>充电桩预测(76%)</w:t>
            </w:r>
          </w:p>
        </w:tc>
        <w:tc>
          <w:tcPr>
            <w:tcW w:type="dxa" w:w="2256"/>
          </w:tcPr>
          <w:p>
            <w:pPr>
              <w:jc w:val="center"/>
            </w:pPr>
            <w:r/>
            <w:r>
              <w:rPr>
                <w:rFonts w:ascii="宋体" w:hAnsi="宋体" w:eastAsia="宋体"/>
                <w:b w:val="0"/>
                <w:sz w:val="20"/>
              </w:rPr>
              <w:t>危化品车队充换电预测</w:t>
            </w:r>
          </w:p>
        </w:tc>
        <w:tc>
          <w:tcPr>
            <w:tcW w:type="dxa" w:w="2256"/>
          </w:tcPr>
          <w:p>
            <w:pPr>
              <w:jc w:val="center"/>
            </w:pPr>
            <w:r/>
            <w:r>
              <w:rPr>
                <w:rFonts w:ascii="宋体" w:hAnsi="宋体" w:eastAsia="宋体"/>
                <w:b w:val="0"/>
                <w:sz w:val="20"/>
              </w:rPr>
              <w:t>高</w:t>
            </w:r>
          </w:p>
        </w:tc>
      </w:tr>
      <w:tr>
        <w:tc>
          <w:tcPr>
            <w:tcW w:type="dxa" w:w="2256"/>
          </w:tcPr>
          <w:p>
            <w:pPr>
              <w:jc w:val="center"/>
            </w:pPr>
            <w:r/>
            <w:r>
              <w:rPr>
                <w:rFonts w:ascii="宋体" w:hAnsi="宋体" w:eastAsia="宋体"/>
                <w:b w:val="0"/>
                <w:sz w:val="20"/>
              </w:rPr>
              <w:t>炼化新材料</w:t>
            </w:r>
          </w:p>
        </w:tc>
        <w:tc>
          <w:tcPr>
            <w:tcW w:type="dxa" w:w="2256"/>
          </w:tcPr>
          <w:p>
            <w:pPr>
              <w:jc w:val="center"/>
            </w:pPr>
            <w:r/>
            <w:r>
              <w:rPr>
                <w:rFonts w:ascii="宋体" w:hAnsi="宋体" w:eastAsia="宋体"/>
                <w:b w:val="0"/>
                <w:sz w:val="20"/>
              </w:rPr>
              <w:t>光伏预测(95%)</w:t>
            </w:r>
          </w:p>
        </w:tc>
        <w:tc>
          <w:tcPr>
            <w:tcW w:type="dxa" w:w="2256"/>
          </w:tcPr>
          <w:p>
            <w:pPr>
              <w:jc w:val="center"/>
            </w:pPr>
            <w:r/>
            <w:r>
              <w:rPr>
                <w:rFonts w:ascii="宋体" w:hAnsi="宋体" w:eastAsia="宋体"/>
                <w:b w:val="0"/>
                <w:sz w:val="20"/>
              </w:rPr>
              <w:t>能耗优化/碳排放核算</w:t>
            </w:r>
          </w:p>
        </w:tc>
        <w:tc>
          <w:tcPr>
            <w:tcW w:type="dxa" w:w="2256"/>
          </w:tcPr>
          <w:p>
            <w:pPr>
              <w:jc w:val="center"/>
            </w:pPr>
            <w:r/>
            <w:r>
              <w:rPr>
                <w:rFonts w:ascii="宋体" w:hAnsi="宋体" w:eastAsia="宋体"/>
                <w:b w:val="0"/>
                <w:sz w:val="20"/>
              </w:rPr>
              <w:t>高</w:t>
            </w:r>
          </w:p>
        </w:tc>
      </w:tr>
      <w:tr>
        <w:tc>
          <w:tcPr>
            <w:tcW w:type="dxa" w:w="2256"/>
          </w:tcPr>
          <w:p>
            <w:pPr>
              <w:jc w:val="center"/>
            </w:pPr>
            <w:r/>
            <w:r>
              <w:rPr>
                <w:rFonts w:ascii="宋体" w:hAnsi="宋体" w:eastAsia="宋体"/>
                <w:b w:val="0"/>
                <w:sz w:val="20"/>
              </w:rPr>
              <w:t>油田技术服务</w:t>
            </w:r>
          </w:p>
        </w:tc>
        <w:tc>
          <w:tcPr>
            <w:tcW w:type="dxa" w:w="2256"/>
          </w:tcPr>
          <w:p>
            <w:pPr>
              <w:jc w:val="center"/>
            </w:pPr>
            <w:r/>
            <w:r>
              <w:rPr>
                <w:rFonts w:ascii="宋体" w:hAnsi="宋体" w:eastAsia="宋体"/>
                <w:b w:val="0"/>
                <w:sz w:val="20"/>
              </w:rPr>
              <w:t>通用时序预测</w:t>
            </w:r>
          </w:p>
        </w:tc>
        <w:tc>
          <w:tcPr>
            <w:tcW w:type="dxa" w:w="2256"/>
          </w:tcPr>
          <w:p>
            <w:pPr>
              <w:jc w:val="center"/>
            </w:pPr>
            <w:r/>
            <w:r>
              <w:rPr>
                <w:rFonts w:ascii="宋体" w:hAnsi="宋体" w:eastAsia="宋体"/>
                <w:b w:val="0"/>
                <w:sz w:val="20"/>
              </w:rPr>
              <w:t>钻井效率优化/压裂效果预测</w:t>
            </w:r>
          </w:p>
        </w:tc>
        <w:tc>
          <w:tcPr>
            <w:tcW w:type="dxa" w:w="2256"/>
          </w:tcPr>
          <w:p>
            <w:pPr>
              <w:jc w:val="center"/>
            </w:pPr>
            <w:r/>
            <w:r>
              <w:rPr>
                <w:rFonts w:ascii="宋体" w:hAnsi="宋体" w:eastAsia="宋体"/>
                <w:b w:val="0"/>
                <w:sz w:val="20"/>
              </w:rPr>
              <w:t>中</w:t>
            </w:r>
          </w:p>
        </w:tc>
      </w:tr>
      <w:tr>
        <w:tc>
          <w:tcPr>
            <w:tcW w:type="dxa" w:w="2256"/>
          </w:tcPr>
          <w:p>
            <w:pPr>
              <w:jc w:val="center"/>
            </w:pPr>
            <w:r/>
            <w:r>
              <w:rPr>
                <w:rFonts w:ascii="宋体" w:hAnsi="宋体" w:eastAsia="宋体"/>
                <w:b w:val="0"/>
                <w:sz w:val="20"/>
              </w:rPr>
              <w:t>销售（加油站）</w:t>
            </w:r>
          </w:p>
        </w:tc>
        <w:tc>
          <w:tcPr>
            <w:tcW w:type="dxa" w:w="2256"/>
          </w:tcPr>
          <w:p>
            <w:pPr>
              <w:jc w:val="center"/>
            </w:pPr>
            <w:r/>
            <w:r>
              <w:rPr>
                <w:rFonts w:ascii="宋体" w:hAnsi="宋体" w:eastAsia="宋体"/>
                <w:b w:val="0"/>
                <w:sz w:val="20"/>
              </w:rPr>
              <w:t>光储充运营平台</w:t>
            </w:r>
          </w:p>
        </w:tc>
        <w:tc>
          <w:tcPr>
            <w:tcW w:type="dxa" w:w="2256"/>
          </w:tcPr>
          <w:p>
            <w:pPr>
              <w:jc w:val="center"/>
            </w:pPr>
            <w:r/>
            <w:r>
              <w:rPr>
                <w:rFonts w:ascii="宋体" w:hAnsi="宋体" w:eastAsia="宋体"/>
                <w:b w:val="0"/>
                <w:sz w:val="20"/>
              </w:rPr>
              <w:t>新能源综合能源站数据服务</w:t>
            </w:r>
          </w:p>
        </w:tc>
        <w:tc>
          <w:tcPr>
            <w:tcW w:type="dxa" w:w="2256"/>
          </w:tcPr>
          <w:p>
            <w:pPr>
              <w:jc w:val="center"/>
            </w:pPr>
            <w:r/>
            <w:r>
              <w:rPr>
                <w:rFonts w:ascii="宋体" w:hAnsi="宋体" w:eastAsia="宋体"/>
                <w:b w:val="0"/>
                <w:sz w:val="20"/>
              </w:rPr>
              <w:t>极高</w:t>
            </w:r>
          </w:p>
        </w:tc>
      </w:tr>
    </w:tbl>
    <w:p>
      <w:pPr>
        <w:jc w:val="center"/>
      </w:pPr>
      <w:r>
        <w:rPr>
          <w:rFonts w:ascii="宋体" w:hAnsi="宋体" w:eastAsia="宋体"/>
          <w:b w:val="0"/>
          <w:sz w:val="20"/>
        </w:rPr>
        <w:t>表3-2 中石油数据域与朗新能力契合度分析</w:t>
      </w:r>
    </w:p>
    <w:p>
      <w:r>
        <w:br w:type="page"/>
      </w:r>
    </w:p>
    <w:p>
      <w:pPr>
        <w:jc w:val="left"/>
      </w:pPr>
      <w:r>
        <w:rPr>
          <w:rFonts w:ascii="黑体" w:hAnsi="黑体" w:eastAsia="黑体"/>
          <w:b/>
          <w:sz w:val="30"/>
        </w:rPr>
        <w:t>第四章  北京数交所合作模式</w:t>
      </w:r>
    </w:p>
    <w:p>
      <w:pPr>
        <w:jc w:val="left"/>
      </w:pPr>
      <w:r>
        <w:rPr>
          <w:rFonts w:ascii="黑体" w:hAnsi="黑体" w:eastAsia="黑体"/>
          <w:b/>
          <w:sz w:val="28"/>
        </w:rPr>
        <w:t>4.1  北数所数据产品上架流程</w:t>
      </w:r>
    </w:p>
    <w:p>
      <w:r>
        <w:rPr>
          <w:rFonts w:ascii="宋体" w:hAnsi="宋体" w:eastAsia="宋体"/>
          <w:b w:val="0"/>
          <w:sz w:val="24"/>
        </w:rPr>
        <w:t>北京数交所数据产品上架遵循严格的合规审查流程，确保数据来源合法、用途合规、权益清晰。朗新作为北数所第一梯队合作伙伴，已熟悉完整上架流程，可为中石油数据产品提供一站式合规上架服务。</w:t>
      </w:r>
    </w:p>
    <w:p>
      <w:r>
        <w:rPr>
          <w:rFonts w:ascii="宋体" w:hAnsi="宋体" w:eastAsia="宋体"/>
          <w:b w:val="0"/>
          <w:sz w:val="24"/>
        </w:rPr>
        <w:t>【标准流程】数据产品上架需经历以下阶段：数据来源确认→数据内容审查→脱敏规则制定→数据产品说明书编制→产品上架申请→合规审查→产品发布→交易测试。</w:t>
      </w:r>
    </w:p>
    <w:p>
      <w:pPr>
        <w:jc w:val="left"/>
      </w:pPr>
      <w:r>
        <w:rPr>
          <w:rFonts w:ascii="黑体" w:hAnsi="黑体" w:eastAsia="黑体"/>
          <w:b/>
          <w:sz w:val="28"/>
        </w:rPr>
        <w:t>4.2  合规审查要点</w:t>
      </w:r>
    </w:p>
    <w:p>
      <w:r>
        <w:rPr>
          <w:rFonts w:ascii="宋体" w:hAnsi="宋体" w:eastAsia="宋体"/>
          <w:b w:val="0"/>
          <w:sz w:val="24"/>
        </w:rPr>
        <w:t>【数据来源合规】需提供数据合法来源证明，中石油作为数据提供方需确认数据采集、存储、使用已获得合法授权。</w:t>
      </w:r>
    </w:p>
    <w:p>
      <w:r>
        <w:rPr>
          <w:rFonts w:ascii="宋体" w:hAnsi="宋体" w:eastAsia="宋体"/>
          <w:b w:val="0"/>
          <w:sz w:val="24"/>
        </w:rPr>
        <w:t>【个人信息保护】涉及个人信息的数据字段必须完成脱敏处理，包括手机号、身份证号、具体地址等敏感字段。</w:t>
      </w:r>
    </w:p>
    <w:p>
      <w:r>
        <w:rPr>
          <w:rFonts w:ascii="宋体" w:hAnsi="宋体" w:eastAsia="宋体"/>
          <w:b w:val="0"/>
          <w:sz w:val="24"/>
        </w:rPr>
        <w:t>【商业秘密保护】涉及中石油核心商业数据（如具体产量、财务数据）需制定专项脱敏规则。</w:t>
      </w:r>
    </w:p>
    <w:p>
      <w:r>
        <w:rPr>
          <w:rFonts w:ascii="宋体" w:hAnsi="宋体" w:eastAsia="宋体"/>
          <w:b w:val="0"/>
          <w:sz w:val="24"/>
        </w:rPr>
        <w:t>【数据安全分级】根据数据敏感程度进行分级管理，高敏感数据需采用隐私计算等高级防护技术。</w:t>
      </w:r>
    </w:p>
    <w:p>
      <w:pPr>
        <w:jc w:val="left"/>
      </w:pPr>
      <w:r>
        <w:rPr>
          <w:rFonts w:ascii="黑体" w:hAnsi="黑体" w:eastAsia="黑体"/>
          <w:b/>
          <w:sz w:val="28"/>
        </w:rPr>
        <w:t>4.3  联合运营分成模式</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9"/>
        <w:gridCol w:w="3009"/>
        <w:gridCol w:w="3009"/>
      </w:tblGrid>
      <w:tr>
        <w:tc>
          <w:tcPr>
            <w:tcW w:type="dxa" w:w="3009"/>
            <w:shd w:fill="D9E2F3"/>
          </w:tcPr>
          <w:p>
            <w:pPr>
              <w:jc w:val="center"/>
            </w:pPr>
            <w:r/>
            <w:r>
              <w:rPr>
                <w:rFonts w:ascii="宋体" w:hAnsi="宋体" w:eastAsia="宋体"/>
                <w:b/>
                <w:sz w:val="20"/>
              </w:rPr>
              <w:t>角色</w:t>
            </w:r>
          </w:p>
        </w:tc>
        <w:tc>
          <w:tcPr>
            <w:tcW w:type="dxa" w:w="3009"/>
            <w:shd w:fill="D9E2F3"/>
          </w:tcPr>
          <w:p>
            <w:pPr>
              <w:jc w:val="center"/>
            </w:pPr>
            <w:r/>
            <w:r>
              <w:rPr>
                <w:rFonts w:ascii="宋体" w:hAnsi="宋体" w:eastAsia="宋体"/>
                <w:b/>
                <w:sz w:val="20"/>
              </w:rPr>
              <w:t>职责</w:t>
            </w:r>
          </w:p>
        </w:tc>
        <w:tc>
          <w:tcPr>
            <w:tcW w:type="dxa" w:w="3009"/>
            <w:shd w:fill="D9E2F3"/>
          </w:tcPr>
          <w:p>
            <w:pPr>
              <w:jc w:val="center"/>
            </w:pPr>
            <w:r/>
            <w:r>
              <w:rPr>
                <w:rFonts w:ascii="宋体" w:hAnsi="宋体" w:eastAsia="宋体"/>
                <w:b/>
                <w:sz w:val="20"/>
              </w:rPr>
              <w:t>分成比例</w:t>
            </w:r>
          </w:p>
        </w:tc>
      </w:tr>
      <w:tr>
        <w:tc>
          <w:tcPr>
            <w:tcW w:type="dxa" w:w="3009"/>
          </w:tcPr>
          <w:p>
            <w:pPr>
              <w:jc w:val="center"/>
            </w:pPr>
            <w:r/>
            <w:r>
              <w:rPr>
                <w:rFonts w:ascii="宋体" w:hAnsi="宋体" w:eastAsia="宋体"/>
                <w:b w:val="0"/>
                <w:sz w:val="20"/>
              </w:rPr>
              <w:t>中石油（数据提供方）</w:t>
            </w:r>
          </w:p>
        </w:tc>
        <w:tc>
          <w:tcPr>
            <w:tcW w:type="dxa" w:w="3009"/>
          </w:tcPr>
          <w:p>
            <w:pPr>
              <w:jc w:val="center"/>
            </w:pPr>
            <w:r/>
            <w:r>
              <w:rPr>
                <w:rFonts w:ascii="宋体" w:hAnsi="宋体" w:eastAsia="宋体"/>
                <w:b w:val="0"/>
                <w:sz w:val="20"/>
              </w:rPr>
              <w:t>数据脱敏、提供、质量保障</w:t>
            </w:r>
          </w:p>
        </w:tc>
        <w:tc>
          <w:tcPr>
            <w:tcW w:type="dxa" w:w="3009"/>
          </w:tcPr>
          <w:p>
            <w:pPr>
              <w:jc w:val="center"/>
            </w:pPr>
            <w:r/>
            <w:r>
              <w:rPr>
                <w:rFonts w:ascii="宋体" w:hAnsi="宋体" w:eastAsia="宋体"/>
                <w:b w:val="0"/>
                <w:sz w:val="20"/>
              </w:rPr>
              <w:t>数据服务费×40%</w:t>
            </w:r>
          </w:p>
        </w:tc>
      </w:tr>
      <w:tr>
        <w:tc>
          <w:tcPr>
            <w:tcW w:type="dxa" w:w="3009"/>
          </w:tcPr>
          <w:p>
            <w:pPr>
              <w:jc w:val="center"/>
            </w:pPr>
            <w:r/>
            <w:r>
              <w:rPr>
                <w:rFonts w:ascii="宋体" w:hAnsi="宋体" w:eastAsia="宋体"/>
                <w:b w:val="0"/>
                <w:sz w:val="20"/>
              </w:rPr>
              <w:t>朗新科技（平台运营方）</w:t>
            </w:r>
          </w:p>
        </w:tc>
        <w:tc>
          <w:tcPr>
            <w:tcW w:type="dxa" w:w="3009"/>
          </w:tcPr>
          <w:p>
            <w:pPr>
              <w:jc w:val="center"/>
            </w:pPr>
            <w:r/>
            <w:r>
              <w:rPr>
                <w:rFonts w:ascii="宋体" w:hAnsi="宋体" w:eastAsia="宋体"/>
                <w:b w:val="0"/>
                <w:sz w:val="20"/>
              </w:rPr>
              <w:t>平台建设、AI建模、产品化、客户服务</w:t>
            </w:r>
          </w:p>
        </w:tc>
        <w:tc>
          <w:tcPr>
            <w:tcW w:type="dxa" w:w="3009"/>
          </w:tcPr>
          <w:p>
            <w:pPr>
              <w:jc w:val="center"/>
            </w:pPr>
            <w:r/>
            <w:r>
              <w:rPr>
                <w:rFonts w:ascii="宋体" w:hAnsi="宋体" w:eastAsia="宋体"/>
                <w:b w:val="0"/>
                <w:sz w:val="20"/>
              </w:rPr>
              <w:t>平台服务费+产品销售分成×40%</w:t>
            </w:r>
          </w:p>
        </w:tc>
      </w:tr>
      <w:tr>
        <w:tc>
          <w:tcPr>
            <w:tcW w:type="dxa" w:w="3009"/>
          </w:tcPr>
          <w:p>
            <w:pPr>
              <w:jc w:val="center"/>
            </w:pPr>
            <w:r/>
            <w:r>
              <w:rPr>
                <w:rFonts w:ascii="宋体" w:hAnsi="宋体" w:eastAsia="宋体"/>
                <w:b w:val="0"/>
                <w:sz w:val="20"/>
              </w:rPr>
              <w:t>北京数交所（交易枢纽）</w:t>
            </w:r>
          </w:p>
        </w:tc>
        <w:tc>
          <w:tcPr>
            <w:tcW w:type="dxa" w:w="3009"/>
          </w:tcPr>
          <w:p>
            <w:pPr>
              <w:jc w:val="center"/>
            </w:pPr>
            <w:r/>
            <w:r>
              <w:rPr>
                <w:rFonts w:ascii="宋体" w:hAnsi="宋体" w:eastAsia="宋体"/>
                <w:b w:val="0"/>
                <w:sz w:val="20"/>
              </w:rPr>
              <w:t>合规认证、交易撮合、监管</w:t>
            </w:r>
          </w:p>
        </w:tc>
        <w:tc>
          <w:tcPr>
            <w:tcW w:type="dxa" w:w="3009"/>
          </w:tcPr>
          <w:p>
            <w:pPr>
              <w:jc w:val="center"/>
            </w:pPr>
            <w:r/>
            <w:r>
              <w:rPr>
                <w:rFonts w:ascii="宋体" w:hAnsi="宋体" w:eastAsia="宋体"/>
                <w:b w:val="0"/>
                <w:sz w:val="20"/>
              </w:rPr>
              <w:t>交易佣金5-10%</w:t>
            </w:r>
          </w:p>
        </w:tc>
      </w:tr>
    </w:tbl>
    <w:p>
      <w:pPr>
        <w:jc w:val="center"/>
      </w:pPr>
      <w:r>
        <w:rPr>
          <w:rFonts w:ascii="宋体" w:hAnsi="宋体" w:eastAsia="宋体"/>
          <w:b w:val="0"/>
          <w:sz w:val="20"/>
        </w:rPr>
        <w:t>表4-1 三方联合运营分成模式</w:t>
      </w:r>
    </w:p>
    <w:p>
      <w:pPr>
        <w:jc w:val="left"/>
      </w:pPr>
      <w:r>
        <w:rPr>
          <w:rFonts w:ascii="黑体" w:hAnsi="黑体" w:eastAsia="黑体"/>
          <w:b/>
          <w:sz w:val="28"/>
        </w:rPr>
        <w:t>4.4  已有合作基础</w:t>
      </w:r>
    </w:p>
    <w:p>
      <w:r>
        <w:rPr>
          <w:rFonts w:ascii="宋体" w:hAnsi="宋体" w:eastAsia="宋体"/>
          <w:b w:val="0"/>
          <w:sz w:val="24"/>
        </w:rPr>
        <w:t>【第一梯队合作伙伴】朗新已被北数所认定为首要合作方，在数据产品创新、平台功能共建等方面享有优先合作权。</w:t>
      </w:r>
    </w:p>
    <w:p>
      <w:r>
        <w:rPr>
          <w:rFonts w:ascii="宋体" w:hAnsi="宋体" w:eastAsia="宋体"/>
          <w:b w:val="0"/>
          <w:sz w:val="24"/>
        </w:rPr>
        <w:t>【已完成上架案例】朗新已有多个数据产品在北数所完成上架，具备完整的合规审查经验。</w:t>
      </w:r>
    </w:p>
    <w:p>
      <w:r>
        <w:rPr>
          <w:rFonts w:ascii="宋体" w:hAnsi="宋体" w:eastAsia="宋体"/>
          <w:b w:val="0"/>
          <w:sz w:val="24"/>
        </w:rPr>
        <w:t>【技术对接成熟】朗新平台与北数所交易系统已完成技术对接，数据产品上架流程已跑通。</w:t>
      </w:r>
    </w:p>
    <w:p>
      <w:r>
        <w:br w:type="page"/>
      </w:r>
    </w:p>
    <w:p>
      <w:pPr>
        <w:jc w:val="left"/>
      </w:pPr>
      <w:r>
        <w:rPr>
          <w:rFonts w:ascii="黑体" w:hAnsi="黑体" w:eastAsia="黑体"/>
          <w:b/>
          <w:sz w:val="30"/>
        </w:rPr>
        <w:t>第五章  三方合作路径设计</w:t>
      </w:r>
    </w:p>
    <w:p>
      <w:pPr>
        <w:jc w:val="left"/>
      </w:pPr>
      <w:r>
        <w:rPr>
          <w:rFonts w:ascii="黑体" w:hAnsi="黑体" w:eastAsia="黑体"/>
          <w:b/>
          <w:sz w:val="28"/>
        </w:rPr>
        <w:t>5.1  合作框架</w:t>
      </w:r>
    </w:p>
    <w:p>
      <w:r>
        <w:rPr>
          <w:rFonts w:ascii="宋体" w:hAnsi="宋体" w:eastAsia="宋体"/>
          <w:b w:val="0"/>
          <w:sz w:val="24"/>
        </w:rPr>
        <w:t>【顶层架构】北京数交所作为国家级数据交易枢纽，提供数据登记认证、交易撮合、监管合规三大核心职能，构建可信的数据流通环境。</w:t>
      </w:r>
    </w:p>
    <w:p>
      <w:r>
        <w:rPr>
          <w:rFonts w:ascii="宋体" w:hAnsi="宋体" w:eastAsia="宋体"/>
          <w:b w:val="0"/>
          <w:sz w:val="24"/>
        </w:rPr>
        <w:t>【中间层】朗新科技能源互联网可信数据空间平台作为技术中台，承载数据接入、AI建模、产品化、运营服务全流程能力。</w:t>
      </w:r>
    </w:p>
    <w:p>
      <w:r>
        <w:rPr>
          <w:rFonts w:ascii="宋体" w:hAnsi="宋体" w:eastAsia="宋体"/>
          <w:b w:val="0"/>
          <w:sz w:val="24"/>
        </w:rPr>
        <w:t>【数据层】中石油作为核心数据提供方，通过平台提供脱敏后的油气生产、天然气销售、炼化加工、运输物流等全产业链数据。</w:t>
      </w:r>
    </w:p>
    <w:p>
      <w:r>
        <w:rPr>
          <w:rFonts w:ascii="宋体" w:hAnsi="宋体" w:eastAsia="宋体"/>
          <w:b w:val="0"/>
          <w:sz w:val="24"/>
        </w:rPr>
        <w:t>【应用层】面向电网公司、城燃企业、物流平台、保险公司、碳资产管理公司等客户提供多元化数据产品和服务。</w:t>
      </w:r>
    </w:p>
    <w:p>
      <w:pPr>
        <w:jc w:val="left"/>
      </w:pPr>
      <w:r>
        <w:rPr>
          <w:rFonts w:ascii="黑体" w:hAnsi="黑体" w:eastAsia="黑体"/>
          <w:b/>
          <w:sz w:val="28"/>
        </w:rPr>
        <w:t>5.2  数据流向设计</w:t>
      </w:r>
    </w:p>
    <w:p>
      <w:r>
        <w:rPr>
          <w:rFonts w:ascii="宋体" w:hAnsi="宋体" w:eastAsia="宋体"/>
          <w:b w:val="0"/>
          <w:sz w:val="24"/>
        </w:rPr>
        <w:t>【正向数据流】中石油各业务系统生产数据→数据脱敏处理→朗新可信数据空间接入→AI模型分析处理→数据产品封装→北数所登记认证→客户订阅使用。</w:t>
      </w:r>
    </w:p>
    <w:p>
      <w:r>
        <w:rPr>
          <w:rFonts w:ascii="宋体" w:hAnsi="宋体" w:eastAsia="宋体"/>
          <w:b w:val="0"/>
          <w:sz w:val="24"/>
        </w:rPr>
        <w:t>【反馈数据流】客户使用反馈→产品优化建议→AI模型迭代→平台服务升级→数据需求更新→中石油数据范围调整，形成完整的数据价值闭环。</w:t>
      </w:r>
    </w:p>
    <w:p>
      <w:pPr>
        <w:jc w:val="left"/>
      </w:pPr>
      <w:r>
        <w:rPr>
          <w:rFonts w:ascii="黑体" w:hAnsi="黑体" w:eastAsia="黑体"/>
          <w:b/>
          <w:sz w:val="28"/>
        </w:rPr>
        <w:t>5.3  产品形态规划</w:t>
      </w:r>
    </w:p>
    <w:p>
      <w:r>
        <w:rPr>
          <w:rFonts w:ascii="宋体" w:hAnsi="宋体" w:eastAsia="宋体"/>
          <w:b w:val="0"/>
          <w:sz w:val="24"/>
        </w:rPr>
        <w:t>【API实时调用类】适用于预测类、查询类数据产品，如城燃用气预测API、充电桩需求预测API，支持客户系统实时调用，按调用量计费。</w:t>
      </w:r>
    </w:p>
    <w:p>
      <w:r>
        <w:rPr>
          <w:rFonts w:ascii="宋体" w:hAnsi="宋体" w:eastAsia="宋体"/>
          <w:b w:val="0"/>
          <w:sz w:val="24"/>
        </w:rPr>
        <w:t>【数据包订阅类】适用于统计类、分析类数据产品，如危化品运输轨迹数据包、月度油气生产数据报告，支持定期推送，按订阅期计费。</w:t>
      </w:r>
    </w:p>
    <w:p>
      <w:r>
        <w:rPr>
          <w:rFonts w:ascii="宋体" w:hAnsi="宋体" w:eastAsia="宋体"/>
          <w:b w:val="0"/>
          <w:sz w:val="24"/>
        </w:rPr>
        <w:t>【数据流实时推送类】适用于监控类、告警类数据产品，如管道运行状态实时数据流、异常告警推送，支持实时数据推送，按数据量计费。</w:t>
      </w:r>
    </w:p>
    <w:p>
      <w:r>
        <w:rPr>
          <w:rFonts w:ascii="宋体" w:hAnsi="宋体" w:eastAsia="宋体"/>
          <w:b w:val="0"/>
          <w:sz w:val="24"/>
        </w:rPr>
        <w:t>【报告分析类】适用于综合分析类需求，如新能源综合能源站效能评估报告、碳排放核算报告，支持定制化分析报告，按项目计费。</w:t>
      </w:r>
    </w:p>
    <w:p>
      <w:pPr>
        <w:jc w:val="left"/>
      </w:pPr>
      <w:r>
        <w:rPr>
          <w:rFonts w:ascii="黑体" w:hAnsi="黑体" w:eastAsia="黑体"/>
          <w:b/>
          <w:sz w:val="28"/>
        </w:rPr>
        <w:t>5.4  收益分配方案</w:t>
      </w:r>
    </w:p>
    <w:p>
      <w:r>
        <w:rPr>
          <w:rFonts w:ascii="宋体" w:hAnsi="宋体" w:eastAsia="宋体"/>
          <w:b w:val="0"/>
          <w:sz w:val="24"/>
        </w:rPr>
        <w:t>【定价策略】根据数据价值、客户类型、市场竞争情况综合定价，参考市场价格体系建立朗新数据产品定价标准。</w:t>
      </w:r>
    </w:p>
    <w:p>
      <w:r>
        <w:rPr>
          <w:rFonts w:ascii="宋体" w:hAnsi="宋体" w:eastAsia="宋体"/>
          <w:b w:val="0"/>
          <w:sz w:val="24"/>
        </w:rPr>
        <w:t>【结算周期】月度结算为主，API调用类按月统计调用量并出具账单，数据包订阅类按月收取订阅费，报告类按项目里程碑结算。</w:t>
      </w:r>
    </w:p>
    <w:p>
      <w:r>
        <w:rPr>
          <w:rFonts w:ascii="宋体" w:hAnsi="宋体" w:eastAsia="宋体"/>
          <w:b w:val="0"/>
          <w:sz w:val="24"/>
        </w:rPr>
        <w:t>【最低保底】对于战略性客户可签订年度最低消费保底协议，确保基础收益。</w:t>
      </w:r>
    </w:p>
    <w:p>
      <w:r>
        <w:rPr>
          <w:rFonts w:ascii="宋体" w:hAnsi="宋体" w:eastAsia="宋体"/>
          <w:b w:val="0"/>
          <w:sz w:val="24"/>
        </w:rPr>
        <w:t>【阶梯优惠】对于大规模采购客户给予阶梯价格优惠，激励客户扩大使用规模。</w:t>
      </w:r>
    </w:p>
    <w:p>
      <w:r>
        <w:br w:type="page"/>
      </w:r>
    </w:p>
    <w:p>
      <w:pPr>
        <w:jc w:val="left"/>
      </w:pPr>
      <w:r>
        <w:rPr>
          <w:rFonts w:ascii="黑体" w:hAnsi="黑体" w:eastAsia="黑体"/>
          <w:b/>
          <w:sz w:val="30"/>
        </w:rPr>
        <w:t>第六章  首批数据产品方案（P0）</w:t>
      </w:r>
    </w:p>
    <w:p>
      <w:pPr>
        <w:jc w:val="left"/>
      </w:pPr>
      <w:r>
        <w:rPr>
          <w:rFonts w:ascii="黑体" w:hAnsi="黑体" w:eastAsia="黑体"/>
          <w:b/>
          <w:sz w:val="28"/>
        </w:rPr>
        <w:t>6.1  产品一：城燃用气预测数据产品</w:t>
      </w:r>
    </w:p>
    <w:p>
      <w:r>
        <w:rPr>
          <w:rFonts w:ascii="宋体" w:hAnsi="宋体" w:eastAsia="宋体"/>
          <w:b w:val="0"/>
          <w:sz w:val="24"/>
        </w:rPr>
        <w:t>【产品定位】面向城燃公司和天然气管网公司的用气需求预测服务，帮助客户优化天然气采购策略和管网调度计划。</w:t>
      </w:r>
    </w:p>
    <w:p>
      <w:r>
        <w:rPr>
          <w:rFonts w:ascii="宋体" w:hAnsi="宋体" w:eastAsia="宋体"/>
          <w:b w:val="0"/>
          <w:sz w:val="24"/>
        </w:rPr>
        <w:t>【数据来源】中石油天然气销售域——城燃客户日/月用气量数据、管道SCADA实时数据（压力、温度、流量）、场站运行数据。</w:t>
      </w:r>
    </w:p>
    <w:p>
      <w:r>
        <w:rPr>
          <w:rFonts w:ascii="宋体" w:hAnsi="宋体" w:eastAsia="宋体"/>
          <w:b w:val="0"/>
          <w:sz w:val="24"/>
        </w:rPr>
        <w:t>【数据体量】覆盖全国400余个城市燃气项目，约10万个城燃客户站点，日均处理用气数据超500万条。</w:t>
      </w:r>
    </w:p>
    <w:p>
      <w:r>
        <w:rPr>
          <w:rFonts w:ascii="宋体" w:hAnsi="宋体" w:eastAsia="宋体"/>
          <w:b w:val="0"/>
          <w:sz w:val="24"/>
        </w:rPr>
        <w:t>【产品形态】API实时调用（T+1/T+7/T+30滚动预测）+ 月度预测分析报告。</w:t>
      </w:r>
    </w:p>
    <w:p>
      <w:r>
        <w:rPr>
          <w:rFonts w:ascii="宋体" w:hAnsi="宋体" w:eastAsia="宋体"/>
          <w:b w:val="0"/>
          <w:sz w:val="24"/>
        </w:rPr>
        <w:t>【目标客户】各城市燃气公司、天然气管网公司、省级燃气集团、能源贸易商。</w:t>
      </w:r>
    </w:p>
    <w:p>
      <w:r>
        <w:rPr>
          <w:rFonts w:ascii="宋体" w:hAnsi="宋体" w:eastAsia="宋体"/>
          <w:b w:val="0"/>
          <w:sz w:val="24"/>
        </w:rPr>
        <w:t>【朗新AI能力应用】直接复用朗新已商用的电力负荷预测模型（准确率90%），基于历史用气数据训练城燃用气预测模型，预计模型准确率可达85%以上。</w:t>
      </w:r>
    </w:p>
    <w:p>
      <w:r>
        <w:rPr>
          <w:rFonts w:ascii="宋体" w:hAnsi="宋体" w:eastAsia="宋体"/>
          <w:b w:val="0"/>
          <w:sz w:val="24"/>
        </w:rPr>
        <w:t>【北数所角色】完成数据产品登记认证，确认数据脱敏合规，发布产品并提供交易撮合服务。</w:t>
      </w:r>
    </w:p>
    <w:p>
      <w:r>
        <w:rPr>
          <w:rFonts w:ascii="宋体" w:hAnsi="宋体" w:eastAsia="宋体"/>
          <w:b w:val="0"/>
          <w:sz w:val="24"/>
        </w:rPr>
        <w:t>【收益预估】单城燃公司年服务费50-200万元（视覆盖范围和服务深度），全国城燃市场潜在规模超50亿元/年。</w:t>
      </w:r>
    </w:p>
    <w:p>
      <w:pPr>
        <w:jc w:val="left"/>
      </w:pPr>
      <w:r>
        <w:rPr>
          <w:rFonts w:ascii="黑体" w:hAnsi="黑体" w:eastAsia="黑体"/>
          <w:b/>
          <w:sz w:val="28"/>
        </w:rPr>
        <w:t>6.2  产品二：危化品运输轨迹数据产品</w:t>
      </w:r>
    </w:p>
    <w:p>
      <w:r>
        <w:rPr>
          <w:rFonts w:ascii="宋体" w:hAnsi="宋体" w:eastAsia="宋体"/>
          <w:b w:val="0"/>
          <w:sz w:val="24"/>
        </w:rPr>
        <w:t>【产品定位】面向物流平台公司和保险公司的危化品运输轨迹数据服务，帮助客户优化车队管理和保险定价。</w:t>
      </w:r>
    </w:p>
    <w:p>
      <w:r>
        <w:rPr>
          <w:rFonts w:ascii="宋体" w:hAnsi="宋体" w:eastAsia="宋体"/>
          <w:b w:val="0"/>
          <w:sz w:val="24"/>
        </w:rPr>
        <w:t>【数据来源】中石油运输物流域——全国危化品运输车辆轨迹数据（位置、速度、驾驶行为）、运单数据、运费结算数据。</w:t>
      </w:r>
    </w:p>
    <w:p>
      <w:r>
        <w:rPr>
          <w:rFonts w:ascii="宋体" w:hAnsi="宋体" w:eastAsia="宋体"/>
          <w:b w:val="0"/>
          <w:sz w:val="24"/>
        </w:rPr>
        <w:t>【数据体量】覆盖全国超5万辆危化品运输许可车辆，日均轨迹数据更新超5000万条。</w:t>
      </w:r>
    </w:p>
    <w:p>
      <w:r>
        <w:rPr>
          <w:rFonts w:ascii="宋体" w:hAnsi="宋体" w:eastAsia="宋体"/>
          <w:b w:val="0"/>
          <w:sz w:val="24"/>
        </w:rPr>
        <w:t>【产品形态】实时数据流订阅（轨迹实时推送）+ 查询API（历史轨迹回放）+ 统计报告。</w:t>
      </w:r>
    </w:p>
    <w:p>
      <w:r>
        <w:rPr>
          <w:rFonts w:ascii="宋体" w:hAnsi="宋体" w:eastAsia="宋体"/>
          <w:b w:val="0"/>
          <w:sz w:val="24"/>
        </w:rPr>
        <w:t>【目标客户】物流信息平台、危化品运输企业、财产保险公司、交通管理部门。</w:t>
      </w:r>
    </w:p>
    <w:p>
      <w:r>
        <w:rPr>
          <w:rFonts w:ascii="宋体" w:hAnsi="宋体" w:eastAsia="宋体"/>
          <w:b w:val="0"/>
          <w:sz w:val="24"/>
        </w:rPr>
        <w:t>【朗新AI能力应用】基于轨迹数据分析能力，提供车队充换电需求预测（复用充电桩预测76%准确率）、驾驶安全评分、异常轨迹识别等增值服务。</w:t>
      </w:r>
    </w:p>
    <w:p>
      <w:r>
        <w:rPr>
          <w:rFonts w:ascii="宋体" w:hAnsi="宋体" w:eastAsia="宋体"/>
          <w:b w:val="0"/>
          <w:sz w:val="24"/>
        </w:rPr>
        <w:t>【北数所角色】完成危化品运输数据的确权登记，明确数据使用范围和权益保障要求。</w:t>
      </w:r>
    </w:p>
    <w:p>
      <w:r>
        <w:rPr>
          <w:rFonts w:ascii="宋体" w:hAnsi="宋体" w:eastAsia="宋体"/>
          <w:b w:val="0"/>
          <w:sz w:val="24"/>
        </w:rPr>
        <w:t>【收益预估】基础数据服务：10万车辆×200元/年=2000万元/年；增值服务额外增收，全国市场潜力超5000万元/年。</w:t>
      </w:r>
    </w:p>
    <w:p>
      <w:r>
        <w:br w:type="page"/>
      </w:r>
    </w:p>
    <w:p>
      <w:pPr>
        <w:jc w:val="left"/>
      </w:pPr>
      <w:r>
        <w:rPr>
          <w:rFonts w:ascii="黑体" w:hAnsi="黑体" w:eastAsia="黑体"/>
          <w:b/>
          <w:sz w:val="30"/>
        </w:rPr>
        <w:t>第七章  实施路径</w:t>
      </w:r>
    </w:p>
    <w:p>
      <w:pPr>
        <w:jc w:val="left"/>
      </w:pPr>
      <w:r>
        <w:rPr>
          <w:rFonts w:ascii="黑体" w:hAnsi="黑体" w:eastAsia="黑体"/>
          <w:b/>
          <w:sz w:val="28"/>
        </w:rPr>
        <w:t>7.1  阶段一：试点验证（1-3个月）</w:t>
      </w:r>
    </w:p>
    <w:p>
      <w:r>
        <w:rPr>
          <w:rFonts w:ascii="宋体" w:hAnsi="宋体" w:eastAsia="宋体"/>
          <w:b w:val="0"/>
          <w:sz w:val="24"/>
        </w:rPr>
        <w:t>【目标】完成首批2个数据产品的试点验证，验证技术可行性和商业价值。</w:t>
      </w:r>
    </w:p>
    <w:p>
      <w:r>
        <w:rPr>
          <w:rFonts w:ascii="宋体" w:hAnsi="宋体" w:eastAsia="宋体"/>
          <w:b w:val="0"/>
          <w:sz w:val="24"/>
        </w:rPr>
        <w:t>【关键动作】①朗新提交数据产品详细方案（产品说明书、数据需求清单、技术方案）；②中石油确认可脱敏数据范围，签署试点数据合作协议；③三方签署试点合作协议；④选择1个城燃用气预测场景+1个危化品运输轨迹场景开展试点；⑤完成数据接入、模型训练、产品封装、客户试用反馈。</w:t>
      </w:r>
    </w:p>
    <w:p>
      <w:r>
        <w:rPr>
          <w:rFonts w:ascii="宋体" w:hAnsi="宋体" w:eastAsia="宋体"/>
          <w:b w:val="0"/>
          <w:sz w:val="24"/>
        </w:rPr>
        <w:t>【产出】试点数据产品说明书、数据脱敏方案、试点合作协议、首批客户试用报告。</w:t>
      </w:r>
    </w:p>
    <w:p>
      <w:r>
        <w:rPr>
          <w:rFonts w:ascii="宋体" w:hAnsi="宋体" w:eastAsia="宋体"/>
          <w:b w:val="0"/>
          <w:sz w:val="24"/>
        </w:rPr>
        <w:t>【资源投入】朗新3-5人月+中石油2-3人月+北数所1-2人月。</w:t>
      </w:r>
    </w:p>
    <w:p>
      <w:pPr>
        <w:jc w:val="left"/>
      </w:pPr>
      <w:r>
        <w:rPr>
          <w:rFonts w:ascii="黑体" w:hAnsi="黑体" w:eastAsia="黑体"/>
          <w:b/>
          <w:sz w:val="28"/>
        </w:rPr>
        <w:t>7.2  阶段二：产品上架（3-6个月）</w:t>
      </w:r>
    </w:p>
    <w:p>
      <w:r>
        <w:rPr>
          <w:rFonts w:ascii="宋体" w:hAnsi="宋体" w:eastAsia="宋体"/>
          <w:b w:val="0"/>
          <w:sz w:val="24"/>
        </w:rPr>
        <w:t>【目标】首批2个数据产品正式上架北数所，开始商业化运营。</w:t>
      </w:r>
    </w:p>
    <w:p>
      <w:r>
        <w:rPr>
          <w:rFonts w:ascii="宋体" w:hAnsi="宋体" w:eastAsia="宋体"/>
          <w:b w:val="0"/>
          <w:sz w:val="24"/>
        </w:rPr>
        <w:t>【关键动作】①完成北数所数据产品登记上架（含合规审查、产品发布、交易测试）；②朗新完成可信数据空间接入适配；③开展首批客户推广，目标：签约3-5家城燃公司+2家物流/保险客户；④建立客户服务SOP。</w:t>
      </w:r>
    </w:p>
    <w:p>
      <w:r>
        <w:rPr>
          <w:rFonts w:ascii="宋体" w:hAnsi="宋体" w:eastAsia="宋体"/>
          <w:b w:val="0"/>
          <w:sz w:val="24"/>
        </w:rPr>
        <w:t>【产出】北数所数据产品上架证明、首批客户签约意向书/合同、平台运营SOP文档。</w:t>
      </w:r>
    </w:p>
    <w:p>
      <w:r>
        <w:rPr>
          <w:rFonts w:ascii="宋体" w:hAnsi="宋体" w:eastAsia="宋体"/>
          <w:b w:val="0"/>
          <w:sz w:val="24"/>
        </w:rPr>
        <w:t>【资源投入】朗新5-8人月+中石油3-5人月+北数所2-3人月。</w:t>
      </w:r>
    </w:p>
    <w:p>
      <w:pPr>
        <w:jc w:val="left"/>
      </w:pPr>
      <w:r>
        <w:rPr>
          <w:rFonts w:ascii="黑体" w:hAnsi="黑体" w:eastAsia="黑体"/>
          <w:b/>
          <w:sz w:val="28"/>
        </w:rPr>
        <w:t>7.3  阶段三：规模推广（6-12个月）</w:t>
      </w:r>
    </w:p>
    <w:p>
      <w:r>
        <w:rPr>
          <w:rFonts w:ascii="宋体" w:hAnsi="宋体" w:eastAsia="宋体"/>
          <w:b w:val="0"/>
          <w:sz w:val="24"/>
        </w:rPr>
        <w:t>【目标】完成产品矩阵规模化推广，实现年合同金额500-2000万元目标。</w:t>
      </w:r>
    </w:p>
    <w:p>
      <w:r>
        <w:rPr>
          <w:rFonts w:ascii="宋体" w:hAnsi="宋体" w:eastAsia="宋体"/>
          <w:b w:val="0"/>
          <w:sz w:val="24"/>
        </w:rPr>
        <w:t>【关键动作】①第二批3个数据产品（油气产量预测、管道完整性评估、炼化能耗优化）开发完成；②复制推广到更多城燃企业（目标覆盖50%以上已合作城燃公司）；③推进与更多油气田的数据合作；④探索与中石油内部系统深度对接。</w:t>
      </w:r>
    </w:p>
    <w:p>
      <w:r>
        <w:rPr>
          <w:rFonts w:ascii="宋体" w:hAnsi="宋体" w:eastAsia="宋体"/>
          <w:b w:val="0"/>
          <w:sz w:val="24"/>
        </w:rPr>
        <w:t>【产出】5个以上数据产品矩阵、年度合同金额500-2000万元、战略合作深化方案。</w:t>
      </w:r>
    </w:p>
    <w:p>
      <w:r>
        <w:rPr>
          <w:rFonts w:ascii="宋体" w:hAnsi="宋体" w:eastAsia="宋体"/>
          <w:b w:val="0"/>
          <w:sz w:val="24"/>
        </w:rPr>
        <w:t>【资源投入】朗新10-15人月+中石油5-8人月+北数所3-5人月。</w:t>
      </w:r>
    </w:p>
    <w:p>
      <w:r>
        <w:br w:type="page"/>
      </w:r>
    </w:p>
    <w:p>
      <w:pPr>
        <w:jc w:val="left"/>
      </w:pPr>
      <w:r>
        <w:rPr>
          <w:rFonts w:ascii="黑体" w:hAnsi="黑体" w:eastAsia="黑体"/>
          <w:b/>
          <w:sz w:val="30"/>
        </w:rPr>
        <w:t>第八章  中石油加油站"光储充"一体化场景分析</w:t>
      </w:r>
    </w:p>
    <w:p>
      <w:pPr>
        <w:jc w:val="left"/>
      </w:pPr>
      <w:r>
        <w:rPr>
          <w:rFonts w:ascii="黑体" w:hAnsi="黑体" w:eastAsia="黑体"/>
          <w:b/>
          <w:sz w:val="28"/>
        </w:rPr>
        <w:t>8.1  中石油加油站网络规模</w:t>
      </w:r>
    </w:p>
    <w:p>
      <w:r>
        <w:rPr>
          <w:rFonts w:ascii="宋体" w:hAnsi="宋体" w:eastAsia="宋体"/>
          <w:b w:val="0"/>
          <w:sz w:val="24"/>
        </w:rPr>
        <w:t>中石油加油站网络是中国乃至亚洲最大的加油网络之一，具备开展"光储充"一体化改造的得天独厚条件。</w:t>
      </w:r>
    </w:p>
    <w:p>
      <w:r>
        <w:rPr>
          <w:rFonts w:ascii="宋体" w:hAnsi="宋体" w:eastAsia="宋体"/>
          <w:b w:val="0"/>
          <w:sz w:val="24"/>
        </w:rPr>
        <w:t>【全国覆盖】全国加油站数量约22,000座，覆盖全国省市自治区，县级行政区覆盖率超过95%，是中国最广泛的能源零售网络。</w:t>
      </w:r>
    </w:p>
    <w:p>
      <w:r>
        <w:rPr>
          <w:rFonts w:ascii="宋体" w:hAnsi="宋体" w:eastAsia="宋体"/>
          <w:b w:val="0"/>
          <w:sz w:val="24"/>
        </w:rPr>
        <w:t>【场地资源】单站占地面积大，罩棚及附属建筑屋顶可利用面积达200-800平方米/站，为分布式光伏安装提供充足空间资源。</w:t>
      </w:r>
    </w:p>
    <w:p>
      <w:r>
        <w:rPr>
          <w:rFonts w:ascii="宋体" w:hAnsi="宋体" w:eastAsia="宋体"/>
          <w:b w:val="0"/>
          <w:sz w:val="24"/>
        </w:rPr>
        <w:t>【电网接入】加油站已具备成熟的配电条件，变压器容量可满足光储充一体化改造后的增量用电需求，并网接入成本低。</w:t>
      </w:r>
    </w:p>
    <w:p>
      <w:r>
        <w:rPr>
          <w:rFonts w:ascii="宋体" w:hAnsi="宋体" w:eastAsia="宋体"/>
          <w:b w:val="0"/>
          <w:sz w:val="24"/>
        </w:rPr>
        <w:t>【客户基础】加油站日均服务车辆超1000万辆次，拥有高价值的私家车、出租车、网约车、物流车等新能源潜在用户群体。</w:t>
      </w:r>
    </w:p>
    <w:p>
      <w:pPr>
        <w:jc w:val="left"/>
      </w:pPr>
      <w:r>
        <w:rPr>
          <w:rFonts w:ascii="黑体" w:hAnsi="黑体" w:eastAsia="黑体"/>
          <w:b/>
          <w:sz w:val="28"/>
        </w:rPr>
        <w:t>8.2  光储充一体化场景价值</w:t>
      </w:r>
    </w:p>
    <w:p>
      <w:r>
        <w:rPr>
          <w:rFonts w:ascii="宋体" w:hAnsi="宋体" w:eastAsia="宋体"/>
          <w:b w:val="0"/>
          <w:sz w:val="24"/>
        </w:rPr>
        <w:t>中石油加油站与光储充一体化相结合，将传统加油站升级为"新能源综合能源站"，形成全新的业务形态和盈利模式。</w:t>
      </w:r>
    </w:p>
    <w:p>
      <w:pPr>
        <w:jc w:val="left"/>
      </w:pPr>
      <w:r>
        <w:rPr>
          <w:rFonts w:ascii="黑体" w:hAnsi="黑体" w:eastAsia="黑体"/>
          <w:b/>
          <w:sz w:val="24"/>
        </w:rPr>
        <w:t>8.2.1  "光"——分布式光伏</w:t>
      </w:r>
    </w:p>
    <w:p>
      <w:r>
        <w:rPr>
          <w:rFonts w:ascii="宋体" w:hAnsi="宋体" w:eastAsia="宋体"/>
          <w:b w:val="0"/>
          <w:sz w:val="24"/>
        </w:rPr>
        <w:t>【装机规模】加油站屋顶/罩棚面积200-800㎡，可安装分布式光伏30-150kWp/站，年发电量3-15万度/站（视地区光照条件）。</w:t>
      </w:r>
    </w:p>
    <w:p>
      <w:r>
        <w:rPr>
          <w:rFonts w:ascii="宋体" w:hAnsi="宋体" w:eastAsia="宋体"/>
          <w:b w:val="0"/>
          <w:sz w:val="24"/>
        </w:rPr>
        <w:t>【全国潜力】若30%加油站实施光伏改造，即约6,600座加油站×平均50kWp=全国潜力装机规模33亿Wp，年发电量约40亿度。</w:t>
      </w:r>
    </w:p>
    <w:p>
      <w:r>
        <w:rPr>
          <w:rFonts w:ascii="宋体" w:hAnsi="宋体" w:eastAsia="宋体"/>
          <w:b w:val="0"/>
          <w:sz w:val="24"/>
        </w:rPr>
        <w:t>【碳减排价值】按全国6,600座加油站光伏年发电40亿度测算，年减碳量约320万吨（按0.8kgCO2/kWh）。</w:t>
      </w:r>
    </w:p>
    <w:p>
      <w:pPr>
        <w:jc w:val="left"/>
      </w:pPr>
      <w:r>
        <w:rPr>
          <w:rFonts w:ascii="黑体" w:hAnsi="黑体" w:eastAsia="黑体"/>
          <w:b/>
          <w:sz w:val="24"/>
        </w:rPr>
        <w:t>8.2.2  "储"——储能系统</w:t>
      </w:r>
    </w:p>
    <w:p>
      <w:r>
        <w:rPr>
          <w:rFonts w:ascii="宋体" w:hAnsi="宋体" w:eastAsia="宋体"/>
          <w:b w:val="0"/>
          <w:sz w:val="24"/>
        </w:rPr>
        <w:t>【核心功能】平抑光伏发电波动、削峰填谷降低电费、应急备电保障运营、参加电网调峰辅助服务。</w:t>
      </w:r>
    </w:p>
    <w:p>
      <w:r>
        <w:rPr>
          <w:rFonts w:ascii="宋体" w:hAnsi="宋体" w:eastAsia="宋体"/>
          <w:b w:val="0"/>
          <w:sz w:val="24"/>
        </w:rPr>
        <w:t>【配置方案】根据加油站规模，配置100-500kWh储能系统，优先选用安全性高的磷酸铁锂电池。</w:t>
      </w:r>
    </w:p>
    <w:p>
      <w:r>
        <w:rPr>
          <w:rFonts w:ascii="宋体" w:hAnsi="宋体" w:eastAsia="宋体"/>
          <w:b w:val="0"/>
          <w:sz w:val="24"/>
        </w:rPr>
        <w:t>【经济价值】峰谷套利（谷时储电、峰时放电）可降低电费支出10-20%；参与电网调峰可获取辅助服务补贴。</w:t>
      </w:r>
    </w:p>
    <w:p>
      <w:pPr>
        <w:jc w:val="left"/>
      </w:pPr>
      <w:r>
        <w:rPr>
          <w:rFonts w:ascii="黑体" w:hAnsi="黑体" w:eastAsia="黑体"/>
          <w:b/>
          <w:sz w:val="24"/>
        </w:rPr>
        <w:t>8.2.3  "充"——充电桩</w:t>
      </w:r>
    </w:p>
    <w:p>
      <w:r>
        <w:rPr>
          <w:rFonts w:ascii="宋体" w:hAnsi="宋体" w:eastAsia="宋体"/>
          <w:b w:val="0"/>
          <w:sz w:val="24"/>
        </w:rPr>
        <w:t>【现状】中石油已与多家充电运营商建立合作关系，加油站充电业务正在快速扩展。</w:t>
      </w:r>
    </w:p>
    <w:p>
      <w:r>
        <w:rPr>
          <w:rFonts w:ascii="宋体" w:hAnsi="宋体" w:eastAsia="宋体"/>
          <w:b w:val="0"/>
          <w:sz w:val="24"/>
        </w:rPr>
        <w:t>【目标场景】加油+充电+便利店一体化综合服务，打造"人·车·生活"生态圈，提升客户粘性和单客价值。</w:t>
      </w:r>
    </w:p>
    <w:p>
      <w:r>
        <w:rPr>
          <w:rFonts w:ascii="宋体" w:hAnsi="宋体" w:eastAsia="宋体"/>
          <w:b w:val="0"/>
          <w:sz w:val="24"/>
        </w:rPr>
        <w:t>【目标用户】私家车、出租车、网约车、物流车等各类新能源车主，潜在用户规模超千万人次/日。</w:t>
      </w:r>
    </w:p>
    <w:p>
      <w:pPr>
        <w:jc w:val="left"/>
      </w:pPr>
      <w:r>
        <w:rPr>
          <w:rFonts w:ascii="黑体" w:hAnsi="黑体" w:eastAsia="黑体"/>
          <w:b/>
          <w:sz w:val="28"/>
        </w:rPr>
        <w:t>8.3  数据资源支撑</w:t>
      </w:r>
    </w:p>
    <w:p>
      <w:r>
        <w:rPr>
          <w:rFonts w:ascii="宋体" w:hAnsi="宋体" w:eastAsia="宋体"/>
          <w:b w:val="0"/>
          <w:sz w:val="24"/>
        </w:rPr>
        <w:t>光储充一体化运营产生大量高价值数据，这些数据可通过朗新平台产品化后在北数所流通变现：</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6"/>
        <w:gridCol w:w="2256"/>
        <w:gridCol w:w="2256"/>
        <w:gridCol w:w="2256"/>
      </w:tblGrid>
      <w:tr>
        <w:tc>
          <w:tcPr>
            <w:tcW w:type="dxa" w:w="2256"/>
            <w:shd w:fill="D9E2F3"/>
          </w:tcPr>
          <w:p>
            <w:pPr>
              <w:jc w:val="center"/>
            </w:pPr>
            <w:r/>
            <w:r>
              <w:rPr>
                <w:rFonts w:ascii="宋体" w:hAnsi="宋体" w:eastAsia="宋体"/>
                <w:b/>
                <w:sz w:val="20"/>
              </w:rPr>
              <w:t>数据类型</w:t>
            </w:r>
          </w:p>
        </w:tc>
        <w:tc>
          <w:tcPr>
            <w:tcW w:type="dxa" w:w="2256"/>
            <w:shd w:fill="D9E2F3"/>
          </w:tcPr>
          <w:p>
            <w:pPr>
              <w:jc w:val="center"/>
            </w:pPr>
            <w:r/>
            <w:r>
              <w:rPr>
                <w:rFonts w:ascii="宋体" w:hAnsi="宋体" w:eastAsia="宋体"/>
                <w:b/>
                <w:sz w:val="20"/>
              </w:rPr>
              <w:t>数据来源域</w:t>
            </w:r>
          </w:p>
        </w:tc>
        <w:tc>
          <w:tcPr>
            <w:tcW w:type="dxa" w:w="2256"/>
            <w:shd w:fill="D9E2F3"/>
          </w:tcPr>
          <w:p>
            <w:pPr>
              <w:jc w:val="center"/>
            </w:pPr>
            <w:r/>
            <w:r>
              <w:rPr>
                <w:rFonts w:ascii="宋体" w:hAnsi="宋体" w:eastAsia="宋体"/>
                <w:b/>
                <w:sz w:val="20"/>
              </w:rPr>
              <w:t>应用场景</w:t>
            </w:r>
          </w:p>
        </w:tc>
        <w:tc>
          <w:tcPr>
            <w:tcW w:type="dxa" w:w="2256"/>
            <w:shd w:fill="D9E2F3"/>
          </w:tcPr>
          <w:p>
            <w:pPr>
              <w:jc w:val="center"/>
            </w:pPr>
            <w:r/>
            <w:r>
              <w:rPr>
                <w:rFonts w:ascii="宋体" w:hAnsi="宋体" w:eastAsia="宋体"/>
                <w:b/>
                <w:sz w:val="20"/>
              </w:rPr>
              <w:t>数据价值</w:t>
            </w:r>
          </w:p>
        </w:tc>
      </w:tr>
      <w:tr>
        <w:tc>
          <w:tcPr>
            <w:tcW w:type="dxa" w:w="2256"/>
          </w:tcPr>
          <w:p>
            <w:pPr>
              <w:jc w:val="center"/>
            </w:pPr>
            <w:r/>
            <w:r>
              <w:rPr>
                <w:rFonts w:ascii="宋体" w:hAnsi="宋体" w:eastAsia="宋体"/>
                <w:b w:val="0"/>
                <w:sz w:val="20"/>
              </w:rPr>
              <w:t>加油站GIS位置数据</w:t>
            </w:r>
          </w:p>
        </w:tc>
        <w:tc>
          <w:tcPr>
            <w:tcW w:type="dxa" w:w="2256"/>
          </w:tcPr>
          <w:p>
            <w:pPr>
              <w:jc w:val="center"/>
            </w:pPr>
            <w:r/>
            <w:r>
              <w:rPr>
                <w:rFonts w:ascii="宋体" w:hAnsi="宋体" w:eastAsia="宋体"/>
                <w:b w:val="0"/>
                <w:sz w:val="20"/>
              </w:rPr>
              <w:t>销售域</w:t>
            </w:r>
          </w:p>
        </w:tc>
        <w:tc>
          <w:tcPr>
            <w:tcW w:type="dxa" w:w="2256"/>
          </w:tcPr>
          <w:p>
            <w:pPr>
              <w:jc w:val="center"/>
            </w:pPr>
            <w:r/>
            <w:r>
              <w:rPr>
                <w:rFonts w:ascii="宋体" w:hAnsi="宋体" w:eastAsia="宋体"/>
                <w:b w:val="0"/>
                <w:sz w:val="20"/>
              </w:rPr>
              <w:t>选址优化、覆盖分析</w:t>
            </w:r>
          </w:p>
        </w:tc>
        <w:tc>
          <w:tcPr>
            <w:tcW w:type="dxa" w:w="2256"/>
          </w:tcPr>
          <w:p>
            <w:pPr>
              <w:jc w:val="center"/>
            </w:pPr>
            <w:r/>
            <w:r>
              <w:rPr>
                <w:rFonts w:ascii="宋体" w:hAnsi="宋体" w:eastAsia="宋体"/>
                <w:b w:val="0"/>
                <w:sz w:val="20"/>
              </w:rPr>
              <w:t>⭐⭐⭐⭐⭐</w:t>
            </w:r>
          </w:p>
        </w:tc>
      </w:tr>
      <w:tr>
        <w:tc>
          <w:tcPr>
            <w:tcW w:type="dxa" w:w="2256"/>
          </w:tcPr>
          <w:p>
            <w:pPr>
              <w:jc w:val="center"/>
            </w:pPr>
            <w:r/>
            <w:r>
              <w:rPr>
                <w:rFonts w:ascii="宋体" w:hAnsi="宋体" w:eastAsia="宋体"/>
                <w:b w:val="0"/>
                <w:sz w:val="20"/>
              </w:rPr>
              <w:t>充电桩运行数据</w:t>
            </w:r>
          </w:p>
        </w:tc>
        <w:tc>
          <w:tcPr>
            <w:tcW w:type="dxa" w:w="2256"/>
          </w:tcPr>
          <w:p>
            <w:pPr>
              <w:jc w:val="center"/>
            </w:pPr>
            <w:r/>
            <w:r>
              <w:rPr>
                <w:rFonts w:ascii="宋体" w:hAnsi="宋体" w:eastAsia="宋体"/>
                <w:b w:val="0"/>
                <w:sz w:val="20"/>
              </w:rPr>
              <w:t>销售域（非油品）</w:t>
            </w:r>
          </w:p>
        </w:tc>
        <w:tc>
          <w:tcPr>
            <w:tcW w:type="dxa" w:w="2256"/>
          </w:tcPr>
          <w:p>
            <w:pPr>
              <w:jc w:val="center"/>
            </w:pPr>
            <w:r/>
            <w:r>
              <w:rPr>
                <w:rFonts w:ascii="宋体" w:hAnsi="宋体" w:eastAsia="宋体"/>
                <w:b w:val="0"/>
                <w:sz w:val="20"/>
              </w:rPr>
              <w:t>运营效率分析、需求预测</w:t>
            </w:r>
          </w:p>
        </w:tc>
        <w:tc>
          <w:tcPr>
            <w:tcW w:type="dxa" w:w="2256"/>
          </w:tcPr>
          <w:p>
            <w:pPr>
              <w:jc w:val="center"/>
            </w:pPr>
            <w:r/>
            <w:r>
              <w:rPr>
                <w:rFonts w:ascii="宋体" w:hAnsi="宋体" w:eastAsia="宋体"/>
                <w:b w:val="0"/>
                <w:sz w:val="20"/>
              </w:rPr>
              <w:t>⭐⭐⭐⭐⭐</w:t>
            </w:r>
          </w:p>
        </w:tc>
      </w:tr>
      <w:tr>
        <w:tc>
          <w:tcPr>
            <w:tcW w:type="dxa" w:w="2256"/>
          </w:tcPr>
          <w:p>
            <w:pPr>
              <w:jc w:val="center"/>
            </w:pPr>
            <w:r/>
            <w:r>
              <w:rPr>
                <w:rFonts w:ascii="宋体" w:hAnsi="宋体" w:eastAsia="宋体"/>
                <w:b w:val="0"/>
                <w:sz w:val="20"/>
              </w:rPr>
              <w:t>光伏发电时序数据</w:t>
            </w:r>
          </w:p>
        </w:tc>
        <w:tc>
          <w:tcPr>
            <w:tcW w:type="dxa" w:w="2256"/>
          </w:tcPr>
          <w:p>
            <w:pPr>
              <w:jc w:val="center"/>
            </w:pPr>
            <w:r/>
            <w:r>
              <w:rPr>
                <w:rFonts w:ascii="宋体" w:hAnsi="宋体" w:eastAsia="宋体"/>
                <w:b w:val="0"/>
                <w:sz w:val="20"/>
              </w:rPr>
              <w:t>新能源扩展域</w:t>
            </w:r>
          </w:p>
        </w:tc>
        <w:tc>
          <w:tcPr>
            <w:tcW w:type="dxa" w:w="2256"/>
          </w:tcPr>
          <w:p>
            <w:pPr>
              <w:jc w:val="center"/>
            </w:pPr>
            <w:r/>
            <w:r>
              <w:rPr>
                <w:rFonts w:ascii="宋体" w:hAnsi="宋体" w:eastAsia="宋体"/>
                <w:b w:val="0"/>
                <w:sz w:val="20"/>
              </w:rPr>
              <w:t>发电预测、储能调度</w:t>
            </w:r>
          </w:p>
        </w:tc>
        <w:tc>
          <w:tcPr>
            <w:tcW w:type="dxa" w:w="2256"/>
          </w:tcPr>
          <w:p>
            <w:pPr>
              <w:jc w:val="center"/>
            </w:pPr>
            <w:r/>
            <w:r>
              <w:rPr>
                <w:rFonts w:ascii="宋体" w:hAnsi="宋体" w:eastAsia="宋体"/>
                <w:b w:val="0"/>
                <w:sz w:val="20"/>
              </w:rPr>
              <w:t>⭐⭐⭐⭐</w:t>
            </w:r>
          </w:p>
        </w:tc>
      </w:tr>
      <w:tr>
        <w:tc>
          <w:tcPr>
            <w:tcW w:type="dxa" w:w="2256"/>
          </w:tcPr>
          <w:p>
            <w:pPr>
              <w:jc w:val="center"/>
            </w:pPr>
            <w:r/>
            <w:r>
              <w:rPr>
                <w:rFonts w:ascii="宋体" w:hAnsi="宋体" w:eastAsia="宋体"/>
                <w:b w:val="0"/>
                <w:sz w:val="20"/>
              </w:rPr>
              <w:t>车流/消费行为数据</w:t>
            </w:r>
          </w:p>
        </w:tc>
        <w:tc>
          <w:tcPr>
            <w:tcW w:type="dxa" w:w="2256"/>
          </w:tcPr>
          <w:p>
            <w:pPr>
              <w:jc w:val="center"/>
            </w:pPr>
            <w:r/>
            <w:r>
              <w:rPr>
                <w:rFonts w:ascii="宋体" w:hAnsi="宋体" w:eastAsia="宋体"/>
                <w:b w:val="0"/>
                <w:sz w:val="20"/>
              </w:rPr>
              <w:t>销售域</w:t>
            </w:r>
          </w:p>
        </w:tc>
        <w:tc>
          <w:tcPr>
            <w:tcW w:type="dxa" w:w="2256"/>
          </w:tcPr>
          <w:p>
            <w:pPr>
              <w:jc w:val="center"/>
            </w:pPr>
            <w:r/>
            <w:r>
              <w:rPr>
                <w:rFonts w:ascii="宋体" w:hAnsi="宋体" w:eastAsia="宋体"/>
                <w:b w:val="0"/>
                <w:sz w:val="20"/>
              </w:rPr>
              <w:t>用户画像、精准营销</w:t>
            </w:r>
          </w:p>
        </w:tc>
        <w:tc>
          <w:tcPr>
            <w:tcW w:type="dxa" w:w="2256"/>
          </w:tcPr>
          <w:p>
            <w:pPr>
              <w:jc w:val="center"/>
            </w:pPr>
            <w:r/>
            <w:r>
              <w:rPr>
                <w:rFonts w:ascii="宋体" w:hAnsi="宋体" w:eastAsia="宋体"/>
                <w:b w:val="0"/>
                <w:sz w:val="20"/>
              </w:rPr>
              <w:t>⭐⭐⭐⭐</w:t>
            </w:r>
          </w:p>
        </w:tc>
      </w:tr>
      <w:tr>
        <w:tc>
          <w:tcPr>
            <w:tcW w:type="dxa" w:w="2256"/>
          </w:tcPr>
          <w:p>
            <w:pPr>
              <w:jc w:val="center"/>
            </w:pPr>
            <w:r/>
            <w:r>
              <w:rPr>
                <w:rFonts w:ascii="宋体" w:hAnsi="宋体" w:eastAsia="宋体"/>
                <w:b w:val="0"/>
                <w:sz w:val="20"/>
              </w:rPr>
              <w:t>电网负荷数据</w:t>
            </w:r>
          </w:p>
        </w:tc>
        <w:tc>
          <w:tcPr>
            <w:tcW w:type="dxa" w:w="2256"/>
          </w:tcPr>
          <w:p>
            <w:pPr>
              <w:jc w:val="center"/>
            </w:pPr>
            <w:r/>
            <w:r>
              <w:rPr>
                <w:rFonts w:ascii="宋体" w:hAnsi="宋体" w:eastAsia="宋体"/>
                <w:b w:val="0"/>
                <w:sz w:val="20"/>
              </w:rPr>
              <w:t>天然气销售域</w:t>
            </w:r>
          </w:p>
        </w:tc>
        <w:tc>
          <w:tcPr>
            <w:tcW w:type="dxa" w:w="2256"/>
          </w:tcPr>
          <w:p>
            <w:pPr>
              <w:jc w:val="center"/>
            </w:pPr>
            <w:r/>
            <w:r>
              <w:rPr>
                <w:rFonts w:ascii="宋体" w:hAnsi="宋体" w:eastAsia="宋体"/>
                <w:b w:val="0"/>
                <w:sz w:val="20"/>
              </w:rPr>
              <w:t>并网调度、峰谷管理</w:t>
            </w:r>
          </w:p>
        </w:tc>
        <w:tc>
          <w:tcPr>
            <w:tcW w:type="dxa" w:w="2256"/>
          </w:tcPr>
          <w:p>
            <w:pPr>
              <w:jc w:val="center"/>
            </w:pPr>
            <w:r/>
            <w:r>
              <w:rPr>
                <w:rFonts w:ascii="宋体" w:hAnsi="宋体" w:eastAsia="宋体"/>
                <w:b w:val="0"/>
                <w:sz w:val="20"/>
              </w:rPr>
              <w:t>⭐⭐⭐⭐</w:t>
            </w:r>
          </w:p>
        </w:tc>
      </w:tr>
      <w:tr>
        <w:tc>
          <w:tcPr>
            <w:tcW w:type="dxa" w:w="2256"/>
          </w:tcPr>
          <w:p>
            <w:pPr>
              <w:jc w:val="center"/>
            </w:pPr>
            <w:r/>
            <w:r>
              <w:rPr>
                <w:rFonts w:ascii="宋体" w:hAnsi="宋体" w:eastAsia="宋体"/>
                <w:b w:val="0"/>
                <w:sz w:val="20"/>
              </w:rPr>
              <w:t>储能系统运行数据</w:t>
            </w:r>
          </w:p>
        </w:tc>
        <w:tc>
          <w:tcPr>
            <w:tcW w:type="dxa" w:w="2256"/>
          </w:tcPr>
          <w:p>
            <w:pPr>
              <w:jc w:val="center"/>
            </w:pPr>
            <w:r/>
            <w:r>
              <w:rPr>
                <w:rFonts w:ascii="宋体" w:hAnsi="宋体" w:eastAsia="宋体"/>
                <w:b w:val="0"/>
                <w:sz w:val="20"/>
              </w:rPr>
              <w:t>新能源扩展域</w:t>
            </w:r>
          </w:p>
        </w:tc>
        <w:tc>
          <w:tcPr>
            <w:tcW w:type="dxa" w:w="2256"/>
          </w:tcPr>
          <w:p>
            <w:pPr>
              <w:jc w:val="center"/>
            </w:pPr>
            <w:r/>
            <w:r>
              <w:rPr>
                <w:rFonts w:ascii="宋体" w:hAnsi="宋体" w:eastAsia="宋体"/>
                <w:b w:val="0"/>
                <w:sz w:val="20"/>
              </w:rPr>
              <w:t>电池健康评估、调度优化</w:t>
            </w:r>
          </w:p>
        </w:tc>
        <w:tc>
          <w:tcPr>
            <w:tcW w:type="dxa" w:w="2256"/>
          </w:tcPr>
          <w:p>
            <w:pPr>
              <w:jc w:val="center"/>
            </w:pPr>
            <w:r/>
            <w:r>
              <w:rPr>
                <w:rFonts w:ascii="宋体" w:hAnsi="宋体" w:eastAsia="宋体"/>
                <w:b w:val="0"/>
                <w:sz w:val="20"/>
              </w:rPr>
              <w:t>⭐⭐⭐⭐</w:t>
            </w:r>
          </w:p>
        </w:tc>
      </w:tr>
    </w:tbl>
    <w:p>
      <w:pPr>
        <w:jc w:val="center"/>
      </w:pPr>
      <w:r>
        <w:rPr>
          <w:rFonts w:ascii="宋体" w:hAnsi="宋体" w:eastAsia="宋体"/>
          <w:b w:val="0"/>
          <w:sz w:val="20"/>
        </w:rPr>
        <w:t>表8-1 光储充一体化数据资源支撑体系</w:t>
      </w:r>
    </w:p>
    <w:p>
      <w:pPr>
        <w:jc w:val="left"/>
      </w:pPr>
      <w:r>
        <w:rPr>
          <w:rFonts w:ascii="黑体" w:hAnsi="黑体" w:eastAsia="黑体"/>
          <w:b/>
          <w:sz w:val="28"/>
        </w:rPr>
        <w:t>8.4  三方合作新场景</w:t>
      </w:r>
    </w:p>
    <w:p>
      <w:r>
        <w:rPr>
          <w:rFonts w:ascii="宋体" w:hAnsi="宋体" w:eastAsia="宋体"/>
          <w:b w:val="0"/>
          <w:sz w:val="24"/>
        </w:rPr>
        <w:t>【产品A】加油站光伏出力预测数据</w:t>
      </w:r>
    </w:p>
    <w:p>
      <w:r>
        <w:rPr>
          <w:rFonts w:ascii="宋体" w:hAnsi="宋体" w:eastAsia="宋体"/>
          <w:b w:val="0"/>
          <w:sz w:val="24"/>
        </w:rPr>
        <w:t>数据来源：中石油销售域（加油站网络）× 新能源扩展域（光伏发电数据）。产品形态为API实时调用（T+24h/T+7d光伏发电功率预测）+ 月度发电量统计报告。目标客户为电网公司（调度预测）、新能源投资商（投资收益评估）、碳资产管理公司（碳减排核算）。朗新AI能力：复用光伏预测95%准确率模型，叠加加油站历史发电数据优化预测精度。北数所角色：数据确权登记，确认光伏发电数据权益，交易见证。</w:t>
      </w:r>
    </w:p>
    <w:p>
      <w:r>
        <w:rPr>
          <w:rFonts w:ascii="宋体" w:hAnsi="宋体" w:eastAsia="宋体"/>
          <w:b w:val="0"/>
          <w:sz w:val="24"/>
        </w:rPr>
        <w:t>【产品B】充电桩需求预测数据</w:t>
      </w:r>
    </w:p>
    <w:p>
      <w:r>
        <w:rPr>
          <w:rFonts w:ascii="宋体" w:hAnsi="宋体" w:eastAsia="宋体"/>
          <w:b w:val="0"/>
          <w:sz w:val="24"/>
        </w:rPr>
        <w:t>数据来源：中石油销售域（充电桩运行数据）× 朗新充电桩网络（全国充电桩实时数据）。产品形态为API实时调用（充电需求热力图+未来7天需求预测）+ 选址规划报告。目标客户为充电运营商（运营优化）、新能源充电桩投资商（选址规划）、电网公司（负荷预测）。朗新AI能力：复用充电桩预测76%准确率模型，结合加油站区位特征优化预测。北数所角色：充电桩运行数据产品登记，交易撮合。</w:t>
      </w:r>
    </w:p>
    <w:p>
      <w:r>
        <w:rPr>
          <w:rFonts w:ascii="宋体" w:hAnsi="宋体" w:eastAsia="宋体"/>
          <w:b w:val="0"/>
          <w:sz w:val="24"/>
        </w:rPr>
        <w:t>【产品C】新能源综合能源站效能评估数据</w:t>
      </w:r>
    </w:p>
    <w:p>
      <w:r>
        <w:rPr>
          <w:rFonts w:ascii="宋体" w:hAnsi="宋体" w:eastAsia="宋体"/>
          <w:b w:val="0"/>
          <w:sz w:val="24"/>
        </w:rPr>
        <w:t>数据来源：光伏发电数据+储能运行数据+充电桩使用数据+电网负荷数据的多源融合。产品形态为综合效能评估报告（季度/年度）+ API实时查询。目标客户为中石油内部运营管理、充电运营商投资决策、碳资产管理公司（碳资产开发）。朗新AI能力：多源数据融合分析+综合能效评估算法+碳排放核算模型。北数所角色：综合数据产品登记认证，数据融合合规审查。</w:t>
      </w:r>
    </w:p>
    <w:p>
      <w:pPr>
        <w:jc w:val="left"/>
      </w:pPr>
      <w:r>
        <w:rPr>
          <w:rFonts w:ascii="黑体" w:hAnsi="黑体" w:eastAsia="黑体"/>
          <w:b/>
          <w:sz w:val="28"/>
        </w:rPr>
        <w:t>8.5  合作建议</w:t>
      </w:r>
    </w:p>
    <w:p>
      <w:r>
        <w:rPr>
          <w:rFonts w:ascii="宋体" w:hAnsi="宋体" w:eastAsia="宋体"/>
          <w:b w:val="0"/>
          <w:sz w:val="24"/>
        </w:rPr>
        <w:t>【优先试点】建议选择北京、上海、广东等新能源发展快的高速服务区加油站作为首批光储充一体化改造试点，数据接入朗新平台进行验证。首批试点建议选择5-10座加油站，改造周期3-6个月，积累运营数据后快速复制。</w:t>
      </w:r>
    </w:p>
    <w:p>
      <w:r>
        <w:rPr>
          <w:rFonts w:ascii="宋体" w:hAnsi="宋体" w:eastAsia="宋体"/>
          <w:b w:val="0"/>
          <w:sz w:val="24"/>
        </w:rPr>
        <w:t>【数据变现路径】脱敏后的充电桩使用数据+光伏发电数据+储能运行数据→朗新平台产品化封装→北数所登记认证→向电网公司/充电运营商/碳资产管理公司销售变现。预计单站数据产品年收入可达10-30万元。</w:t>
      </w:r>
    </w:p>
    <w:p>
      <w:r>
        <w:rPr>
          <w:rFonts w:ascii="宋体" w:hAnsi="宋体" w:eastAsia="宋体"/>
          <w:b w:val="0"/>
          <w:sz w:val="24"/>
        </w:rPr>
        <w:t>【差异化优势】全国最大的22,000座加油网络×朗新能源互联网平台=全国最大的新能源综合能源数据源。与市场现有新能源数据相比，中石油加油站数据具备覆盖广、场景全、用户价值高的独特优势，可形成难以复制的竞争壁垒。</w:t>
      </w:r>
    </w:p>
    <w:p>
      <w:r>
        <w:br w:type="page"/>
      </w:r>
    </w:p>
    <w:p>
      <w:pPr>
        <w:jc w:val="left"/>
      </w:pPr>
      <w:r>
        <w:rPr>
          <w:rFonts w:ascii="黑体" w:hAnsi="黑体" w:eastAsia="黑体"/>
          <w:b/>
          <w:sz w:val="30"/>
        </w:rPr>
        <w:t>第九章  风险与建议</w:t>
      </w:r>
    </w:p>
    <w:p>
      <w:pPr>
        <w:jc w:val="left"/>
      </w:pPr>
      <w:r>
        <w:rPr>
          <w:rFonts w:ascii="黑体" w:hAnsi="黑体" w:eastAsia="黑体"/>
          <w:b/>
          <w:sz w:val="28"/>
        </w:rPr>
        <w:t>9.1  数据合规风险</w:t>
      </w:r>
    </w:p>
    <w:p>
      <w:r>
        <w:rPr>
          <w:rFonts w:ascii="宋体" w:hAnsi="宋体" w:eastAsia="宋体"/>
          <w:b w:val="0"/>
          <w:sz w:val="24"/>
        </w:rPr>
        <w:t>【风险描述】中石油数据涉及国家能源安全、商业秘密和个人信息，合规要求极高。数据脱敏范围、用途限制、权益归属等问题可能导致合作延期或无法落地。</w:t>
      </w:r>
    </w:p>
    <w:p>
      <w:r>
        <w:rPr>
          <w:rFonts w:ascii="宋体" w:hAnsi="宋体" w:eastAsia="宋体"/>
          <w:b w:val="0"/>
          <w:sz w:val="24"/>
        </w:rPr>
        <w:t>【风险级别】高</w:t>
      </w:r>
    </w:p>
    <w:p>
      <w:r>
        <w:rPr>
          <w:rFonts w:ascii="宋体" w:hAnsi="宋体" w:eastAsia="宋体"/>
          <w:b w:val="0"/>
          <w:sz w:val="24"/>
        </w:rPr>
        <w:t>【应对措施】①试点阶段先使用模拟数据验证脱敏规则；②邀请北数所合规专家早期介入，明确数据分类分级标准；③制定专项数据安全协议，明确各方责任边界；④建立数据溯源机制，确保数据用途可追溯。</w:t>
      </w:r>
    </w:p>
    <w:p>
      <w:pPr>
        <w:jc w:val="left"/>
      </w:pPr>
      <w:r>
        <w:rPr>
          <w:rFonts w:ascii="黑体" w:hAnsi="黑体" w:eastAsia="黑体"/>
          <w:b/>
          <w:sz w:val="28"/>
        </w:rPr>
        <w:t>9.2  商业化风险</w:t>
      </w:r>
    </w:p>
    <w:p>
      <w:r>
        <w:rPr>
          <w:rFonts w:ascii="宋体" w:hAnsi="宋体" w:eastAsia="宋体"/>
          <w:b w:val="0"/>
          <w:sz w:val="24"/>
        </w:rPr>
        <w:t>【风险描述】数据产品商业化需要市场培育期，客户对数据产品价值的认知和付费意愿存在不确定性，可能导致收入落地周期长于预期。</w:t>
      </w:r>
    </w:p>
    <w:p>
      <w:r>
        <w:rPr>
          <w:rFonts w:ascii="宋体" w:hAnsi="宋体" w:eastAsia="宋体"/>
          <w:b w:val="0"/>
          <w:sz w:val="24"/>
        </w:rPr>
        <w:t>【风险级别】中</w:t>
      </w:r>
    </w:p>
    <w:p>
      <w:r>
        <w:rPr>
          <w:rFonts w:ascii="宋体" w:hAnsi="宋体" w:eastAsia="宋体"/>
          <w:b w:val="0"/>
          <w:sz w:val="24"/>
        </w:rPr>
        <w:t>【应对措施】①优先推广已验证的高价值产品（城燃用气预测），快速建立商业化案例；②与中石油联合品牌背书，提升产品可信度；③采用"效果付费"模式降低客户决策风险。</w:t>
      </w:r>
    </w:p>
    <w:p>
      <w:pPr>
        <w:jc w:val="left"/>
      </w:pPr>
      <w:r>
        <w:rPr>
          <w:rFonts w:ascii="黑体" w:hAnsi="黑体" w:eastAsia="黑体"/>
          <w:b/>
          <w:sz w:val="28"/>
        </w:rPr>
        <w:t>9.3  技术整合风险</w:t>
      </w:r>
    </w:p>
    <w:p>
      <w:r>
        <w:rPr>
          <w:rFonts w:ascii="宋体" w:hAnsi="宋体" w:eastAsia="宋体"/>
          <w:b w:val="0"/>
          <w:sz w:val="24"/>
        </w:rPr>
        <w:t>【风险描述】中石油内部系统复杂度高，数据格式标准不统一，与朗新平台的技术对接可能面临较大挑战，影响项目进度。</w:t>
      </w:r>
    </w:p>
    <w:p>
      <w:r>
        <w:rPr>
          <w:rFonts w:ascii="宋体" w:hAnsi="宋体" w:eastAsia="宋体"/>
          <w:b w:val="0"/>
          <w:sz w:val="24"/>
        </w:rPr>
        <w:t>【风险级别】中</w:t>
      </w:r>
    </w:p>
    <w:p>
      <w:r>
        <w:rPr>
          <w:rFonts w:ascii="宋体" w:hAnsi="宋体" w:eastAsia="宋体"/>
          <w:b w:val="0"/>
          <w:sz w:val="24"/>
        </w:rPr>
        <w:t>【应对措施】①项目启动前完成技术可行性评估；②建议借助昆仑数智作为中石油侧技术接口方；③朗新平台预留多种数据接入适配器。</w:t>
      </w:r>
    </w:p>
    <w:p>
      <w:pPr>
        <w:jc w:val="left"/>
      </w:pPr>
      <w:r>
        <w:rPr>
          <w:rFonts w:ascii="黑体" w:hAnsi="黑体" w:eastAsia="黑体"/>
          <w:b/>
          <w:sz w:val="28"/>
        </w:rPr>
        <w:t>9.4  组织协调风险</w:t>
      </w:r>
    </w:p>
    <w:p>
      <w:r>
        <w:rPr>
          <w:rFonts w:ascii="宋体" w:hAnsi="宋体" w:eastAsia="宋体"/>
          <w:b w:val="0"/>
          <w:sz w:val="24"/>
        </w:rPr>
        <w:t>【风险描述】三方合作涉及中石油多个部门（数字化管理部、业务运营部门、数据归口管理部门），内部协调难度大，可能影响决策效率。</w:t>
      </w:r>
    </w:p>
    <w:p>
      <w:r>
        <w:rPr>
          <w:rFonts w:ascii="宋体" w:hAnsi="宋体" w:eastAsia="宋体"/>
          <w:b w:val="0"/>
          <w:sz w:val="24"/>
        </w:rPr>
        <w:t>【风险级别】中</w:t>
      </w:r>
    </w:p>
    <w:p>
      <w:r>
        <w:rPr>
          <w:rFonts w:ascii="宋体" w:hAnsi="宋体" w:eastAsia="宋体"/>
          <w:b w:val="0"/>
          <w:sz w:val="24"/>
        </w:rPr>
        <w:t>【应对措施】①借助昆仑数智作为中石油侧统一接口方；②建立三方高层定期沟通机制；③在合作协议中明确各方责任人和决策流程。</w:t>
      </w:r>
    </w:p>
    <w:p>
      <w:pPr>
        <w:jc w:val="left"/>
      </w:pPr>
      <w:r>
        <w:rPr>
          <w:rFonts w:ascii="黑体" w:hAnsi="黑体" w:eastAsia="黑体"/>
          <w:b/>
          <w:sz w:val="28"/>
        </w:rPr>
        <w:t>9.5  竞争风险</w:t>
      </w:r>
    </w:p>
    <w:p>
      <w:r>
        <w:rPr>
          <w:rFonts w:ascii="宋体" w:hAnsi="宋体" w:eastAsia="宋体"/>
          <w:b w:val="0"/>
          <w:sz w:val="24"/>
        </w:rPr>
        <w:t>【风险描述】能源数据市场正在快速发展，可能有其他数据平台或科技企业切入该赛道，竞争加剧。</w:t>
      </w:r>
    </w:p>
    <w:p>
      <w:r>
        <w:rPr>
          <w:rFonts w:ascii="宋体" w:hAnsi="宋体" w:eastAsia="宋体"/>
          <w:b w:val="0"/>
          <w:sz w:val="24"/>
        </w:rPr>
        <w:t>【风险级别】低</w:t>
      </w:r>
    </w:p>
    <w:p>
      <w:r>
        <w:rPr>
          <w:rFonts w:ascii="宋体" w:hAnsi="宋体" w:eastAsia="宋体"/>
          <w:b w:val="0"/>
          <w:sz w:val="24"/>
        </w:rPr>
        <w:t>【应对措施】①加速推进首批产品商业化，快速建立市场地位；②深耕中石油数据壁垒，与中石油建立排他性数据合作；③持续迭代产品，保持技术领先优势。</w:t>
      </w:r>
    </w:p>
    <w:p>
      <w:pPr>
        <w:jc w:val="left"/>
      </w:pPr>
      <w:r>
        <w:rPr>
          <w:rFonts w:ascii="黑体" w:hAnsi="黑体" w:eastAsia="黑体"/>
          <w:b/>
          <w:sz w:val="28"/>
        </w:rPr>
        <w:t>9.6  建议对策汇总</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6"/>
        <w:gridCol w:w="2256"/>
        <w:gridCol w:w="2256"/>
        <w:gridCol w:w="2256"/>
      </w:tblGrid>
      <w:tr>
        <w:tc>
          <w:tcPr>
            <w:tcW w:type="dxa" w:w="2256"/>
            <w:shd w:fill="D9E2F3"/>
          </w:tcPr>
          <w:p>
            <w:pPr>
              <w:jc w:val="center"/>
            </w:pPr>
            <w:r/>
            <w:r>
              <w:rPr>
                <w:rFonts w:ascii="宋体" w:hAnsi="宋体" w:eastAsia="宋体"/>
                <w:b/>
                <w:sz w:val="20"/>
              </w:rPr>
              <w:t>风险类别</w:t>
            </w:r>
          </w:p>
        </w:tc>
        <w:tc>
          <w:tcPr>
            <w:tcW w:type="dxa" w:w="2256"/>
            <w:shd w:fill="D9E2F3"/>
          </w:tcPr>
          <w:p>
            <w:pPr>
              <w:jc w:val="center"/>
            </w:pPr>
            <w:r/>
            <w:r>
              <w:rPr>
                <w:rFonts w:ascii="宋体" w:hAnsi="宋体" w:eastAsia="宋体"/>
                <w:b/>
                <w:sz w:val="20"/>
              </w:rPr>
              <w:t>风险级别</w:t>
            </w:r>
          </w:p>
        </w:tc>
        <w:tc>
          <w:tcPr>
            <w:tcW w:type="dxa" w:w="2256"/>
            <w:shd w:fill="D9E2F3"/>
          </w:tcPr>
          <w:p>
            <w:pPr>
              <w:jc w:val="center"/>
            </w:pPr>
            <w:r/>
            <w:r>
              <w:rPr>
                <w:rFonts w:ascii="宋体" w:hAnsi="宋体" w:eastAsia="宋体"/>
                <w:b/>
                <w:sz w:val="20"/>
              </w:rPr>
              <w:t>优先级</w:t>
            </w:r>
          </w:p>
        </w:tc>
        <w:tc>
          <w:tcPr>
            <w:tcW w:type="dxa" w:w="2256"/>
            <w:shd w:fill="D9E2F3"/>
          </w:tcPr>
          <w:p>
            <w:pPr>
              <w:jc w:val="center"/>
            </w:pPr>
            <w:r/>
            <w:r>
              <w:rPr>
                <w:rFonts w:ascii="宋体" w:hAnsi="宋体" w:eastAsia="宋体"/>
                <w:b/>
                <w:sz w:val="20"/>
              </w:rPr>
              <w:t>核心对策</w:t>
            </w:r>
          </w:p>
        </w:tc>
      </w:tr>
      <w:tr>
        <w:tc>
          <w:tcPr>
            <w:tcW w:type="dxa" w:w="2256"/>
          </w:tcPr>
          <w:p>
            <w:pPr>
              <w:jc w:val="center"/>
            </w:pPr>
            <w:r/>
            <w:r>
              <w:rPr>
                <w:rFonts w:ascii="宋体" w:hAnsi="宋体" w:eastAsia="宋体"/>
                <w:b w:val="0"/>
                <w:sz w:val="20"/>
              </w:rPr>
              <w:t>数据合规风险</w:t>
            </w:r>
          </w:p>
        </w:tc>
        <w:tc>
          <w:tcPr>
            <w:tcW w:type="dxa" w:w="2256"/>
          </w:tcPr>
          <w:p>
            <w:pPr>
              <w:jc w:val="center"/>
            </w:pPr>
            <w:r/>
            <w:r>
              <w:rPr>
                <w:rFonts w:ascii="宋体" w:hAnsi="宋体" w:eastAsia="宋体"/>
                <w:b w:val="0"/>
                <w:sz w:val="20"/>
              </w:rPr>
              <w:t>高</w:t>
            </w:r>
          </w:p>
        </w:tc>
        <w:tc>
          <w:tcPr>
            <w:tcW w:type="dxa" w:w="2256"/>
          </w:tcPr>
          <w:p>
            <w:pPr>
              <w:jc w:val="center"/>
            </w:pPr>
            <w:r/>
            <w:r>
              <w:rPr>
                <w:rFonts w:ascii="宋体" w:hAnsi="宋体" w:eastAsia="宋体"/>
                <w:b w:val="0"/>
                <w:sz w:val="20"/>
              </w:rPr>
              <w:t>P0</w:t>
            </w:r>
          </w:p>
        </w:tc>
        <w:tc>
          <w:tcPr>
            <w:tcW w:type="dxa" w:w="2256"/>
          </w:tcPr>
          <w:p>
            <w:pPr>
              <w:jc w:val="center"/>
            </w:pPr>
            <w:r/>
            <w:r>
              <w:rPr>
                <w:rFonts w:ascii="宋体" w:hAnsi="宋体" w:eastAsia="宋体"/>
                <w:b w:val="0"/>
                <w:sz w:val="20"/>
              </w:rPr>
              <w:t>试点阶段用模拟数据，邀请北数所早期介入合规审查</w:t>
            </w:r>
          </w:p>
        </w:tc>
      </w:tr>
      <w:tr>
        <w:tc>
          <w:tcPr>
            <w:tcW w:type="dxa" w:w="2256"/>
          </w:tcPr>
          <w:p>
            <w:pPr>
              <w:jc w:val="center"/>
            </w:pPr>
            <w:r/>
            <w:r>
              <w:rPr>
                <w:rFonts w:ascii="宋体" w:hAnsi="宋体" w:eastAsia="宋体"/>
                <w:b w:val="0"/>
                <w:sz w:val="20"/>
              </w:rPr>
              <w:t>商业化风险</w:t>
            </w:r>
          </w:p>
        </w:tc>
        <w:tc>
          <w:tcPr>
            <w:tcW w:type="dxa" w:w="2256"/>
          </w:tcPr>
          <w:p>
            <w:pPr>
              <w:jc w:val="center"/>
            </w:pPr>
            <w:r/>
            <w:r>
              <w:rPr>
                <w:rFonts w:ascii="宋体" w:hAnsi="宋体" w:eastAsia="宋体"/>
                <w:b w:val="0"/>
                <w:sz w:val="20"/>
              </w:rPr>
              <w:t>中</w:t>
            </w:r>
          </w:p>
        </w:tc>
        <w:tc>
          <w:tcPr>
            <w:tcW w:type="dxa" w:w="2256"/>
          </w:tcPr>
          <w:p>
            <w:pPr>
              <w:jc w:val="center"/>
            </w:pPr>
            <w:r/>
            <w:r>
              <w:rPr>
                <w:rFonts w:ascii="宋体" w:hAnsi="宋体" w:eastAsia="宋体"/>
                <w:b w:val="0"/>
                <w:sz w:val="20"/>
              </w:rPr>
              <w:t>P1</w:t>
            </w:r>
          </w:p>
        </w:tc>
        <w:tc>
          <w:tcPr>
            <w:tcW w:type="dxa" w:w="2256"/>
          </w:tcPr>
          <w:p>
            <w:pPr>
              <w:jc w:val="center"/>
            </w:pPr>
            <w:r/>
            <w:r>
              <w:rPr>
                <w:rFonts w:ascii="宋体" w:hAnsi="宋体" w:eastAsia="宋体"/>
                <w:b w:val="0"/>
                <w:sz w:val="20"/>
              </w:rPr>
              <w:t>优先推广高价值产品，采用效果付费模式</w:t>
            </w:r>
          </w:p>
        </w:tc>
      </w:tr>
      <w:tr>
        <w:tc>
          <w:tcPr>
            <w:tcW w:type="dxa" w:w="2256"/>
          </w:tcPr>
          <w:p>
            <w:pPr>
              <w:jc w:val="center"/>
            </w:pPr>
            <w:r/>
            <w:r>
              <w:rPr>
                <w:rFonts w:ascii="宋体" w:hAnsi="宋体" w:eastAsia="宋体"/>
                <w:b w:val="0"/>
                <w:sz w:val="20"/>
              </w:rPr>
              <w:t>技术整合风险</w:t>
            </w:r>
          </w:p>
        </w:tc>
        <w:tc>
          <w:tcPr>
            <w:tcW w:type="dxa" w:w="2256"/>
          </w:tcPr>
          <w:p>
            <w:pPr>
              <w:jc w:val="center"/>
            </w:pPr>
            <w:r/>
            <w:r>
              <w:rPr>
                <w:rFonts w:ascii="宋体" w:hAnsi="宋体" w:eastAsia="宋体"/>
                <w:b w:val="0"/>
                <w:sz w:val="20"/>
              </w:rPr>
              <w:t>中</w:t>
            </w:r>
          </w:p>
        </w:tc>
        <w:tc>
          <w:tcPr>
            <w:tcW w:type="dxa" w:w="2256"/>
          </w:tcPr>
          <w:p>
            <w:pPr>
              <w:jc w:val="center"/>
            </w:pPr>
            <w:r/>
            <w:r>
              <w:rPr>
                <w:rFonts w:ascii="宋体" w:hAnsi="宋体" w:eastAsia="宋体"/>
                <w:b w:val="0"/>
                <w:sz w:val="20"/>
              </w:rPr>
              <w:t>P1</w:t>
            </w:r>
          </w:p>
        </w:tc>
        <w:tc>
          <w:tcPr>
            <w:tcW w:type="dxa" w:w="2256"/>
          </w:tcPr>
          <w:p>
            <w:pPr>
              <w:jc w:val="center"/>
            </w:pPr>
            <w:r/>
            <w:r>
              <w:rPr>
                <w:rFonts w:ascii="宋体" w:hAnsi="宋体" w:eastAsia="宋体"/>
                <w:b w:val="0"/>
                <w:sz w:val="20"/>
              </w:rPr>
              <w:t>借助昆仑数智接口，预留多种数据接入适配器</w:t>
            </w:r>
          </w:p>
        </w:tc>
      </w:tr>
      <w:tr>
        <w:tc>
          <w:tcPr>
            <w:tcW w:type="dxa" w:w="2256"/>
          </w:tcPr>
          <w:p>
            <w:pPr>
              <w:jc w:val="center"/>
            </w:pPr>
            <w:r/>
            <w:r>
              <w:rPr>
                <w:rFonts w:ascii="宋体" w:hAnsi="宋体" w:eastAsia="宋体"/>
                <w:b w:val="0"/>
                <w:sz w:val="20"/>
              </w:rPr>
              <w:t>组织协调风险</w:t>
            </w:r>
          </w:p>
        </w:tc>
        <w:tc>
          <w:tcPr>
            <w:tcW w:type="dxa" w:w="2256"/>
          </w:tcPr>
          <w:p>
            <w:pPr>
              <w:jc w:val="center"/>
            </w:pPr>
            <w:r/>
            <w:r>
              <w:rPr>
                <w:rFonts w:ascii="宋体" w:hAnsi="宋体" w:eastAsia="宋体"/>
                <w:b w:val="0"/>
                <w:sz w:val="20"/>
              </w:rPr>
              <w:t>中</w:t>
            </w:r>
          </w:p>
        </w:tc>
        <w:tc>
          <w:tcPr>
            <w:tcW w:type="dxa" w:w="2256"/>
          </w:tcPr>
          <w:p>
            <w:pPr>
              <w:jc w:val="center"/>
            </w:pPr>
            <w:r/>
            <w:r>
              <w:rPr>
                <w:rFonts w:ascii="宋体" w:hAnsi="宋体" w:eastAsia="宋体"/>
                <w:b w:val="0"/>
                <w:sz w:val="20"/>
              </w:rPr>
              <w:t>P2</w:t>
            </w:r>
          </w:p>
        </w:tc>
        <w:tc>
          <w:tcPr>
            <w:tcW w:type="dxa" w:w="2256"/>
          </w:tcPr>
          <w:p>
            <w:pPr>
              <w:jc w:val="center"/>
            </w:pPr>
            <w:r/>
            <w:r>
              <w:rPr>
                <w:rFonts w:ascii="宋体" w:hAnsi="宋体" w:eastAsia="宋体"/>
                <w:b w:val="0"/>
                <w:sz w:val="20"/>
              </w:rPr>
              <w:t>建立三方高层沟通机制，明确责任人</w:t>
            </w:r>
          </w:p>
        </w:tc>
      </w:tr>
      <w:tr>
        <w:tc>
          <w:tcPr>
            <w:tcW w:type="dxa" w:w="2256"/>
          </w:tcPr>
          <w:p>
            <w:pPr>
              <w:jc w:val="center"/>
            </w:pPr>
            <w:r/>
            <w:r>
              <w:rPr>
                <w:rFonts w:ascii="宋体" w:hAnsi="宋体" w:eastAsia="宋体"/>
                <w:b w:val="0"/>
                <w:sz w:val="20"/>
              </w:rPr>
              <w:t>竞争风险</w:t>
            </w:r>
          </w:p>
        </w:tc>
        <w:tc>
          <w:tcPr>
            <w:tcW w:type="dxa" w:w="2256"/>
          </w:tcPr>
          <w:p>
            <w:pPr>
              <w:jc w:val="center"/>
            </w:pPr>
            <w:r/>
            <w:r>
              <w:rPr>
                <w:rFonts w:ascii="宋体" w:hAnsi="宋体" w:eastAsia="宋体"/>
                <w:b w:val="0"/>
                <w:sz w:val="20"/>
              </w:rPr>
              <w:t>低</w:t>
            </w:r>
          </w:p>
        </w:tc>
        <w:tc>
          <w:tcPr>
            <w:tcW w:type="dxa" w:w="2256"/>
          </w:tcPr>
          <w:p>
            <w:pPr>
              <w:jc w:val="center"/>
            </w:pPr>
            <w:r/>
            <w:r>
              <w:rPr>
                <w:rFonts w:ascii="宋体" w:hAnsi="宋体" w:eastAsia="宋体"/>
                <w:b w:val="0"/>
                <w:sz w:val="20"/>
              </w:rPr>
              <w:t>P3</w:t>
            </w:r>
          </w:p>
        </w:tc>
        <w:tc>
          <w:tcPr>
            <w:tcW w:type="dxa" w:w="2256"/>
          </w:tcPr>
          <w:p>
            <w:pPr>
              <w:jc w:val="center"/>
            </w:pPr>
            <w:r/>
            <w:r>
              <w:rPr>
                <w:rFonts w:ascii="宋体" w:hAnsi="宋体" w:eastAsia="宋体"/>
                <w:b w:val="0"/>
                <w:sz w:val="20"/>
              </w:rPr>
              <w:t>加速商业化落地，建立数据合作排他性壁垒</w:t>
            </w:r>
          </w:p>
        </w:tc>
      </w:tr>
    </w:tbl>
    <w:p>
      <w:pPr>
        <w:jc w:val="center"/>
      </w:pPr>
      <w:r>
        <w:rPr>
          <w:rFonts w:ascii="宋体" w:hAnsi="宋体" w:eastAsia="宋体"/>
          <w:b w:val="0"/>
          <w:sz w:val="20"/>
        </w:rPr>
        <w:t>表9-1 风险与建议对策汇总</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