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5C60" w14:textId="77FCE952" w:rsidR="00AC27EC" w:rsidRDefault="00AC27EC" w:rsidP="00AC27EC">
      <w:pPr>
        <w:pStyle w:val="Titolo1"/>
        <w:rPr>
          <w:b/>
          <w:bCs/>
          <w:lang w:val="en-GB"/>
        </w:rPr>
      </w:pPr>
      <w:r w:rsidRPr="00AC27EC">
        <w:rPr>
          <w:b/>
          <w:bCs/>
          <w:lang w:val="en-GB"/>
        </w:rPr>
        <w:t>1. Data-Flow sketch</w:t>
      </w:r>
    </w:p>
    <w:p w14:paraId="6278AED0" w14:textId="77777777" w:rsidR="00AC27EC" w:rsidRDefault="00AC27EC" w:rsidP="00AC27EC">
      <w:pPr>
        <w:rPr>
          <w:lang w:val="en-GB"/>
        </w:rPr>
      </w:pPr>
    </w:p>
    <w:p w14:paraId="43167627" w14:textId="09E69950" w:rsidR="00AC27EC" w:rsidRPr="00AC27EC" w:rsidRDefault="00AC27EC" w:rsidP="00AC27EC">
      <w:pPr>
        <w:pStyle w:val="Titolo1"/>
        <w:rPr>
          <w:b/>
          <w:bCs/>
          <w:lang w:val="en-GB"/>
        </w:rPr>
      </w:pPr>
      <w:r w:rsidRPr="00AC27EC">
        <w:rPr>
          <w:b/>
          <w:bCs/>
          <w:lang w:val="en-GB"/>
        </w:rPr>
        <w:t xml:space="preserve">2. Risk </w:t>
      </w:r>
      <w:proofErr w:type="spellStart"/>
      <w:r w:rsidRPr="00AC27EC">
        <w:rPr>
          <w:b/>
          <w:bCs/>
          <w:lang w:val="en-GB"/>
        </w:rPr>
        <w:t>analisys</w:t>
      </w:r>
      <w:proofErr w:type="spellEnd"/>
    </w:p>
    <w:p w14:paraId="5C5ECBF4" w14:textId="77777777" w:rsidR="00AC27EC" w:rsidRDefault="00AC27EC" w:rsidP="000B4818">
      <w:pPr>
        <w:rPr>
          <w:b/>
          <w:bCs/>
          <w:lang w:val="en-GB"/>
        </w:rPr>
      </w:pPr>
    </w:p>
    <w:p w14:paraId="0D30B047" w14:textId="072CCA6F" w:rsidR="000B4818" w:rsidRPr="000B4818" w:rsidRDefault="000B4818" w:rsidP="000B4818">
      <w:pPr>
        <w:rPr>
          <w:b/>
          <w:bCs/>
          <w:lang w:val="en-GB"/>
        </w:rPr>
      </w:pPr>
      <w:r w:rsidRPr="000B4818">
        <w:rPr>
          <w:b/>
          <w:bCs/>
          <w:lang w:val="en-GB"/>
        </w:rPr>
        <w:t>1) Destination-country laws/practices (USA)</w:t>
      </w:r>
    </w:p>
    <w:p w14:paraId="1FE74FBD" w14:textId="51AEBC49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R1 — Government access during a support session</w:t>
      </w:r>
      <w:r w:rsidR="00223448">
        <w:rPr>
          <w:b/>
          <w:bCs/>
          <w:lang w:val="en-GB"/>
        </w:rPr>
        <w:t>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Under </w:t>
      </w:r>
      <w:r w:rsidRPr="000B4818">
        <w:rPr>
          <w:i/>
          <w:iCs/>
          <w:lang w:val="en-GB"/>
        </w:rPr>
        <w:t>Schrems II</w:t>
      </w:r>
      <w:r w:rsidRPr="000B4818">
        <w:rPr>
          <w:lang w:val="en-GB"/>
        </w:rPr>
        <w:t xml:space="preserve">, exporters must assess whether third-country law undermines SCC guarantees. Certain U.S. </w:t>
      </w:r>
      <w:r w:rsidR="00900BE7" w:rsidRPr="00900BE7">
        <w:rPr>
          <w:lang w:val="en-GB"/>
        </w:rPr>
        <w:t xml:space="preserve">surveillance </w:t>
      </w:r>
      <w:r w:rsidRPr="000B4818">
        <w:rPr>
          <w:lang w:val="en-GB"/>
        </w:rPr>
        <w:t>powers may allow access that is not “essentially equivalent” to EU standards. During a break-glass window, the importer can view health data in real time.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The sub-processor is under U.S. jurisdiction; access, though read-only, concerns highly sensitive personal data.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Low</w:t>
      </w:r>
      <w:r w:rsidRPr="000B4818">
        <w:rPr>
          <w:lang w:val="en-GB"/>
        </w:rPr>
        <w:t xml:space="preserve"> (sessions are rare, authorised, and time-boxed).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Very high</w:t>
      </w:r>
      <w:r w:rsidRPr="000B4818">
        <w:rPr>
          <w:lang w:val="en-GB"/>
        </w:rPr>
        <w:t xml:space="preserve"> (special-category data; potential duty to suspend the transfer if SCCs cannot be honoured in practice).</w:t>
      </w:r>
    </w:p>
    <w:p w14:paraId="07EAC521" w14:textId="26429EAC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R2 — “Gag orders” blocking notification and undermining SCC compliance.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</w:t>
      </w:r>
      <w:r w:rsidR="00900BE7" w:rsidRPr="00900BE7">
        <w:rPr>
          <w:lang w:val="en-GB"/>
        </w:rPr>
        <w:t>The 2021 SCCs require the importer to notify the exporter of government access requests and to stop processing if compliance is impossible. U.S. secrecy orders may prohibit such notification.</w:t>
      </w:r>
      <w:r w:rsidR="00900BE7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Directly affects the ability to apply protections and to suspend the transfer promptly.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Very low – Low</w:t>
      </w:r>
      <w:r w:rsidRPr="000B4818">
        <w:rPr>
          <w:lang w:val="en-GB"/>
        </w:rPr>
        <w:t>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High – Very high</w:t>
      </w:r>
      <w:r w:rsidRPr="000B4818">
        <w:rPr>
          <w:lang w:val="en-GB"/>
        </w:rPr>
        <w:t xml:space="preserve"> (may require immediate suspension; legal and operational disruption).</w:t>
      </w:r>
    </w:p>
    <w:p w14:paraId="549930B2" w14:textId="77777777" w:rsidR="000B4818" w:rsidRPr="000B4818" w:rsidRDefault="000B4818" w:rsidP="000B4818">
      <w:r w:rsidRPr="000B4818">
        <w:pict w14:anchorId="05C2DAFE">
          <v:rect id="_x0000_i1037" style="width:0;height:1.5pt" o:hralign="center" o:hrstd="t" o:hr="t" fillcolor="#a0a0a0" stroked="f"/>
        </w:pict>
      </w:r>
    </w:p>
    <w:p w14:paraId="13EDEEDD" w14:textId="77777777" w:rsidR="000B4818" w:rsidRPr="000B4818" w:rsidRDefault="000B4818" w:rsidP="000B4818">
      <w:pPr>
        <w:rPr>
          <w:b/>
          <w:bCs/>
          <w:lang w:val="en-GB"/>
        </w:rPr>
      </w:pPr>
      <w:r w:rsidRPr="000B4818">
        <w:rPr>
          <w:b/>
          <w:bCs/>
          <w:lang w:val="en-GB"/>
        </w:rPr>
        <w:t>2) Nature of data (special category: health)</w:t>
      </w:r>
    </w:p>
    <w:p w14:paraId="29F151BA" w14:textId="2CF6A96E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R3 — Special-category health data with potentially broad scope.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DICOM imag</w:t>
      </w:r>
      <w:r w:rsidR="00900BE7">
        <w:rPr>
          <w:lang w:val="en-GB"/>
        </w:rPr>
        <w:t>es</w:t>
      </w:r>
      <w:r w:rsidRPr="000B4818">
        <w:rPr>
          <w:lang w:val="en-GB"/>
        </w:rPr>
        <w:t xml:space="preserve"> </w:t>
      </w:r>
      <w:r w:rsidR="00900BE7">
        <w:rPr>
          <w:lang w:val="en-GB"/>
        </w:rPr>
        <w:t>and</w:t>
      </w:r>
      <w:r w:rsidRPr="000B4818">
        <w:rPr>
          <w:lang w:val="en-GB"/>
        </w:rPr>
        <w:t xml:space="preserve"> clinical identifiers</w:t>
      </w:r>
      <w:r w:rsidR="00900BE7">
        <w:rPr>
          <w:lang w:val="en-GB"/>
        </w:rPr>
        <w:t xml:space="preserve"> </w:t>
      </w:r>
      <w:r w:rsidR="00900BE7" w:rsidRPr="00900BE7">
        <w:rPr>
          <w:lang w:val="en-GB"/>
        </w:rPr>
        <w:t>are special-category data under GDPR</w:t>
      </w:r>
      <w:r w:rsidR="00900BE7">
        <w:rPr>
          <w:lang w:val="en-GB"/>
        </w:rPr>
        <w:t>,</w:t>
      </w:r>
      <w:r w:rsidRPr="000B4818">
        <w:rPr>
          <w:lang w:val="en-GB"/>
        </w:rPr>
        <w:t xml:space="preserve"> highly sensitive and may </w:t>
      </w:r>
      <w:r w:rsidR="00900BE7" w:rsidRPr="00900BE7">
        <w:rPr>
          <w:lang w:val="en-GB"/>
        </w:rPr>
        <w:t>involve multiple studies or series</w:t>
      </w:r>
      <w:r w:rsidRPr="000B4818">
        <w:rPr>
          <w:lang w:val="en-GB"/>
        </w:rPr>
        <w:t>. Even limited exposure can meaningfully affect data subjects.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Metadata such as MRN and accession numbers are identifiers</w:t>
      </w:r>
      <w:r w:rsidR="00900BE7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Constant</w:t>
      </w:r>
      <w:r w:rsidRPr="000B4818">
        <w:rPr>
          <w:lang w:val="en-GB"/>
        </w:rPr>
        <w:t xml:space="preserve"> </w:t>
      </w:r>
      <w:r w:rsidR="00900BE7" w:rsidRPr="00900BE7">
        <w:rPr>
          <w:lang w:val="en-GB"/>
        </w:rPr>
        <w:t>(inherent to the processing)</w:t>
      </w:r>
      <w:r w:rsidR="00640E1E">
        <w:rPr>
          <w:lang w:val="en-GB"/>
        </w:rPr>
        <w:t>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Very high</w:t>
      </w:r>
      <w:r w:rsidRPr="000B4818">
        <w:rPr>
          <w:lang w:val="en-GB"/>
        </w:rPr>
        <w:t xml:space="preserve"> (reputational harm, discrimination risk, regulatory consequences).</w:t>
      </w:r>
    </w:p>
    <w:p w14:paraId="29D92450" w14:textId="77777777" w:rsidR="000B4818" w:rsidRPr="000B4818" w:rsidRDefault="000B4818" w:rsidP="000B4818">
      <w:r w:rsidRPr="000B4818">
        <w:pict w14:anchorId="1F57FA79">
          <v:rect id="_x0000_i1038" style="width:0;height:1.5pt" o:hralign="center" o:hrstd="t" o:hr="t" fillcolor="#a0a0a0" stroked="f"/>
        </w:pict>
      </w:r>
    </w:p>
    <w:p w14:paraId="0A52DF71" w14:textId="77777777" w:rsidR="000B4818" w:rsidRPr="000B4818" w:rsidRDefault="000B4818" w:rsidP="000B4818">
      <w:pPr>
        <w:rPr>
          <w:b/>
          <w:bCs/>
          <w:lang w:val="en-GB"/>
        </w:rPr>
      </w:pPr>
      <w:r w:rsidRPr="000B4818">
        <w:rPr>
          <w:b/>
          <w:bCs/>
          <w:lang w:val="en-GB"/>
        </w:rPr>
        <w:t>3) Attacker model (technical/organizational threats)</w:t>
      </w:r>
    </w:p>
    <w:p w14:paraId="2852A561" w14:textId="0AE9824E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R4 — Unintentional exfiltration during the session (downloads, log export, screenshot).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Support </w:t>
      </w:r>
      <w:r w:rsidR="00900BE7">
        <w:rPr>
          <w:lang w:val="en-GB"/>
        </w:rPr>
        <w:t>tools or logs</w:t>
      </w:r>
      <w:r w:rsidRPr="000B4818">
        <w:rPr>
          <w:lang w:val="en-GB"/>
        </w:rPr>
        <w:t xml:space="preserve"> can create unintended copies outside the intended perimeter.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DICOM and logs carry identifiers; any extra copy </w:t>
      </w:r>
      <w:r w:rsidR="00640E1E">
        <w:rPr>
          <w:lang w:val="en-GB"/>
        </w:rPr>
        <w:t>outside the intended perimeter can be dangerous</w:t>
      </w:r>
      <w:r w:rsidRPr="000B4818">
        <w:rPr>
          <w:lang w:val="en-GB"/>
        </w:rPr>
        <w:t>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Low</w:t>
      </w:r>
      <w:r w:rsidRPr="000B4818">
        <w:rPr>
          <w:lang w:val="en-GB"/>
        </w:rPr>
        <w:t xml:space="preserve"> </w:t>
      </w:r>
      <w:r w:rsidR="00900BE7" w:rsidRPr="00900BE7">
        <w:rPr>
          <w:lang w:val="en-GB"/>
        </w:rPr>
        <w:t>(read-only, auditing, encryption)</w:t>
      </w:r>
      <w:r w:rsidR="00900BE7" w:rsidRPr="00900BE7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High</w:t>
      </w:r>
      <w:r w:rsidRPr="000B4818">
        <w:rPr>
          <w:lang w:val="en-GB"/>
        </w:rPr>
        <w:t xml:space="preserve"> (personal-data breach).</w:t>
      </w:r>
    </w:p>
    <w:p w14:paraId="059F3DFA" w14:textId="09CC78B5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lastRenderedPageBreak/>
        <w:t>Risk R5 — Insider misuse at the U.S. sub-processor.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Privileged users might access more than necessary within the time-boxed window.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</w:t>
      </w:r>
      <w:r w:rsidR="00900BE7" w:rsidRPr="00900BE7">
        <w:rPr>
          <w:lang w:val="en-GB"/>
        </w:rPr>
        <w:t xml:space="preserve">Even </w:t>
      </w:r>
      <w:r w:rsidR="00223997">
        <w:rPr>
          <w:lang w:val="en-GB"/>
        </w:rPr>
        <w:t>short</w:t>
      </w:r>
      <w:r w:rsidR="00900BE7">
        <w:rPr>
          <w:lang w:val="en-GB"/>
        </w:rPr>
        <w:t xml:space="preserve"> </w:t>
      </w:r>
      <w:r w:rsidR="00900BE7" w:rsidRPr="00900BE7">
        <w:rPr>
          <w:lang w:val="en-GB"/>
        </w:rPr>
        <w:t>temporary access rights may allow exposure of multiple records.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Low</w:t>
      </w:r>
      <w:r w:rsidRPr="000B4818">
        <w:rPr>
          <w:lang w:val="en-GB"/>
        </w:rPr>
        <w:t xml:space="preserve"> (</w:t>
      </w:r>
      <w:r w:rsidR="00223997" w:rsidRPr="00223997">
        <w:rPr>
          <w:lang w:val="en-GB"/>
        </w:rPr>
        <w:t>role-based access</w:t>
      </w:r>
      <w:r w:rsidRPr="000B4818">
        <w:rPr>
          <w:lang w:val="en-GB"/>
        </w:rPr>
        <w:t>, MFA, dual approval, session recording).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High</w:t>
      </w:r>
      <w:r w:rsidRPr="000B4818">
        <w:rPr>
          <w:lang w:val="en-GB"/>
        </w:rPr>
        <w:t xml:space="preserve"> (rapid exposure of multiple records).</w:t>
      </w:r>
    </w:p>
    <w:p w14:paraId="49195B17" w14:textId="73DC90C0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R6 — Interception of the support channel (MITM).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Cross-border remote access requires strong transport security; weaknesses could expose </w:t>
      </w:r>
      <w:r w:rsidR="00223997" w:rsidRPr="00223997">
        <w:rPr>
          <w:lang w:val="en-GB"/>
        </w:rPr>
        <w:t>data in transit.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Real-time traffic between U.S. endpoints and EU systems.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Very low</w:t>
      </w:r>
      <w:r w:rsidRPr="000B4818">
        <w:rPr>
          <w:lang w:val="en-GB"/>
        </w:rPr>
        <w:t xml:space="preserve"> </w:t>
      </w:r>
      <w:r w:rsidR="00223997">
        <w:rPr>
          <w:lang w:val="en-GB"/>
        </w:rPr>
        <w:t>(</w:t>
      </w:r>
      <w:r w:rsidRPr="000B4818">
        <w:rPr>
          <w:lang w:val="en-GB"/>
        </w:rPr>
        <w:t>with robust VPN + TLS and IP allow-listing</w:t>
      </w:r>
      <w:r w:rsidR="00223997">
        <w:rPr>
          <w:lang w:val="en-GB"/>
        </w:rPr>
        <w:t>)</w:t>
      </w:r>
      <w:r w:rsidRPr="000B4818">
        <w:rPr>
          <w:lang w:val="en-GB"/>
        </w:rPr>
        <w:t>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Medium–High</w:t>
      </w:r>
      <w:r w:rsidRPr="000B4818">
        <w:rPr>
          <w:lang w:val="en-GB"/>
        </w:rPr>
        <w:t xml:space="preserve"> (exposure of content/credentials).</w:t>
      </w:r>
    </w:p>
    <w:p w14:paraId="6CC84ED4" w14:textId="722B1A65" w:rsidR="000B4818" w:rsidRP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>Risk R7 — Misconfiguration expanding scope (read-only → write/export).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</w:t>
      </w:r>
      <w:r w:rsidR="00223997" w:rsidRPr="00223997">
        <w:rPr>
          <w:lang w:val="en-GB"/>
        </w:rPr>
        <w:t>Errors in configuration or permissions could disable safeguards and enable data modification or export.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</w:t>
      </w:r>
      <w:r w:rsidR="00900BE7" w:rsidRPr="00900BE7">
        <w:rPr>
          <w:lang w:val="en-GB"/>
        </w:rPr>
        <w:t xml:space="preserve">The case specifies that the sub-processor’s access is </w:t>
      </w:r>
      <w:r w:rsidR="00900BE7" w:rsidRPr="00900BE7">
        <w:rPr>
          <w:b/>
          <w:bCs/>
          <w:lang w:val="en-GB"/>
        </w:rPr>
        <w:t>read-only</w:t>
      </w:r>
      <w:r w:rsidR="00900BE7" w:rsidRPr="00900BE7">
        <w:rPr>
          <w:lang w:val="en-GB"/>
        </w:rPr>
        <w:t xml:space="preserve"> and requires approval; if these restrictions are not correctly applied, </w:t>
      </w:r>
      <w:r w:rsidR="00223997">
        <w:rPr>
          <w:lang w:val="en-GB"/>
        </w:rPr>
        <w:t>exposure risk</w:t>
      </w:r>
      <w:r w:rsidR="00900BE7" w:rsidRPr="00900BE7">
        <w:rPr>
          <w:lang w:val="en-GB"/>
        </w:rPr>
        <w:t xml:space="preserve"> increases.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 xml:space="preserve">Low </w:t>
      </w:r>
      <w:r w:rsidRPr="000B4818">
        <w:rPr>
          <w:lang w:val="en-GB"/>
        </w:rPr>
        <w:t>(</w:t>
      </w:r>
      <w:r w:rsidR="00900BE7" w:rsidRPr="00900BE7">
        <w:rPr>
          <w:lang w:val="en-GB"/>
        </w:rPr>
        <w:t>depends on the rigour of configuration controls</w:t>
      </w:r>
      <w:r w:rsidRPr="000B4818">
        <w:rPr>
          <w:lang w:val="en-GB"/>
        </w:rPr>
        <w:t>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="00900BE7" w:rsidRPr="00900BE7">
        <w:rPr>
          <w:b/>
          <w:bCs/>
          <w:lang w:val="en-GB"/>
        </w:rPr>
        <w:t>Very</w:t>
      </w:r>
      <w:r w:rsidR="00900BE7">
        <w:rPr>
          <w:lang w:val="en-GB"/>
        </w:rPr>
        <w:t xml:space="preserve"> </w:t>
      </w:r>
      <w:r w:rsidR="00900BE7" w:rsidRPr="00900BE7">
        <w:rPr>
          <w:b/>
          <w:bCs/>
          <w:lang w:val="en-GB"/>
        </w:rPr>
        <w:t>h</w:t>
      </w:r>
      <w:r w:rsidRPr="000B4818">
        <w:rPr>
          <w:b/>
          <w:bCs/>
          <w:lang w:val="en-GB"/>
        </w:rPr>
        <w:t>igh</w:t>
      </w:r>
      <w:r w:rsidRPr="000B4818">
        <w:rPr>
          <w:lang w:val="en-GB"/>
        </w:rPr>
        <w:t xml:space="preserve"> (loss of control; larger attack surface).</w:t>
      </w:r>
    </w:p>
    <w:p w14:paraId="5B85142C" w14:textId="77954CFD" w:rsidR="000B4818" w:rsidRDefault="000B4818" w:rsidP="000B4818">
      <w:pPr>
        <w:rPr>
          <w:lang w:val="en-GB"/>
        </w:rPr>
      </w:pPr>
      <w:r w:rsidRPr="000B4818">
        <w:rPr>
          <w:b/>
          <w:bCs/>
          <w:lang w:val="en-GB"/>
        </w:rPr>
        <w:t xml:space="preserve">Risk R8 — Re-identification via operational metadata/artifacts (logs, MRN, </w:t>
      </w:r>
      <w:r w:rsidR="00223997" w:rsidRPr="000B4818">
        <w:rPr>
          <w:b/>
          <w:bCs/>
          <w:lang w:val="en-GB"/>
        </w:rPr>
        <w:t>I</w:t>
      </w:r>
      <w:r w:rsidR="00223997" w:rsidRPr="000B4818">
        <w:rPr>
          <w:b/>
          <w:bCs/>
          <w:lang w:val="en-GB"/>
        </w:rPr>
        <w:t>p</w:t>
      </w:r>
      <w:r w:rsidR="00223997" w:rsidRPr="000B4818">
        <w:rPr>
          <w:b/>
          <w:bCs/>
          <w:lang w:val="en-GB"/>
        </w:rPr>
        <w:t>s</w:t>
      </w:r>
      <w:r w:rsidR="00223997">
        <w:rPr>
          <w:b/>
          <w:bCs/>
          <w:lang w:val="en-GB"/>
        </w:rPr>
        <w:t>,</w:t>
      </w:r>
      <w:r w:rsidR="00223997" w:rsidRPr="000B4818">
        <w:rPr>
          <w:b/>
          <w:bCs/>
          <w:lang w:val="en-GB"/>
        </w:rPr>
        <w:t xml:space="preserve"> </w:t>
      </w:r>
      <w:r w:rsidRPr="000B4818">
        <w:rPr>
          <w:b/>
          <w:bCs/>
          <w:lang w:val="en-GB"/>
        </w:rPr>
        <w:t>accession).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Reasoning:</w:t>
      </w:r>
      <w:r w:rsidRPr="000B4818">
        <w:rPr>
          <w:lang w:val="en-GB"/>
        </w:rPr>
        <w:t xml:space="preserve"> Technical data can still identify or link individuals through correlation.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Why relevant:</w:t>
      </w:r>
      <w:r w:rsidRPr="000B4818">
        <w:rPr>
          <w:lang w:val="en-GB"/>
        </w:rPr>
        <w:t xml:space="preserve"> Logs are part of the processing and may be visible during support.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Likelihood: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Medium</w:t>
      </w:r>
      <w:r w:rsidRPr="000B4818">
        <w:rPr>
          <w:lang w:val="en-GB"/>
        </w:rPr>
        <w:t xml:space="preserve"> (logs are often verbose).</w:t>
      </w:r>
      <w:r w:rsidRPr="000B4818">
        <w:rPr>
          <w:lang w:val="en-GB"/>
        </w:rPr>
        <w:br/>
      </w:r>
      <w:r w:rsidRPr="000B4818">
        <w:rPr>
          <w:b/>
          <w:bCs/>
          <w:lang w:val="en-GB"/>
        </w:rPr>
        <w:t>Impact:</w:t>
      </w:r>
      <w:r w:rsidRPr="000B4818">
        <w:rPr>
          <w:lang w:val="en-GB"/>
        </w:rPr>
        <w:t xml:space="preserve"> </w:t>
      </w:r>
      <w:r w:rsidRPr="000B4818">
        <w:rPr>
          <w:b/>
          <w:bCs/>
          <w:lang w:val="en-GB"/>
        </w:rPr>
        <w:t>Medium–High</w:t>
      </w:r>
      <w:r w:rsidRPr="000B4818">
        <w:rPr>
          <w:lang w:val="en-GB"/>
        </w:rPr>
        <w:t xml:space="preserve"> (</w:t>
      </w:r>
      <w:r w:rsidR="00223997">
        <w:rPr>
          <w:lang w:val="en-GB"/>
        </w:rPr>
        <w:t>expands</w:t>
      </w:r>
      <w:r w:rsidRPr="000B4818">
        <w:rPr>
          <w:lang w:val="en-GB"/>
        </w:rPr>
        <w:t xml:space="preserve"> the personal-data footprint; correlation risks).</w:t>
      </w:r>
    </w:p>
    <w:p w14:paraId="21876250" w14:textId="1B0840E6" w:rsidR="00AC27EC" w:rsidRDefault="00AC27EC" w:rsidP="00AC27EC">
      <w:pPr>
        <w:pStyle w:val="Titolo1"/>
        <w:rPr>
          <w:b/>
          <w:bCs/>
          <w:lang w:val="en-GB"/>
        </w:rPr>
      </w:pPr>
      <w:r w:rsidRPr="00AC27EC">
        <w:rPr>
          <w:b/>
          <w:bCs/>
          <w:lang w:val="en-GB"/>
        </w:rPr>
        <w:t>3. Transfer Tool &amp; safeguards</w:t>
      </w:r>
    </w:p>
    <w:p w14:paraId="09E1C42E" w14:textId="77777777" w:rsidR="00AC27EC" w:rsidRDefault="00AC27EC" w:rsidP="00AC27EC">
      <w:pPr>
        <w:rPr>
          <w:lang w:val="en-GB"/>
        </w:rPr>
      </w:pPr>
    </w:p>
    <w:p w14:paraId="05AACB43" w14:textId="1C690AD7" w:rsidR="00AC27EC" w:rsidRPr="00AC27EC" w:rsidRDefault="00AC27EC" w:rsidP="00AC27EC">
      <w:pPr>
        <w:pStyle w:val="Titolo1"/>
        <w:rPr>
          <w:b/>
          <w:bCs/>
          <w:lang w:val="en-GB"/>
        </w:rPr>
      </w:pPr>
      <w:r w:rsidRPr="00AC27EC">
        <w:rPr>
          <w:b/>
          <w:bCs/>
          <w:lang w:val="en-GB"/>
        </w:rPr>
        <w:t xml:space="preserve">4. </w:t>
      </w:r>
      <w:proofErr w:type="spellStart"/>
      <w:r w:rsidRPr="00AC27EC">
        <w:rPr>
          <w:b/>
          <w:bCs/>
        </w:rPr>
        <w:t>Conclusion</w:t>
      </w:r>
      <w:proofErr w:type="spellEnd"/>
      <w:r w:rsidRPr="00AC27EC">
        <w:rPr>
          <w:b/>
          <w:bCs/>
        </w:rPr>
        <w:t xml:space="preserve"> &amp; accountability</w:t>
      </w:r>
    </w:p>
    <w:p w14:paraId="0EBD4351" w14:textId="77777777" w:rsidR="003520E9" w:rsidRPr="000B4818" w:rsidRDefault="003520E9">
      <w:pPr>
        <w:rPr>
          <w:lang w:val="en-GB"/>
        </w:rPr>
      </w:pPr>
    </w:p>
    <w:sectPr w:rsidR="003520E9" w:rsidRPr="000B481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25E5A" w14:textId="77777777" w:rsidR="008476DD" w:rsidRDefault="008476DD" w:rsidP="00AC27EC">
      <w:pPr>
        <w:spacing w:after="0" w:line="240" w:lineRule="auto"/>
      </w:pPr>
      <w:r>
        <w:separator/>
      </w:r>
    </w:p>
  </w:endnote>
  <w:endnote w:type="continuationSeparator" w:id="0">
    <w:p w14:paraId="6E2A9131" w14:textId="77777777" w:rsidR="008476DD" w:rsidRDefault="008476DD" w:rsidP="00AC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C232" w14:textId="77777777" w:rsidR="008476DD" w:rsidRDefault="008476DD" w:rsidP="00AC27EC">
      <w:pPr>
        <w:spacing w:after="0" w:line="240" w:lineRule="auto"/>
      </w:pPr>
      <w:r>
        <w:separator/>
      </w:r>
    </w:p>
  </w:footnote>
  <w:footnote w:type="continuationSeparator" w:id="0">
    <w:p w14:paraId="481B6A62" w14:textId="77777777" w:rsidR="008476DD" w:rsidRDefault="008476DD" w:rsidP="00AC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59D0E" w14:textId="4ACCF8D0" w:rsidR="00AC27EC" w:rsidRPr="00AC27EC" w:rsidRDefault="00AC27EC">
    <w:pPr>
      <w:pStyle w:val="Intestazione"/>
      <w:rPr>
        <w:lang w:val="en-GB"/>
      </w:rPr>
    </w:pPr>
    <w:r w:rsidRPr="00AC27EC">
      <w:rPr>
        <w:lang w:val="en-GB"/>
      </w:rPr>
      <w:t>ASSIGNMENT 2</w:t>
    </w:r>
    <w:r>
      <w:rPr>
        <w:lang w:val="en-GB"/>
      </w:rPr>
      <w:t xml:space="preserve"> </w:t>
    </w:r>
    <w:r w:rsidRPr="00AC27EC">
      <w:rPr>
        <w:lang w:val="en-GB"/>
      </w:rPr>
      <w:t>– TASK 1</w:t>
    </w:r>
    <w:r w:rsidRPr="00AC27EC">
      <w:rPr>
        <w:lang w:val="en-GB"/>
      </w:rPr>
      <w:tab/>
      <w:t>M</w:t>
    </w:r>
    <w:r>
      <w:rPr>
        <w:lang w:val="en-GB"/>
      </w:rPr>
      <w:t>a</w:t>
    </w:r>
    <w:r w:rsidRPr="00AC27EC">
      <w:rPr>
        <w:lang w:val="en-GB"/>
      </w:rPr>
      <w:t>naging AI in t</w:t>
    </w:r>
    <w:r>
      <w:rPr>
        <w:lang w:val="en-GB"/>
      </w:rPr>
      <w:t>he Organization</w:t>
    </w:r>
    <w:r>
      <w:rPr>
        <w:lang w:val="en-GB"/>
      </w:rPr>
      <w:tab/>
      <w:t>Group 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00C39"/>
    <w:multiLevelType w:val="hybridMultilevel"/>
    <w:tmpl w:val="981E2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7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18"/>
    <w:rsid w:val="000B4818"/>
    <w:rsid w:val="00223448"/>
    <w:rsid w:val="00223997"/>
    <w:rsid w:val="003520E9"/>
    <w:rsid w:val="00640E1E"/>
    <w:rsid w:val="008476DD"/>
    <w:rsid w:val="00900BE7"/>
    <w:rsid w:val="00AC27EC"/>
    <w:rsid w:val="00BB1613"/>
    <w:rsid w:val="00E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483B"/>
  <w15:chartTrackingRefBased/>
  <w15:docId w15:val="{8496D3BE-24C6-415E-A9DC-13512E2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B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4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4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4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4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B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48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48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48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48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48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48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4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4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4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48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48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48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48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481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27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27EC"/>
  </w:style>
  <w:style w:type="paragraph" w:styleId="Pidipagina">
    <w:name w:val="footer"/>
    <w:basedOn w:val="Normale"/>
    <w:link w:val="PidipaginaCarattere"/>
    <w:uiPriority w:val="99"/>
    <w:unhideWhenUsed/>
    <w:rsid w:val="00AC27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f.besana11@campus.unimib.it</dc:creator>
  <cp:keywords/>
  <dc:description/>
  <cp:lastModifiedBy>f.besana11@campus.unimib.it</cp:lastModifiedBy>
  <cp:revision>3</cp:revision>
  <dcterms:created xsi:type="dcterms:W3CDTF">2025-10-02T14:13:00Z</dcterms:created>
  <dcterms:modified xsi:type="dcterms:W3CDTF">2025-10-02T15:15:00Z</dcterms:modified>
</cp:coreProperties>
</file>