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Жозе</w:t>
      </w:r>
      <w:r>
        <w:t xml:space="preserve"> </w:t>
      </w:r>
      <w:r>
        <w:t xml:space="preserve">Рамос</w:t>
      </w:r>
      <w:r>
        <w:t xml:space="preserve"> </w:t>
      </w:r>
      <w:r>
        <w:t xml:space="preserve">Домингуш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Создаем каталог для программ ЛБ8, и в нем создаем файл (рис. fig. 1).</w:t>
      </w:r>
    </w:p>
    <w:p>
      <w:pPr>
        <w:pStyle w:val="CaptionedFigure"/>
      </w:pPr>
      <w:r>
        <w:drawing>
          <wp:inline>
            <wp:extent cx="3733800" cy="349408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8.1 (рис. fig. 2).</w:t>
      </w:r>
    </w:p>
    <w:p>
      <w:pPr>
        <w:pStyle w:val="CaptionedFigure"/>
      </w:pPr>
      <w:r>
        <w:drawing>
          <wp:inline>
            <wp:extent cx="3733800" cy="1909560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1186365"/>
            <wp:effectExtent b="0" l="0" r="0" t="0"/>
            <wp:docPr descr="Запускаем файл и проверяем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 регистра в цикле (рис. fig. 4).</w:t>
      </w:r>
    </w:p>
    <w:p>
      <w:pPr>
        <w:pStyle w:val="CaptionedFigure"/>
      </w:pPr>
      <w:r>
        <w:drawing>
          <wp:inline>
            <wp:extent cx="3733800" cy="1251371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983220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 регистр уменьшается на 2 командой sub и loop).</w:t>
      </w:r>
    </w:p>
    <w:p>
      <w:pPr>
        <w:pStyle w:val="BodyText"/>
      </w:pPr>
      <w:r>
        <w:t xml:space="preserve">Число проходов цикла не соответсвует числу N, так как уменьшается на 2.</w:t>
      </w:r>
    </w:p>
    <w:p>
      <w:pPr>
        <w:pStyle w:val="BodyText"/>
      </w:pPr>
      <w:r>
        <w:t xml:space="preserve">Снова открываем файл для редактирования и изменяем его, чтобы все корректно работало (рис. fig. 6).</w:t>
      </w:r>
    </w:p>
    <w:p>
      <w:pPr>
        <w:pStyle w:val="CaptionedFigure"/>
      </w:pPr>
      <w:r>
        <w:drawing>
          <wp:inline>
            <wp:extent cx="3733800" cy="855068"/>
            <wp:effectExtent b="0" l="0" r="0" t="0"/>
            <wp:docPr descr="Редактиру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Создаем исполняемый файл и запускаем его (рис. fig. 7).</w:t>
      </w:r>
    </w:p>
    <w:p>
      <w:pPr>
        <w:pStyle w:val="CaptionedFigure"/>
      </w:pPr>
      <w:r>
        <w:drawing>
          <wp:inline>
            <wp:extent cx="3733800" cy="1245957"/>
            <wp:effectExtent b="0" l="0" r="0" t="0"/>
            <wp:docPr descr="Проверяем, сошелся ли наш вывод с данным в условии выводом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Проверяем, сошелся ли наш вывод с данным в условии выводом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bookmarkEnd w:id="43"/>
    <w:bookmarkStart w:id="68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строки.</w:t>
      </w:r>
    </w:p>
    <w:p>
      <w:pPr>
        <w:pStyle w:val="FirstParagraph"/>
      </w:pPr>
      <w:r>
        <w:t xml:space="preserve">Создаем новый файл (рис. fig. 8).</w:t>
      </w:r>
    </w:p>
    <w:p>
      <w:pPr>
        <w:pStyle w:val="CaptionedFigure"/>
      </w:pPr>
      <w:r>
        <w:drawing>
          <wp:inline>
            <wp:extent cx="3733800" cy="244305"/>
            <wp:effectExtent b="0" l="0" r="0" t="0"/>
            <wp:docPr descr="Создаем файл командой touch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8.2 (рис. fig. 9).</w:t>
      </w:r>
    </w:p>
    <w:p>
      <w:pPr>
        <w:pStyle w:val="CaptionedFigure"/>
      </w:pPr>
      <w:r>
        <w:drawing>
          <wp:inline>
            <wp:extent cx="3733800" cy="1634821"/>
            <wp:effectExtent b="0" l="0" r="0" t="0"/>
            <wp:docPr descr="Заполняем файл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Заполняем файл</w:t>
      </w:r>
    </w:p>
    <w:p>
      <w:pPr>
        <w:pStyle w:val="BodyText"/>
      </w:pPr>
      <w:r>
        <w:t xml:space="preserve">Создаем исполняемый файл и проверяем его работу, указав аргументы (рис. fig. 10).</w:t>
      </w:r>
    </w:p>
    <w:p>
      <w:pPr>
        <w:pStyle w:val="CaptionedFigure"/>
      </w:pPr>
      <w:r>
        <w:drawing>
          <wp:inline>
            <wp:extent cx="3733800" cy="636489"/>
            <wp:effectExtent b="0" l="0" r="0" t="0"/>
            <wp:docPr descr="Смотрим на работу программ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lab8-3.asm (рис. fig. 11).</w:t>
      </w:r>
    </w:p>
    <w:p>
      <w:pPr>
        <w:pStyle w:val="CaptionedFigure"/>
      </w:pPr>
      <w:r>
        <w:drawing>
          <wp:inline>
            <wp:extent cx="3733800" cy="271622"/>
            <wp:effectExtent b="0" l="0" r="0" t="0"/>
            <wp:docPr descr="Создаем файл командой touch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файл командой touch</w:t>
      </w:r>
    </w:p>
    <w:p>
      <w:pPr>
        <w:pStyle w:val="BodyText"/>
      </w:pPr>
      <w:r>
        <w:t xml:space="preserve">Открываем файл и заполняем его в соответствии с листингом 8.3 (рис. fig. 12).</w:t>
      </w:r>
    </w:p>
    <w:p>
      <w:pPr>
        <w:pStyle w:val="CaptionedFigure"/>
      </w:pPr>
      <w:r>
        <w:drawing>
          <wp:inline>
            <wp:extent cx="3733800" cy="2227250"/>
            <wp:effectExtent b="0" l="0" r="0" t="0"/>
            <wp:docPr descr="Заполняем файл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13).</w:t>
      </w:r>
    </w:p>
    <w:p>
      <w:pPr>
        <w:pStyle w:val="CaptionedFigure"/>
      </w:pPr>
      <w:r>
        <w:drawing>
          <wp:inline>
            <wp:extent cx="3733800" cy="451964"/>
            <wp:effectExtent b="0" l="0" r="0" t="0"/>
            <wp:docPr descr="Смотрим на работу программы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 вводимых значений (рис. fig. 14).</w:t>
      </w:r>
    </w:p>
    <w:p>
      <w:pPr>
        <w:pStyle w:val="CaptionedFigure"/>
      </w:pPr>
      <w:r>
        <w:drawing>
          <wp:inline>
            <wp:extent cx="3733800" cy="696270"/>
            <wp:effectExtent b="0" l="0" r="0" t="0"/>
            <wp:docPr descr="Изменя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15).</w:t>
      </w:r>
    </w:p>
    <w:p>
      <w:pPr>
        <w:pStyle w:val="CaptionedFigure"/>
      </w:pPr>
      <w:r>
        <w:drawing>
          <wp:inline>
            <wp:extent cx="3733800" cy="696270"/>
            <wp:effectExtent b="0" l="0" r="0" t="0"/>
            <wp:docPr descr="Проверяем работу файла(работает правильно)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работу файла(работает правильно)</w:t>
      </w:r>
    </w:p>
    <w:bookmarkEnd w:id="68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ВАРИАНТ-13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f(x) для x = x1, x2, …, xn, т.е. программа должна выводить значение f(x1) + f(x2) + … + f(xn).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x2, …, xn.</w:t>
      </w:r>
    </w:p>
    <w:p>
      <w:pPr>
        <w:pStyle w:val="FirstParagraph"/>
      </w:pPr>
      <w:r>
        <w:t xml:space="preserve">Создаем новый файл (рис. fig. 16).</w:t>
      </w:r>
    </w:p>
    <w:p>
      <w:pPr>
        <w:pStyle w:val="CaptionedFigure"/>
      </w:pPr>
      <w:r>
        <w:drawing>
          <wp:inline>
            <wp:extent cx="3733800" cy="282491"/>
            <wp:effectExtent b="0" l="0" r="0" t="0"/>
            <wp:docPr descr="Создаем файл командой touch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файл командой touch</w:t>
      </w:r>
    </w:p>
    <w:p>
      <w:pPr>
        <w:pStyle w:val="BodyText"/>
      </w:pPr>
      <w:r>
        <w:t xml:space="preserve">Открываем его и пишем программу, которая выведет сумму значений, получившихся после решения выражения 3(10+x) (рис. fig. 17).</w:t>
      </w:r>
    </w:p>
    <w:p>
      <w:pPr>
        <w:pStyle w:val="CaptionedFigure"/>
      </w:pPr>
      <w:r>
        <w:drawing>
          <wp:inline>
            <wp:extent cx="3733800" cy="2487829"/>
            <wp:effectExtent b="0" l="0" r="0" t="0"/>
            <wp:docPr descr="Пишем программу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Пишем программу</w:t>
      </w:r>
    </w:p>
    <w:p>
      <w:pPr>
        <w:pStyle w:val="BodyText"/>
      </w:pPr>
      <w:r>
        <w:t xml:space="preserve">Транслируем файл и смотрим на работу программы (рис. fig. 18).</w:t>
      </w:r>
    </w:p>
    <w:p>
      <w:pPr>
        <w:pStyle w:val="CaptionedFigure"/>
      </w:pPr>
      <w:r>
        <w:drawing>
          <wp:inline>
            <wp:extent cx="3733800" cy="456444"/>
            <wp:effectExtent b="0" l="0" r="0" t="0"/>
            <wp:docPr descr="Смотрим на рабботу программы при x1=5 x2=3 x1=4(всё верно)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Смотрим на рабботу программы при x1=5 x2=3 x1=4(всё верно)</w:t>
      </w:r>
    </w:p>
    <w:p>
      <w:pPr>
        <w:pStyle w:val="BodyText"/>
      </w:pPr>
      <w:r>
        <w:t xml:space="preserve">Транслируем файл и смотрим на работу программы (рис. fig. 19).</w:t>
      </w:r>
    </w:p>
    <w:p>
      <w:pPr>
        <w:pStyle w:val="CaptionedFigure"/>
      </w:pPr>
      <w:r>
        <w:drawing>
          <wp:inline>
            <wp:extent cx="3733800" cy="456444"/>
            <wp:effectExtent b="0" l="0" r="0" t="0"/>
            <wp:docPr descr="Смотрим на рабботу программы при x1=1 x2=3 x1=7(всё верно)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Смотрим на рабботу программы при x1=1 x2=3 x1=7(всё верно)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Жозе Рамос Домингуш</dc:creator>
  <dc:language>ru-RU</dc:language>
  <cp:keywords/>
  <dcterms:created xsi:type="dcterms:W3CDTF">2024-11-29T23:48:13Z</dcterms:created>
  <dcterms:modified xsi:type="dcterms:W3CDTF">2024-11-29T23:48:13Z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цикла. Обработка аргументов командной строки.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