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DA87" w14:textId="77777777" w:rsidR="009D0EF0" w:rsidRPr="009D0EF0" w:rsidRDefault="009D0EF0" w:rsidP="004318E2">
      <w:pPr>
        <w:jc w:val="both"/>
        <w:rPr>
          <w:b/>
          <w:bCs/>
        </w:rPr>
      </w:pPr>
      <w:r w:rsidRPr="009D0EF0">
        <w:rPr>
          <w:b/>
          <w:bCs/>
        </w:rPr>
        <w:t>Materials and Methods</w:t>
      </w:r>
    </w:p>
    <w:p w14:paraId="4783325A" w14:textId="77777777" w:rsidR="009D0EF0" w:rsidRPr="009D0EF0" w:rsidRDefault="009D0EF0" w:rsidP="004318E2">
      <w:pPr>
        <w:jc w:val="both"/>
        <w:rPr>
          <w:b/>
          <w:bCs/>
        </w:rPr>
      </w:pPr>
      <w:r w:rsidRPr="009D0EF0">
        <w:rPr>
          <w:b/>
          <w:bCs/>
        </w:rPr>
        <w:t>System Preparation</w:t>
      </w:r>
    </w:p>
    <w:p w14:paraId="0F2F8F99" w14:textId="3F2C55FC" w:rsidR="009D0EF0" w:rsidRPr="009D0EF0" w:rsidRDefault="009D0EF0" w:rsidP="004318E2">
      <w:pPr>
        <w:jc w:val="both"/>
      </w:pPr>
      <w:r>
        <w:t xml:space="preserve">The hnRNPA1 (UP1) wild-type model was taken from AlphaFold2 [1] </w:t>
      </w:r>
      <w:r w:rsidR="009A3BCD">
        <w:t>to include the extended C-terminal</w:t>
      </w:r>
      <w:r w:rsidR="00732593">
        <w:t xml:space="preserve"> of UP1</w:t>
      </w:r>
      <w:r>
        <w:t xml:space="preserve">, </w:t>
      </w:r>
      <w:commentRangeStart w:id="0"/>
      <w:r>
        <w:t xml:space="preserve">whereas the wild-type structures of hnRNP A2/B1 and PCBP1 were </w:t>
      </w:r>
      <w:r w:rsidR="00F176F5">
        <w:t xml:space="preserve">obtained from xxxxxxxx </w:t>
      </w:r>
      <w:commentRangeEnd w:id="0"/>
      <w:r w:rsidR="00F176F5">
        <w:rPr>
          <w:rStyle w:val="CommentReference"/>
        </w:rPr>
        <w:commentReference w:id="0"/>
      </w:r>
      <w:r>
        <w:t>. Point-mutant variants</w:t>
      </w:r>
      <w:r w:rsidR="009A3BCD">
        <w:t xml:space="preserve"> for all the mutants</w:t>
      </w:r>
      <w:r>
        <w:t xml:space="preserve"> were generated in PyMOL from the corresponding wild-type starting structure for each protein. All systems were then prepared for molecular dynamics simulations using HTMD (High-Throughput Molecular Dynamics) from Acellera [2], and protein structures were protonated at pH 7.0 using HTMD’s systemPrepare function, which assigns protonation states based on pKa calculations.</w:t>
      </w:r>
    </w:p>
    <w:p w14:paraId="2EA49F73" w14:textId="78219D3B" w:rsidR="009D0EF0" w:rsidRPr="009D0EF0" w:rsidRDefault="009D0EF0" w:rsidP="004318E2">
      <w:pPr>
        <w:jc w:val="both"/>
      </w:pPr>
      <w:r>
        <w:t xml:space="preserve">Each protein system was solvated in a rectangular periodic box of TIP3P water using HTMD’s solvate function with a 15 Å minimum padding distance from the protein surface to the box edge. The procedure used HTMD’s pre-equilibrated TIP3P water box (default size </w:t>
      </w:r>
      <w:r w:rsidR="00290719">
        <w:t xml:space="preserve">~ </w:t>
      </w:r>
      <w:r>
        <w:t>65 Å) with a 2.4 Å solute–solvent buffer to prevent steric clashes. Each system was then neutralized and adjusted to 0.15 M KCl by placing K</w:t>
      </w:r>
      <w:r>
        <w:rPr>
          <w:vertAlign w:val="superscript"/>
        </w:rPr>
        <w:t>+</w:t>
      </w:r>
      <w:r>
        <w:t xml:space="preserve"> and Cl</w:t>
      </w:r>
      <w:r>
        <w:rPr>
          <w:vertAlign w:val="superscript"/>
        </w:rPr>
        <w:t>−</w:t>
      </w:r>
      <w:r>
        <w:t xml:space="preserve"> ions through HTMD’s ionizePlace routine, with a minimum solute–ion distance of 5.0 Å and a minimum ion–ion distance of 3.0 Å. The system topology was generated with htmd.builder.amber.build using the AMBER ff14SB force field for protein parameters [6] together with the supporting parameter sets shipped with HTMD.</w:t>
      </w:r>
    </w:p>
    <w:p w14:paraId="7C85C176" w14:textId="761CF621" w:rsidR="009D0EF0" w:rsidRPr="009D0EF0" w:rsidRDefault="009D0EF0" w:rsidP="004318E2">
      <w:pPr>
        <w:jc w:val="both"/>
        <w:rPr>
          <w:b/>
          <w:bCs/>
        </w:rPr>
      </w:pPr>
      <w:r w:rsidRPr="009D0EF0">
        <w:rPr>
          <w:b/>
          <w:bCs/>
        </w:rPr>
        <w:t>System Equilibration</w:t>
      </w:r>
      <w:r w:rsidR="00E53591">
        <w:rPr>
          <w:b/>
          <w:bCs/>
        </w:rPr>
        <w:t xml:space="preserve"> and </w:t>
      </w:r>
      <w:r w:rsidR="00E53591" w:rsidRPr="009D0EF0">
        <w:rPr>
          <w:b/>
          <w:bCs/>
        </w:rPr>
        <w:t>Simulation Engine and Parameters</w:t>
      </w:r>
    </w:p>
    <w:p w14:paraId="325BBF08" w14:textId="57DE25A3" w:rsidR="009D0EF0" w:rsidRPr="009D0EF0" w:rsidRDefault="009D0EF0" w:rsidP="004318E2">
      <w:pPr>
        <w:jc w:val="both"/>
      </w:pPr>
      <w:r>
        <w:t xml:space="preserve">Prior to production, each system was equilibrated using HTMD’s Equilibration v3 protocol. The protocol consisted of 500 steps of energy minimization followed by a single 10 ns simulation in the NPT ensemble at 298 K and </w:t>
      </w:r>
      <w:r w:rsidR="007C4EDA">
        <w:t xml:space="preserve">~ </w:t>
      </w:r>
      <w:r>
        <w:t>1bar. Position restraints were applied to non-hydrogen atoms — Cα atoms with a force constant of 1.0 kcal mol</w:t>
      </w:r>
      <w:r>
        <w:rPr>
          <w:vertAlign w:val="superscript"/>
        </w:rPr>
        <w:t>−1</w:t>
      </w:r>
      <w:r>
        <w:t xml:space="preserve"> Å</w:t>
      </w:r>
      <w:r>
        <w:rPr>
          <w:vertAlign w:val="superscript"/>
        </w:rPr>
        <w:t>−2</w:t>
      </w:r>
      <w:r>
        <w:t xml:space="preserve"> and the remaining heavy atoms with a force constant of 0.1 kcal mol</w:t>
      </w:r>
      <w:r>
        <w:rPr>
          <w:vertAlign w:val="superscript"/>
        </w:rPr>
        <w:t>−1</w:t>
      </w:r>
      <w:r>
        <w:t xml:space="preserve"> Å</w:t>
      </w:r>
      <w:r>
        <w:rPr>
          <w:vertAlign w:val="superscript"/>
        </w:rPr>
        <w:t>−2</w:t>
      </w:r>
      <w:r>
        <w:t xml:space="preserve"> — and were linearly relaxed to zero over the first 5 ns of the run, leaving 5 ns of unrestrained NPT to allow the box to settle.</w:t>
      </w:r>
    </w:p>
    <w:p w14:paraId="0550B28D" w14:textId="3E262ADF" w:rsidR="00E53591" w:rsidRPr="00243C23" w:rsidRDefault="009D0EF0" w:rsidP="004318E2">
      <w:pPr>
        <w:jc w:val="both"/>
      </w:pPr>
      <w:r>
        <w:t>All molecular-dynamics simulations were performed with ACEMD 4 (Acellera, 4.0 series; htmd conda environment, OpenMM 8 GPU backend) [3]. Simulations were conducted under periodic boundary conditions at 298 K using a Langevin thermostat (1.0 ps</w:t>
      </w:r>
      <w:r>
        <w:rPr>
          <w:vertAlign w:val="superscript"/>
        </w:rPr>
        <w:t>−1</w:t>
      </w:r>
      <w:r>
        <w:t xml:space="preserve"> damping during equilibration, 0.1 ps</w:t>
      </w:r>
      <w:r>
        <w:rPr>
          <w:vertAlign w:val="superscript"/>
        </w:rPr>
        <w:t>−1</w:t>
      </w:r>
      <w:r>
        <w:t xml:space="preserve"> during production) and at </w:t>
      </w:r>
      <w:r w:rsidR="003A4B8C">
        <w:t xml:space="preserve">~ </w:t>
      </w:r>
      <w:r>
        <w:t>1bar with the ACEMD-default constant-pressure barostat. Long-range electrostatic interactions were calculated with the particle mesh Ewald (PME) method using its default ~1 Å grid spacing; a 9 Å cutoff with a 7.5 Å switching distance was applied to short-range non-bonded interactions. The M-SHAKE algorithm constrained all bonds to hydrogen, and a 4 fs integration timestep was used together with hydrogen mass repartitioning. Trajectory frames were written every 25,000 integration steps (0.1 ns).</w:t>
      </w:r>
    </w:p>
    <w:p w14:paraId="44A42E90" w14:textId="68043ACD" w:rsidR="009D0EF0" w:rsidRPr="009D0EF0" w:rsidRDefault="009D0EF0" w:rsidP="004318E2">
      <w:pPr>
        <w:jc w:val="both"/>
        <w:rPr>
          <w:b/>
          <w:bCs/>
        </w:rPr>
      </w:pPr>
      <w:r w:rsidRPr="009D0EF0">
        <w:rPr>
          <w:b/>
          <w:bCs/>
        </w:rPr>
        <w:lastRenderedPageBreak/>
        <w:t>Adaptive Sampling Protocol</w:t>
      </w:r>
    </w:p>
    <w:p w14:paraId="699B1563" w14:textId="77777777" w:rsidR="009D0EF0" w:rsidRPr="009D0EF0" w:rsidRDefault="009D0EF0" w:rsidP="004318E2">
      <w:pPr>
        <w:jc w:val="both"/>
      </w:pPr>
      <w:r w:rsidRPr="009D0EF0">
        <w:t>Enhanced conformational sampling was achieved using the adaptive sampling framework implemented in HTMD via the AdaptiveMD class [4,5]. Adaptive sampling iteratively spawns new simulations from undersampled regions of conformational space, as identified through Markov state model (MSM) analysis, to efficiently explore the protein's free energy landscape without introducing biasing forces.</w:t>
      </w:r>
    </w:p>
    <w:p w14:paraId="7D907750" w14:textId="77777777" w:rsidR="009D0EF0" w:rsidRPr="009D0EF0" w:rsidRDefault="009D0EF0" w:rsidP="004318E2">
      <w:pPr>
        <w:jc w:val="both"/>
      </w:pPr>
      <w:r>
        <w:t>The conformational space was projected onto the protein-backbone φ (phi) and ψ (psi) dihedral angles using HTMD’s MetricDihedral class with the dihedral list returned by Dihedral.proteinDihedrals, capturing the essential degrees of freedom describing protein-backbone conformational dynamics. Dimensionality reduction was performed with Time-lagged Independent Component Analysis (TICA), retaining 3 TICA dimensions to identify the slowest-relaxing collective motions in the system.</w:t>
      </w:r>
    </w:p>
    <w:p w14:paraId="30DEB06B" w14:textId="52255E60" w:rsidR="009D0EF0" w:rsidRPr="009D0EF0" w:rsidRDefault="009D0EF0" w:rsidP="004318E2">
      <w:pPr>
        <w:jc w:val="both"/>
      </w:pPr>
      <w:r>
        <w:t xml:space="preserve">The adaptive sampling protocol employed between 1 and 10 concurrent simulations (nmin = 1, nmax = 10) across 10 epochs, with each walker running 200 ns of production MD per epoch. New starting points for each epoch were drawn from </w:t>
      </w:r>
      <w:r w:rsidR="000875EC">
        <w:t>under sampled</w:t>
      </w:r>
      <w:r>
        <w:t xml:space="preserve"> microstates by AdaptiveMD’s default respawn sampler, which prioritizes states based on their inverse stationary populations estimated from a Markov state model [2]. Trajectories were filtered with the selection ‘not water and not resname K CL’ prior to projection. The protocol yielded an aggregate per-system simulation time of approximately </w:t>
      </w:r>
      <w:r w:rsidR="00243C23">
        <w:t>16</w:t>
      </w:r>
      <w:r w:rsidR="00EF760A">
        <w:t>.</w:t>
      </w:r>
      <w:r>
        <w:t>4 µs</w:t>
      </w:r>
      <w:r w:rsidR="00243C23">
        <w:t xml:space="preserve">. </w:t>
      </w:r>
    </w:p>
    <w:p w14:paraId="6A22C7D8" w14:textId="77777777" w:rsidR="009D0EF0" w:rsidRPr="009D0EF0" w:rsidRDefault="009D0EF0" w:rsidP="004318E2">
      <w:pPr>
        <w:jc w:val="both"/>
        <w:rPr>
          <w:b/>
          <w:bCs/>
        </w:rPr>
      </w:pPr>
      <w:r w:rsidRPr="009D0EF0">
        <w:rPr>
          <w:b/>
          <w:bCs/>
        </w:rPr>
        <w:t>References</w:t>
      </w:r>
    </w:p>
    <w:p w14:paraId="5359948A" w14:textId="77777777" w:rsidR="009D0EF0" w:rsidRPr="009D0EF0" w:rsidRDefault="009D0EF0" w:rsidP="004318E2">
      <w:pPr>
        <w:jc w:val="both"/>
      </w:pPr>
      <w:r w:rsidRPr="009D0EF0">
        <w:t>[1] Jumper, J., Evans, R., Pritzel, A., Green, T., Figurnov, M., Ronneberger, O., Tunyasuvunakool, K., Bates, R., Žídek, A., Potapenko, A., Bridgland, A., Meyer, C., Kohl, S.A.A., Ballard, A.J., Cowie, A., Romera-Paredes, B., Nikolov, S., Jain, R., Adler, J., ... Hassabis, D. (2021). Highly accurate protein structure prediction with AlphaFold. Nature, 596(7873), 583–589. https://doi.org/10.1038/s41586-021-03819-2</w:t>
      </w:r>
    </w:p>
    <w:p w14:paraId="2EA461A1" w14:textId="77777777" w:rsidR="009D0EF0" w:rsidRPr="009D0EF0" w:rsidRDefault="009D0EF0" w:rsidP="004318E2">
      <w:pPr>
        <w:jc w:val="both"/>
      </w:pPr>
      <w:r w:rsidRPr="009D0EF0">
        <w:t>[2] Doerr, S., Harvey, M.J., Noé, F., &amp; De Fabritiis, G. (2016). HTMD: High-Throughput Molecular Dynamics for Molecular Discovery. Journal of Chemical Theory and Computation, 12(4), 1845–1852. https://doi.org/10.1021/acs.jctc.6b00049</w:t>
      </w:r>
    </w:p>
    <w:p w14:paraId="73421BC0" w14:textId="77777777" w:rsidR="009D0EF0" w:rsidRPr="009D0EF0" w:rsidRDefault="009D0EF0" w:rsidP="004318E2">
      <w:pPr>
        <w:jc w:val="both"/>
      </w:pPr>
      <w:r w:rsidRPr="009D0EF0">
        <w:rPr>
          <w:lang w:val="fr-FR"/>
        </w:rPr>
        <w:t xml:space="preserve">[3] Harvey, M.J., Giupponi, G., &amp; De Fabritiis, G. (2009). </w:t>
      </w:r>
      <w:r w:rsidRPr="009D0EF0">
        <w:t>ACEMD: Accelerating Biomolecular Dynamics in the Microsecond Time Scale. Journal of Chemical Theory and Computation, 5(6), 1632–1639. https://doi.org/10.1021/ct9000685</w:t>
      </w:r>
    </w:p>
    <w:p w14:paraId="4A2F92C7" w14:textId="77777777" w:rsidR="009D0EF0" w:rsidRPr="009D0EF0" w:rsidRDefault="009D0EF0" w:rsidP="004318E2">
      <w:pPr>
        <w:jc w:val="both"/>
      </w:pPr>
      <w:r w:rsidRPr="009D0EF0">
        <w:t>[4] Doerr, S., &amp; De Fabritiis, G. (2014). On-the-Fly Learning and Sampling of Ligand Binding by High-Throughput Molecular Simulations. Journal of Chemical Theory and Computation, 10(5), 2064–2069. https://doi.org/10.1021/ct400919u</w:t>
      </w:r>
    </w:p>
    <w:p w14:paraId="1E1ECA37" w14:textId="77777777" w:rsidR="009D0EF0" w:rsidRPr="009D0EF0" w:rsidRDefault="009D0EF0" w:rsidP="004318E2">
      <w:pPr>
        <w:jc w:val="both"/>
      </w:pPr>
      <w:r w:rsidRPr="009D0EF0">
        <w:lastRenderedPageBreak/>
        <w:t>[5] Kleiman, D.E., Nadeem, H., &amp; Shukla, D. (2023). Adaptive Sampling Methods for Molecular Dynamics in the Era of Machine Learning. The Journal of Physical Chemistry B, 127(50), 10669–10681. https://doi.org/10.1021/acs.jpcb.3c04843</w:t>
      </w:r>
    </w:p>
    <w:p w14:paraId="1E40655E" w14:textId="77777777" w:rsidR="009D0EF0" w:rsidRPr="009D0EF0" w:rsidRDefault="009D0EF0" w:rsidP="004318E2">
      <w:pPr>
        <w:jc w:val="both"/>
      </w:pPr>
      <w:r w:rsidRPr="009D0EF0">
        <w:t>[6] Maier, J.A., Martinez, C., Kasavajhala, K., Wickstrom, L., Hauser, K.E., &amp; Simmerling, C. (2015). ff14SB: Improving the Accuracy of Protein Side Chain and Backbone Parameters from ff99SB. Journal of Chemical Theory and Computation, 11(8), 3696–3713. https://doi.org/10.1021/acs.jctc.5b00255</w:t>
      </w:r>
    </w:p>
    <w:p w14:paraId="43DBC6B0" w14:textId="661A93CB" w:rsidR="007E04AE" w:rsidRPr="009D0EF0" w:rsidRDefault="007E04AE" w:rsidP="004318E2">
      <w:pPr>
        <w:jc w:val="both"/>
      </w:pPr>
    </w:p>
    <w:sectPr w:rsidR="007E04AE" w:rsidRPr="009D0E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rinivas penumutchu" w:date="2026-05-07T13:58:00Z" w:initials="sp">
    <w:p w14:paraId="22EB6ECE" w14:textId="77777777" w:rsidR="00F176F5" w:rsidRDefault="00F176F5" w:rsidP="00F176F5">
      <w:pPr>
        <w:pStyle w:val="CommentText"/>
      </w:pPr>
      <w:r>
        <w:rPr>
          <w:rStyle w:val="CommentReference"/>
        </w:rPr>
        <w:annotationRef/>
      </w:r>
      <w:r>
        <w:t>Please include the resource for the PDB files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EB6E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BC1D92" w16cex:dateUtc="2026-05-07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EB6ECE" w16cid:durableId="1ABC1D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82278" w14:textId="77777777" w:rsidR="005D7BA9" w:rsidRDefault="005D7BA9" w:rsidP="00FE3EFD">
      <w:pPr>
        <w:spacing w:after="0" w:line="240" w:lineRule="auto"/>
      </w:pPr>
      <w:r>
        <w:separator/>
      </w:r>
    </w:p>
  </w:endnote>
  <w:endnote w:type="continuationSeparator" w:id="0">
    <w:p w14:paraId="56BA3738" w14:textId="77777777" w:rsidR="005D7BA9" w:rsidRDefault="005D7BA9" w:rsidP="00FE3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5AE3" w14:textId="77777777" w:rsidR="005D7BA9" w:rsidRDefault="005D7BA9" w:rsidP="00FE3EFD">
      <w:pPr>
        <w:spacing w:after="0" w:line="240" w:lineRule="auto"/>
      </w:pPr>
      <w:r>
        <w:separator/>
      </w:r>
    </w:p>
  </w:footnote>
  <w:footnote w:type="continuationSeparator" w:id="0">
    <w:p w14:paraId="6161E5C7" w14:textId="77777777" w:rsidR="005D7BA9" w:rsidRDefault="005D7BA9" w:rsidP="00FE3EFD">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inivas penumutchu">
    <w15:presenceInfo w15:providerId="Windows Live" w15:userId="f268fdf686a6d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AE"/>
    <w:rsid w:val="000875EC"/>
    <w:rsid w:val="002351D5"/>
    <w:rsid w:val="00243C23"/>
    <w:rsid w:val="0027609F"/>
    <w:rsid w:val="00290719"/>
    <w:rsid w:val="002930CC"/>
    <w:rsid w:val="002B0510"/>
    <w:rsid w:val="002F3E25"/>
    <w:rsid w:val="003135AD"/>
    <w:rsid w:val="003136B9"/>
    <w:rsid w:val="00340E58"/>
    <w:rsid w:val="00341BA6"/>
    <w:rsid w:val="00344982"/>
    <w:rsid w:val="003A4B8C"/>
    <w:rsid w:val="00422515"/>
    <w:rsid w:val="004318E2"/>
    <w:rsid w:val="004A0AD4"/>
    <w:rsid w:val="005654AD"/>
    <w:rsid w:val="005D7BA9"/>
    <w:rsid w:val="006426CC"/>
    <w:rsid w:val="00666E44"/>
    <w:rsid w:val="00673731"/>
    <w:rsid w:val="00732593"/>
    <w:rsid w:val="00733C8B"/>
    <w:rsid w:val="007C4EDA"/>
    <w:rsid w:val="007E04AE"/>
    <w:rsid w:val="00847562"/>
    <w:rsid w:val="00855B7B"/>
    <w:rsid w:val="008810BF"/>
    <w:rsid w:val="008D31E2"/>
    <w:rsid w:val="00952619"/>
    <w:rsid w:val="009A3BCD"/>
    <w:rsid w:val="009D0EF0"/>
    <w:rsid w:val="00A52B7E"/>
    <w:rsid w:val="00B677A4"/>
    <w:rsid w:val="00C0022F"/>
    <w:rsid w:val="00E53591"/>
    <w:rsid w:val="00EC6A6A"/>
    <w:rsid w:val="00EF760A"/>
    <w:rsid w:val="00F176F5"/>
    <w:rsid w:val="00FE3E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2D2D7"/>
  <w15:chartTrackingRefBased/>
  <w15:docId w15:val="{D060D7FE-E6F0-46E8-A3E3-4458F6A7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4AE"/>
    <w:rPr>
      <w:rFonts w:eastAsiaTheme="majorEastAsia" w:cstheme="majorBidi"/>
      <w:color w:val="272727" w:themeColor="text1" w:themeTint="D8"/>
    </w:rPr>
  </w:style>
  <w:style w:type="paragraph" w:styleId="Title">
    <w:name w:val="Title"/>
    <w:basedOn w:val="Normal"/>
    <w:next w:val="Normal"/>
    <w:link w:val="TitleChar"/>
    <w:uiPriority w:val="10"/>
    <w:qFormat/>
    <w:rsid w:val="007E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4AE"/>
    <w:pPr>
      <w:spacing w:before="160"/>
      <w:jc w:val="center"/>
    </w:pPr>
    <w:rPr>
      <w:i/>
      <w:iCs/>
      <w:color w:val="404040" w:themeColor="text1" w:themeTint="BF"/>
    </w:rPr>
  </w:style>
  <w:style w:type="character" w:customStyle="1" w:styleId="QuoteChar">
    <w:name w:val="Quote Char"/>
    <w:basedOn w:val="DefaultParagraphFont"/>
    <w:link w:val="Quote"/>
    <w:uiPriority w:val="29"/>
    <w:rsid w:val="007E04AE"/>
    <w:rPr>
      <w:i/>
      <w:iCs/>
      <w:color w:val="404040" w:themeColor="text1" w:themeTint="BF"/>
    </w:rPr>
  </w:style>
  <w:style w:type="paragraph" w:styleId="ListParagraph">
    <w:name w:val="List Paragraph"/>
    <w:basedOn w:val="Normal"/>
    <w:uiPriority w:val="34"/>
    <w:qFormat/>
    <w:rsid w:val="007E04AE"/>
    <w:pPr>
      <w:ind w:left="720"/>
      <w:contextualSpacing/>
    </w:pPr>
  </w:style>
  <w:style w:type="character" w:styleId="IntenseEmphasis">
    <w:name w:val="Intense Emphasis"/>
    <w:basedOn w:val="DefaultParagraphFont"/>
    <w:uiPriority w:val="21"/>
    <w:qFormat/>
    <w:rsid w:val="007E04AE"/>
    <w:rPr>
      <w:i/>
      <w:iCs/>
      <w:color w:val="0F4761" w:themeColor="accent1" w:themeShade="BF"/>
    </w:rPr>
  </w:style>
  <w:style w:type="paragraph" w:styleId="IntenseQuote">
    <w:name w:val="Intense Quote"/>
    <w:basedOn w:val="Normal"/>
    <w:next w:val="Normal"/>
    <w:link w:val="IntenseQuoteChar"/>
    <w:uiPriority w:val="30"/>
    <w:qFormat/>
    <w:rsid w:val="007E0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4AE"/>
    <w:rPr>
      <w:i/>
      <w:iCs/>
      <w:color w:val="0F4761" w:themeColor="accent1" w:themeShade="BF"/>
    </w:rPr>
  </w:style>
  <w:style w:type="character" w:styleId="IntenseReference">
    <w:name w:val="Intense Reference"/>
    <w:basedOn w:val="DefaultParagraphFont"/>
    <w:uiPriority w:val="32"/>
    <w:qFormat/>
    <w:rsid w:val="007E04AE"/>
    <w:rPr>
      <w:b/>
      <w:bCs/>
      <w:smallCaps/>
      <w:color w:val="0F4761" w:themeColor="accent1" w:themeShade="BF"/>
      <w:spacing w:val="5"/>
    </w:rPr>
  </w:style>
  <w:style w:type="paragraph" w:styleId="Header">
    <w:name w:val="header"/>
    <w:basedOn w:val="Normal"/>
    <w:link w:val="HeaderChar"/>
    <w:uiPriority w:val="99"/>
    <w:unhideWhenUsed/>
    <w:rsid w:val="00FE3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EFD"/>
  </w:style>
  <w:style w:type="paragraph" w:styleId="Footer">
    <w:name w:val="footer"/>
    <w:basedOn w:val="Normal"/>
    <w:link w:val="FooterChar"/>
    <w:uiPriority w:val="99"/>
    <w:unhideWhenUsed/>
    <w:rsid w:val="00FE3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EFD"/>
  </w:style>
  <w:style w:type="character" w:styleId="CommentReference">
    <w:name w:val="annotation reference"/>
    <w:basedOn w:val="DefaultParagraphFont"/>
    <w:uiPriority w:val="99"/>
    <w:semiHidden/>
    <w:unhideWhenUsed/>
    <w:rsid w:val="00F176F5"/>
    <w:rPr>
      <w:sz w:val="16"/>
      <w:szCs w:val="16"/>
    </w:rPr>
  </w:style>
  <w:style w:type="paragraph" w:styleId="CommentText">
    <w:name w:val="annotation text"/>
    <w:basedOn w:val="Normal"/>
    <w:link w:val="CommentTextChar"/>
    <w:uiPriority w:val="99"/>
    <w:unhideWhenUsed/>
    <w:rsid w:val="00F176F5"/>
    <w:pPr>
      <w:spacing w:line="240" w:lineRule="auto"/>
    </w:pPr>
    <w:rPr>
      <w:sz w:val="20"/>
      <w:szCs w:val="20"/>
    </w:rPr>
  </w:style>
  <w:style w:type="character" w:customStyle="1" w:styleId="CommentTextChar">
    <w:name w:val="Comment Text Char"/>
    <w:basedOn w:val="DefaultParagraphFont"/>
    <w:link w:val="CommentText"/>
    <w:uiPriority w:val="99"/>
    <w:rsid w:val="00F176F5"/>
    <w:rPr>
      <w:sz w:val="20"/>
      <w:szCs w:val="20"/>
    </w:rPr>
  </w:style>
  <w:style w:type="paragraph" w:styleId="CommentSubject">
    <w:name w:val="annotation subject"/>
    <w:basedOn w:val="CommentText"/>
    <w:next w:val="CommentText"/>
    <w:link w:val="CommentSubjectChar"/>
    <w:uiPriority w:val="99"/>
    <w:semiHidden/>
    <w:unhideWhenUsed/>
    <w:rsid w:val="00F176F5"/>
    <w:rPr>
      <w:b/>
      <w:bCs/>
    </w:rPr>
  </w:style>
  <w:style w:type="character" w:customStyle="1" w:styleId="CommentSubjectChar">
    <w:name w:val="Comment Subject Char"/>
    <w:basedOn w:val="CommentTextChar"/>
    <w:link w:val="CommentSubject"/>
    <w:uiPriority w:val="99"/>
    <w:semiHidden/>
    <w:rsid w:val="00F176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F07BB5046DE4695CCFEAA499A589E" ma:contentTypeVersion="13" ma:contentTypeDescription="Create a new document." ma:contentTypeScope="" ma:versionID="65c7b183a5fc75c5310c962e0e8a3fa6">
  <xsd:schema xmlns:xsd="http://www.w3.org/2001/XMLSchema" xmlns:xs="http://www.w3.org/2001/XMLSchema" xmlns:p="http://schemas.microsoft.com/office/2006/metadata/properties" xmlns:ns3="b8013aac-0f71-45d6-b227-3e8d5b999002" xmlns:ns4="5a0fb8b3-29ed-4169-98a2-44c64e9bf05f" targetNamespace="http://schemas.microsoft.com/office/2006/metadata/properties" ma:root="true" ma:fieldsID="59295f34e911ee01c173f51ca9b2047f" ns3:_="" ns4:_="">
    <xsd:import namespace="b8013aac-0f71-45d6-b227-3e8d5b999002"/>
    <xsd:import namespace="5a0fb8b3-29ed-4169-98a2-44c64e9bf05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013aac-0f71-45d6-b227-3e8d5b9990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0fb8b3-29ed-4169-98a2-44c64e9bf05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8013aac-0f71-45d6-b227-3e8d5b9990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E36724-E6CB-4D41-B109-F89113DF16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013aac-0f71-45d6-b227-3e8d5b999002"/>
    <ds:schemaRef ds:uri="5a0fb8b3-29ed-4169-98a2-44c64e9bf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E5C1B-02DF-4E6E-AEC5-D365C569DB32}">
  <ds:schemaRefs>
    <ds:schemaRef ds:uri="http://schemas.microsoft.com/office/2006/metadata/properties"/>
    <ds:schemaRef ds:uri="http://schemas.microsoft.com/office/infopath/2007/PartnerControls"/>
    <ds:schemaRef ds:uri="b8013aac-0f71-45d6-b227-3e8d5b999002"/>
  </ds:schemaRefs>
</ds:datastoreItem>
</file>

<file path=customXml/itemProps3.xml><?xml version="1.0" encoding="utf-8"?>
<ds:datastoreItem xmlns:ds="http://schemas.openxmlformats.org/officeDocument/2006/customXml" ds:itemID="{17BC2300-9117-4303-9EFB-4E6D11EDE9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886</Words>
  <Characters>5054</Characters>
  <Application>Microsoft Office Word</Application>
  <DocSecurity>0</DocSecurity>
  <Lines>42</Lines>
  <Paragraphs>11</Paragraphs>
  <ScaleCrop>false</ScaleCrop>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Penumutchu, Srinivasa</dc:creator>
  <cp:keywords/>
  <dc:description/>
  <cp:lastModifiedBy>srinivas penumutchu</cp:lastModifiedBy>
  <cp:revision>17</cp:revision>
  <dcterms:created xsi:type="dcterms:W3CDTF">2025-12-23T19:36:00Z</dcterms:created>
  <dcterms:modified xsi:type="dcterms:W3CDTF">2026-05-07T18:04:00Z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0x01010060BF07BB5046DE4695CCFEAA499A589E</vt:lpwstr>
  </property>
</Properties>
</file>