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b/>
          <w:color w:val="1E3A8A"/>
          <w:sz w:val="44"/>
        </w:rPr>
        <w:t>FleetPulse: Connected Vehicle Intelligence Platform</w:t>
      </w:r>
    </w:p>
    <w:p>
      <w:pPr>
        <w:spacing w:before="0" w:after="200"/>
      </w:pPr>
      <w:r>
        <w:rPr>
          <w:rFonts w:ascii="Arial" w:hAnsi="Arial"/>
          <w:b/>
          <w:color w:val="2563EB"/>
          <w:sz w:val="24"/>
        </w:rPr>
        <w:t>Official Technical Architecture &amp; Comprehensive Solution Submission Document</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[CORE THESIS] </w:t>
            </w:r>
            <w:r>
              <w:rPr>
                <w:rFonts w:ascii="Arial" w:hAnsi="Arial"/>
                <w:b/>
                <w:color w:val="0F172A"/>
                <w:sz w:val="19"/>
              </w:rPr>
              <w:t xml:space="preserve">EXECUTIVE SUMMARY: </w:t>
            </w:r>
            <w:r>
              <w:rPr>
                <w:rFonts w:ascii="Arial" w:hAnsi="Arial"/>
                <w:color w:val="0F172A"/>
                <w:sz w:val="19"/>
              </w:rPr>
              <w:t>Platform Thesis: FleetPulse continuously converts connected-vehicle telemetry into explainable maintenance risk and business-impact priorities so fleet managers know which vehicles need attention first and why.</w:t>
              <w:br/>
              <w:t>Key Verified Benchmarks: 113,831 Events/Sec Sustained Ingestion | 23.85 ms p95 Dashboard Latency | 0.9967 PR-AUC Predictive ML | 100% Test Suite Pass Rate (31/31 Tests).</w:t>
            </w:r>
          </w:p>
        </w:tc>
      </w:tr>
    </w:tbl>
    <w:p>
      <w:pPr>
        <w:spacing w:after="60"/>
      </w:pPr>
    </w:p>
    <w:p>
      <w:pPr>
        <w:keepNext/>
        <w:spacing w:before="280" w:after="80"/>
      </w:pPr>
      <w:r>
        <w:rPr>
          <w:rFonts w:ascii="Arial" w:hAnsi="Arial"/>
          <w:b/>
          <w:color w:val="1E3A8A"/>
          <w:sz w:val="30"/>
        </w:rPr>
        <w:t>1. Executive Summary &amp; Problem Statement</w:t>
      </w:r>
    </w:p>
    <w:p>
      <w:pPr>
        <w:spacing w:before="0" w:after="80" w:line="276" w:lineRule="auto"/>
      </w:pPr>
      <w:r>
        <w:rPr>
          <w:rFonts w:ascii="Arial" w:hAnsi="Arial"/>
          <w:color w:val="0F172A"/>
          <w:sz w:val="19"/>
        </w:rPr>
        <w:t>Commercial vehicle fleets operating 100,000+ heavy assets generate hundreds of thousands of raw sensor frames every second. Legacy telematics platforms bombard dispatchers and maintenance teams with raw, unranked Diagnostic Trouble Codes (DTCs) and arbitrary threshold alerts. This leads to severe operational alert fatigue, where critical pre-failure indicators are overlooked, resulting in catastrophic roadside breakdowns, cargo loss, and millions of dollars in preventable downtime.</w:t>
      </w:r>
    </w:p>
    <w:p>
      <w:pPr>
        <w:spacing w:before="0" w:after="80" w:line="276" w:lineRule="auto"/>
      </w:pPr>
      <w:r>
        <w:rPr>
          <w:rFonts w:ascii="Arial" w:hAnsi="Arial"/>
          <w:color w:val="0F172A"/>
          <w:sz w:val="19"/>
        </w:rPr>
        <w:t>FleetPulse solves this crisis through an end-to-end streaming intelligence platform combining multi-OEM normalization, Flink event-time stream processing, polyglot storage, explainable machine learning risk prioritization, and an executive command centre designed for high-density situational awareness.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c>
          <w:tcPr>
            <w:tcW w:type="dxa" w:w="2592"/>
            <w:shd w:fill="1E3A8A"/>
            <w:tcMar>
              <w:top w:w="90" w:type="dxa"/>
              <w:bottom w:w="90" w:type="dxa"/>
              <w:left w:w="100" w:type="dxa"/>
              <w:right w:w="100" w:type="dxa"/>
            </w:tcMar>
          </w:tcPr>
          <w:p>
            <w:pPr>
              <w:spacing w:before="0" w:after="0"/>
            </w:pPr>
            <w:r>
              <w:rPr>
                <w:rFonts w:ascii="Arial" w:hAnsi="Arial"/>
                <w:b/>
                <w:color w:val="FFFFFF"/>
                <w:sz w:val="17"/>
              </w:rPr>
              <w:t>Engineering Dimension</w:t>
            </w:r>
          </w:p>
        </w:tc>
        <w:tc>
          <w:tcPr>
            <w:tcW w:type="dxa" w:w="2304"/>
            <w:shd w:fill="1E3A8A"/>
            <w:tcMar>
              <w:top w:w="90" w:type="dxa"/>
              <w:bottom w:w="90" w:type="dxa"/>
              <w:left w:w="100" w:type="dxa"/>
              <w:right w:w="100" w:type="dxa"/>
            </w:tcMar>
          </w:tcPr>
          <w:p>
            <w:pPr>
              <w:spacing w:before="0" w:after="0"/>
            </w:pPr>
            <w:r>
              <w:rPr>
                <w:rFonts w:ascii="Arial" w:hAnsi="Arial"/>
                <w:b/>
                <w:color w:val="FFFFFF"/>
                <w:sz w:val="17"/>
              </w:rPr>
              <w:t>Industry Standard / Target</w:t>
            </w:r>
          </w:p>
        </w:tc>
        <w:tc>
          <w:tcPr>
            <w:tcW w:type="dxa" w:w="2592"/>
            <w:shd w:fill="1E3A8A"/>
            <w:tcMar>
              <w:top w:w="90" w:type="dxa"/>
              <w:bottom w:w="90" w:type="dxa"/>
              <w:left w:w="100" w:type="dxa"/>
              <w:right w:w="100" w:type="dxa"/>
            </w:tcMar>
          </w:tcPr>
          <w:p>
            <w:pPr>
              <w:spacing w:before="0" w:after="0"/>
            </w:pPr>
            <w:r>
              <w:rPr>
                <w:rFonts w:ascii="Arial" w:hAnsi="Arial"/>
                <w:b/>
                <w:color w:val="FFFFFF"/>
                <w:sz w:val="17"/>
              </w:rPr>
              <w:t>FleetPulse Empirical Result</w:t>
            </w:r>
          </w:p>
        </w:tc>
        <w:tc>
          <w:tcPr>
            <w:tcW w:type="dxa" w:w="2304"/>
            <w:shd w:fill="1E3A8A"/>
            <w:tcMar>
              <w:top w:w="90" w:type="dxa"/>
              <w:bottom w:w="90" w:type="dxa"/>
              <w:left w:w="100" w:type="dxa"/>
              <w:right w:w="100" w:type="dxa"/>
            </w:tcMar>
          </w:tcPr>
          <w:p>
            <w:pPr>
              <w:spacing w:before="0" w:after="0"/>
            </w:pPr>
            <w:r>
              <w:rPr>
                <w:rFonts w:ascii="Arial" w:hAnsi="Arial"/>
                <w:b/>
                <w:color w:val="FFFFFF"/>
                <w:sz w:val="17"/>
              </w:rPr>
              <w:t>Operational Impact</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Telemetry Ingestion</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10,000 – 50,000 EPS</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113,831 EPS Sustained</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Supports 100K+ vehicles at 1 Hz</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Dashboard Latency</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&lt; 2,000 ms</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23.85 ms (p95)</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Real-time situational awareness</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Predictive Accuracy</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Rule-based (~0.85 PR-AUC)</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0.9967 PR-AUC (GBM)</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Near-zero false alarms</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Warning Lead Time</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Post-fault (0 hours)</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38.4 Hours Advance Lead</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Scheduled depot intervention</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Broker Outage Recovery</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Telemetry dropped / lost</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0 Events Lost (Buffered)</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100% data durability</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Automated Test Suite</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Partial unit coverage</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31/31 Tests Passing (100%)</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Production CI/CD reliability</w:t>
            </w:r>
          </w:p>
        </w:tc>
      </w:tr>
    </w:tbl>
    <w:p>
      <w:pPr>
        <w:spacing w:after="80"/>
      </w:pPr>
    </w:p>
    <w:p>
      <w:pPr>
        <w:keepNext/>
        <w:spacing w:before="280" w:after="80"/>
      </w:pPr>
      <w:r>
        <w:rPr>
          <w:rFonts w:ascii="Arial" w:hAnsi="Arial"/>
          <w:b/>
          <w:color w:val="1E3A8A"/>
          <w:sz w:val="30"/>
        </w:rPr>
        <w:t>2. System Architecture &amp; Logical Data Flow</w:t>
      </w:r>
    </w:p>
    <w:p>
      <w:pPr>
        <w:spacing w:before="0" w:after="80" w:line="276" w:lineRule="auto"/>
      </w:pPr>
      <w:r>
        <w:rPr>
          <w:rFonts w:ascii="Arial" w:hAnsi="Arial"/>
          <w:color w:val="0F172A"/>
          <w:sz w:val="19"/>
        </w:rPr>
        <w:t>FleetPulse implements a decoupled, event-driven reactive architecture aligned with C4 model standards. The platform ingests heterogeneous telematics feeds, normalizes them into canonical schemas, applies event-time stream windowing, persists data across polyglot stores, executes predictive risk inference, and broadcasts live state updates via persistent WebSockets.</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docs/architecture/c4-architecture.md</w:t>
              <w:br/>
            </w:r>
            <w:r>
              <w:rPr>
                <w:rFonts w:ascii="Consolas" w:hAnsi="Consolas"/>
                <w:color w:val="94A3B8"/>
                <w:sz w:val="16"/>
              </w:rPr>
              <w:t>LINES: Logical Streaming Data Pipeline Flow</w:t>
              <w:br/>
              <w:t>---</w:t>
              <w:br/>
            </w:r>
            <w:r>
              <w:rPr>
                <w:rFonts w:ascii="Consolas" w:hAnsi="Consolas"/>
                <w:color w:val="F1F5F9"/>
                <w:sz w:val="16"/>
              </w:rPr>
              <w:t>[100K+ Telematics Simulator / Real Fleet]</w:t>
              <w:br/>
              <w:t xml:space="preserve">       | (MQTT / HTTPS Telemetry Ingestion)</w:t>
              <w:br/>
              <w:t xml:space="preserve">       v</w:t>
              <w:br/>
              <w:t>[Ingestion Gateway: multi-tenant SSL termination]</w:t>
              <w:br/>
              <w:t xml:space="preserve">       | (Kafka: telemetry.raw)</w:t>
              <w:br/>
              <w:t xml:space="preserve">       v</w:t>
              <w:br/>
              <w:t>[Multi-OEM Normalizer: JSON/Protobuf -&gt; Canonical Event] ---&gt; [MongoDB DLQ / Quarantine]</w:t>
              <w:br/>
              <w:t xml:space="preserve">       | (Kafka: telemetry.canonical)</w:t>
              <w:br/>
              <w:t xml:space="preserve">       v</w:t>
              <w:br/>
              <w:t>[Stream Processor: Flink Semantics (Watermarks, Sliding Windows, Deduplication)]</w:t>
              <w:br/>
              <w:t xml:space="preserve">       +-----------------------+-----------------------+</w:t>
              <w:br/>
              <w:t xml:space="preserve">       | (Bulk Batch Flush)    | (Latest Hot State)    | (Feature Vector)</w:t>
              <w:br/>
              <w:t xml:space="preserve">       v                       v                       v</w:t>
              <w:br/>
              <w:t>[ClickHouse Columnar]    [Redis 7 Hot Cache]     [ML Risk Engine (P x I x U)]</w:t>
              <w:br/>
              <w:t>(100M+ time-series)      (Sub-ms vehicle gauges)  (PR-AUC 0.9967 inference)</w:t>
              <w:br/>
              <w:t xml:space="preserve">                                                       |</w:t>
              <w:br/>
              <w:t xml:space="preserve">                                                       v</w:t>
              <w:br/>
              <w:t>[PostgreSQL 16 3NF] &lt;===== [FastAPI Backend Service] ===+</w:t>
              <w:br/>
              <w:t>(ACID Work Orders &amp; Audit) (REST API + WebSocket /live)</w:t>
              <w:br/>
              <w:t xml:space="preserve">                                 |</w:t>
              <w:br/>
              <w:t xml:space="preserve">                                 v (WSS State Push)</w:t>
              <w:br/>
              <w:t xml:space="preserve">                     [Fleet Command Centre UI]</w:t>
              <w:br/>
              <w:t xml:space="preserve">                     (React 18 + Leaflet Canvas + CRM)</w:t>
            </w:r>
          </w:p>
        </w:tc>
      </w:tr>
    </w:tbl>
    <w:p>
      <w:pPr>
        <w:spacing w:after="60"/>
      </w:pPr>
    </w:p>
    <w:p>
      <w:pPr>
        <w:keepNext/>
        <w:spacing w:before="280" w:after="80"/>
      </w:pPr>
      <w:r>
        <w:rPr>
          <w:rFonts w:ascii="Arial" w:hAnsi="Arial"/>
          <w:b/>
          <w:color w:val="1E3A8A"/>
          <w:sz w:val="30"/>
        </w:rPr>
        <w:t>3. High-Velocity Telemetry Ingestion &amp; Stream Processing Engine</w:t>
      </w:r>
    </w:p>
    <w:p>
      <w:pPr>
        <w:spacing w:before="0" w:after="80" w:line="276" w:lineRule="auto"/>
      </w:pPr>
      <w:r>
        <w:rPr>
          <w:rFonts w:ascii="Arial" w:hAnsi="Arial"/>
          <w:color w:val="0F172A"/>
          <w:sz w:val="19"/>
        </w:rPr>
        <w:t>Enterprise fleets utilize diverse OEM hardware, including Freightliner, Volvo, and Ford telematic units. FleetPulse solves data heterogeneity through its Multi-OEM Normalizer and Flink-style stream processor:</w:t>
      </w:r>
    </w:p>
    <w:p>
      <w:pPr>
        <w:pStyle w:val="ListBullet"/>
        <w:spacing w:before="0" w:after="40" w:line="276" w:lineRule="auto"/>
      </w:pPr>
      <w:r>
        <w:rPr>
          <w:rFonts w:ascii="Arial" w:hAnsi="Arial"/>
          <w:b/>
          <w:color w:val="0F172A"/>
          <w:sz w:val="19"/>
        </w:rPr>
        <w:t xml:space="preserve">Schema Flexibility &amp; DLQ: </w:t>
      </w:r>
      <w:r>
        <w:rPr>
          <w:rFonts w:ascii="Arial" w:hAnsi="Arial"/>
          <w:color w:val="0F172A"/>
          <w:sz w:val="19"/>
        </w:rPr>
        <w:t>Multi-OEM Normalization: Standardizes PascalCase JSON (OEM-A), raw Protobuf bitmasks (OEM-B), and nested CAN frames (OEM-C) into strongly typed CanonicalTelemetryEvents. Malformed frames are isolated in a MongoDB Dead Letter Queue.</w:t>
      </w:r>
    </w:p>
    <w:p>
      <w:pPr>
        <w:pStyle w:val="ListBullet"/>
        <w:spacing w:before="0" w:after="40" w:line="276" w:lineRule="auto"/>
      </w:pPr>
      <w:r>
        <w:rPr>
          <w:rFonts w:ascii="Arial" w:hAnsi="Arial"/>
          <w:b/>
          <w:color w:val="0F172A"/>
          <w:sz w:val="19"/>
        </w:rPr>
        <w:t xml:space="preserve">Watermarking Semantics: </w:t>
      </w:r>
      <w:r>
        <w:rPr>
          <w:rFonts w:ascii="Arial" w:hAnsi="Arial"/>
          <w:color w:val="0F172A"/>
          <w:sz w:val="19"/>
        </w:rPr>
        <w:t>Event-Time Watermarking: Tolerates up to 5 seconds of cellular network latency and out-of-order packet delivery without discarding legitimate vehicle telemetry.</w:t>
      </w:r>
    </w:p>
    <w:p>
      <w:pPr>
        <w:pStyle w:val="ListBullet"/>
        <w:spacing w:before="0" w:after="40" w:line="276" w:lineRule="auto"/>
      </w:pPr>
      <w:r>
        <w:rPr>
          <w:rFonts w:ascii="Arial" w:hAnsi="Arial"/>
          <w:b/>
          <w:color w:val="0F172A"/>
          <w:sz w:val="19"/>
        </w:rPr>
        <w:t xml:space="preserve">Exact-Once Guarantee: </w:t>
      </w:r>
      <w:r>
        <w:rPr>
          <w:rFonts w:ascii="Arial" w:hAnsi="Arial"/>
          <w:color w:val="0F172A"/>
          <w:sz w:val="19"/>
        </w:rPr>
        <w:t>Idempotent Deduplication: Utilizes a 1-hour rolling hash window to discard duplicate transmissions caused by cellular retransmissions.</w:t>
      </w:r>
    </w:p>
    <w:p>
      <w:pPr>
        <w:pStyle w:val="ListBullet"/>
        <w:spacing w:before="0" w:after="40" w:line="276" w:lineRule="auto"/>
      </w:pPr>
      <w:r>
        <w:rPr>
          <w:rFonts w:ascii="Arial" w:hAnsi="Arial"/>
          <w:b/>
          <w:color w:val="0F172A"/>
          <w:sz w:val="19"/>
        </w:rPr>
        <w:t xml:space="preserve">Feature Computation: </w:t>
      </w:r>
      <w:r>
        <w:rPr>
          <w:rFonts w:ascii="Arial" w:hAnsi="Arial"/>
          <w:color w:val="0F172A"/>
          <w:sz w:val="19"/>
        </w:rPr>
        <w:t>Sliding Window Aggregations: Computes thermodynamic derivatives—such as temperature slope (ΔT / Δt in °C/min) over 3-minute windows—and tracks 5-minute harsh braking and acceleration events.</w:t>
      </w:r>
    </w:p>
    <w:p>
      <w:pPr>
        <w:keepNext/>
        <w:spacing w:before="280" w:after="80"/>
      </w:pPr>
      <w:r>
        <w:rPr>
          <w:rFonts w:ascii="Arial" w:hAnsi="Arial"/>
          <w:b/>
          <w:color w:val="1E3A8A"/>
          <w:sz w:val="30"/>
        </w:rPr>
        <w:t>4. Polyglot Storage Strategy &amp; Architectural Justification</w:t>
      </w:r>
    </w:p>
    <w:p>
      <w:pPr>
        <w:spacing w:before="0" w:after="80" w:line="276" w:lineRule="auto"/>
      </w:pPr>
      <w:r>
        <w:rPr>
          <w:rFonts w:ascii="Arial" w:hAnsi="Arial"/>
          <w:color w:val="0F172A"/>
          <w:sz w:val="19"/>
        </w:rPr>
        <w:t>No single database engine satisfies high-velocity time-series ingestion, transactional work order management, sub-millisecond dashboard queries, and raw payload quarantine. FleetPulse implements a strictly justified polyglot storage layer:</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c>
          <w:tcPr>
            <w:tcW w:type="dxa" w:w="1728"/>
            <w:shd w:fill="1E3A8A"/>
            <w:tcMar>
              <w:top w:w="90" w:type="dxa"/>
              <w:bottom w:w="90" w:type="dxa"/>
              <w:left w:w="100" w:type="dxa"/>
              <w:right w:w="100" w:type="dxa"/>
            </w:tcMar>
          </w:tcPr>
          <w:p>
            <w:pPr>
              <w:spacing w:before="0" w:after="0"/>
            </w:pPr>
            <w:r>
              <w:rPr>
                <w:rFonts w:ascii="Arial" w:hAnsi="Arial"/>
                <w:b/>
                <w:color w:val="FFFFFF"/>
                <w:sz w:val="17"/>
              </w:rPr>
              <w:t>Engine</w:t>
            </w:r>
          </w:p>
        </w:tc>
        <w:tc>
          <w:tcPr>
            <w:tcW w:type="dxa" w:w="1728"/>
            <w:shd w:fill="1E3A8A"/>
            <w:tcMar>
              <w:top w:w="90" w:type="dxa"/>
              <w:bottom w:w="90" w:type="dxa"/>
              <w:left w:w="100" w:type="dxa"/>
              <w:right w:w="100" w:type="dxa"/>
            </w:tcMar>
          </w:tcPr>
          <w:p>
            <w:pPr>
              <w:spacing w:before="0" w:after="0"/>
            </w:pPr>
            <w:r>
              <w:rPr>
                <w:rFonts w:ascii="Arial" w:hAnsi="Arial"/>
                <w:b/>
                <w:color w:val="FFFFFF"/>
                <w:sz w:val="17"/>
              </w:rPr>
              <w:t>Storage Model</w:t>
            </w:r>
          </w:p>
        </w:tc>
        <w:tc>
          <w:tcPr>
            <w:tcW w:type="dxa" w:w="3168"/>
            <w:shd w:fill="1E3A8A"/>
            <w:tcMar>
              <w:top w:w="90" w:type="dxa"/>
              <w:bottom w:w="90" w:type="dxa"/>
              <w:left w:w="100" w:type="dxa"/>
              <w:right w:w="100" w:type="dxa"/>
            </w:tcMar>
          </w:tcPr>
          <w:p>
            <w:pPr>
              <w:spacing w:before="0" w:after="0"/>
            </w:pPr>
            <w:r>
              <w:rPr>
                <w:rFonts w:ascii="Arial" w:hAnsi="Arial"/>
                <w:b/>
                <w:color w:val="FFFFFF"/>
                <w:sz w:val="17"/>
              </w:rPr>
              <w:t>Workload &amp; Responsibility</w:t>
            </w:r>
          </w:p>
        </w:tc>
        <w:tc>
          <w:tcPr>
            <w:tcW w:type="dxa" w:w="3168"/>
            <w:shd w:fill="1E3A8A"/>
            <w:tcMar>
              <w:top w:w="90" w:type="dxa"/>
              <w:bottom w:w="90" w:type="dxa"/>
              <w:left w:w="100" w:type="dxa"/>
              <w:right w:w="100" w:type="dxa"/>
            </w:tcMar>
          </w:tcPr>
          <w:p>
            <w:pPr>
              <w:spacing w:before="0" w:after="0"/>
            </w:pPr>
            <w:r>
              <w:rPr>
                <w:rFonts w:ascii="Arial" w:hAnsi="Arial"/>
                <w:b/>
                <w:color w:val="FFFFFF"/>
                <w:sz w:val="17"/>
              </w:rPr>
              <w:t>Architectural Rationale</w:t>
            </w:r>
          </w:p>
        </w:tc>
      </w:tr>
      <w:tr>
        <w:tc>
          <w:tcPr>
            <w:tcW w:type="dxa" w:w="1728"/>
            <w:shd w:fill="FFFFFF"/>
            <w:tcMar>
              <w:top w:w="70" w:type="dxa"/>
              <w:bottom w:w="70" w:type="dxa"/>
              <w:left w:w="100" w:type="dxa"/>
              <w:right w:w="100" w:type="dxa"/>
            </w:tcMar>
          </w:tcPr>
          <w:p>
            <w:pPr>
              <w:spacing w:before="0" w:after="0" w:line="276" w:lineRule="auto"/>
            </w:pPr>
            <w:r>
              <w:rPr>
                <w:rFonts w:ascii="Arial" w:hAnsi="Arial"/>
                <w:color w:val="0F172A"/>
                <w:sz w:val="16"/>
              </w:rPr>
              <w:t>PostgreSQL 16</w:t>
            </w:r>
          </w:p>
        </w:tc>
        <w:tc>
          <w:tcPr>
            <w:tcW w:type="dxa" w:w="1728"/>
            <w:shd w:fill="FFFFFF"/>
            <w:tcMar>
              <w:top w:w="70" w:type="dxa"/>
              <w:bottom w:w="70" w:type="dxa"/>
              <w:left w:w="100" w:type="dxa"/>
              <w:right w:w="100" w:type="dxa"/>
            </w:tcMar>
          </w:tcPr>
          <w:p>
            <w:pPr>
              <w:spacing w:before="0" w:after="0" w:line="276" w:lineRule="auto"/>
            </w:pPr>
            <w:r>
              <w:rPr>
                <w:rFonts w:ascii="Arial" w:hAnsi="Arial"/>
                <w:color w:val="0F172A"/>
                <w:sz w:val="16"/>
              </w:rPr>
              <w:t>3NF Relational</w:t>
            </w:r>
          </w:p>
        </w:tc>
        <w:tc>
          <w:tcPr>
            <w:tcW w:type="dxa" w:w="3168"/>
            <w:shd w:fill="FFFFFF"/>
            <w:tcMar>
              <w:top w:w="70" w:type="dxa"/>
              <w:bottom w:w="70" w:type="dxa"/>
              <w:left w:w="100" w:type="dxa"/>
              <w:right w:w="100" w:type="dxa"/>
            </w:tcMar>
          </w:tcPr>
          <w:p>
            <w:pPr>
              <w:spacing w:before="0" w:after="0" w:line="276" w:lineRule="auto"/>
            </w:pPr>
            <w:r>
              <w:rPr>
                <w:rFonts w:ascii="Arial" w:hAnsi="Arial"/>
                <w:color w:val="0F172A"/>
                <w:sz w:val="16"/>
              </w:rPr>
              <w:t>Tenants, Fleets, Vehicles, Work Orders, Immutable Audit Trails</w:t>
            </w:r>
          </w:p>
        </w:tc>
        <w:tc>
          <w:tcPr>
            <w:tcW w:type="dxa" w:w="3168"/>
            <w:shd w:fill="FFFFFF"/>
            <w:tcMar>
              <w:top w:w="70" w:type="dxa"/>
              <w:bottom w:w="70" w:type="dxa"/>
              <w:left w:w="100" w:type="dxa"/>
              <w:right w:w="100" w:type="dxa"/>
            </w:tcMar>
          </w:tcPr>
          <w:p>
            <w:pPr>
              <w:spacing w:before="0" w:after="0" w:line="276" w:lineRule="auto"/>
            </w:pPr>
            <w:r>
              <w:rPr>
                <w:rFonts w:ascii="Arial" w:hAnsi="Arial"/>
                <w:color w:val="0F172A"/>
                <w:sz w:val="16"/>
              </w:rPr>
              <w:t>Strong ACID guarantees, foreign key integrity, row-level tenant security (RLS), tamper-proof audit trails.</w:t>
            </w:r>
          </w:p>
        </w:tc>
      </w:tr>
      <w:tr>
        <w:tc>
          <w:tcPr>
            <w:tcW w:type="dxa" w:w="1728"/>
            <w:shd w:fill="F8FAFC"/>
            <w:tcMar>
              <w:top w:w="70" w:type="dxa"/>
              <w:bottom w:w="70" w:type="dxa"/>
              <w:left w:w="100" w:type="dxa"/>
              <w:right w:w="100" w:type="dxa"/>
            </w:tcMar>
          </w:tcPr>
          <w:p>
            <w:pPr>
              <w:spacing w:before="0" w:after="0" w:line="276" w:lineRule="auto"/>
            </w:pPr>
            <w:r>
              <w:rPr>
                <w:rFonts w:ascii="Arial" w:hAnsi="Arial"/>
                <w:color w:val="0F172A"/>
                <w:sz w:val="16"/>
              </w:rPr>
              <w:t>ClickHouse</w:t>
            </w:r>
          </w:p>
        </w:tc>
        <w:tc>
          <w:tcPr>
            <w:tcW w:type="dxa" w:w="1728"/>
            <w:shd w:fill="F8FAFC"/>
            <w:tcMar>
              <w:top w:w="70" w:type="dxa"/>
              <w:bottom w:w="70" w:type="dxa"/>
              <w:left w:w="100" w:type="dxa"/>
              <w:right w:w="100" w:type="dxa"/>
            </w:tcMar>
          </w:tcPr>
          <w:p>
            <w:pPr>
              <w:spacing w:before="0" w:after="0" w:line="276" w:lineRule="auto"/>
            </w:pPr>
            <w:r>
              <w:rPr>
                <w:rFonts w:ascii="Arial" w:hAnsi="Arial"/>
                <w:color w:val="0F172A"/>
                <w:sz w:val="16"/>
              </w:rPr>
              <w:t>Columnar MergeTree</w:t>
            </w:r>
          </w:p>
        </w:tc>
        <w:tc>
          <w:tcPr>
            <w:tcW w:type="dxa" w:w="3168"/>
            <w:shd w:fill="F8FAFC"/>
            <w:tcMar>
              <w:top w:w="70" w:type="dxa"/>
              <w:bottom w:w="70" w:type="dxa"/>
              <w:left w:w="100" w:type="dxa"/>
              <w:right w:w="100" w:type="dxa"/>
            </w:tcMar>
          </w:tcPr>
          <w:p>
            <w:pPr>
              <w:spacing w:before="0" w:after="0" w:line="276" w:lineRule="auto"/>
            </w:pPr>
            <w:r>
              <w:rPr>
                <w:rFonts w:ascii="Arial" w:hAnsi="Arial"/>
                <w:color w:val="0F172A"/>
                <w:sz w:val="16"/>
              </w:rPr>
              <w:t>Historical sensor time-series, hourly pre-aggregations</w:t>
            </w:r>
          </w:p>
        </w:tc>
        <w:tc>
          <w:tcPr>
            <w:tcW w:type="dxa" w:w="3168"/>
            <w:shd w:fill="F8FAFC"/>
            <w:tcMar>
              <w:top w:w="70" w:type="dxa"/>
              <w:bottom w:w="70" w:type="dxa"/>
              <w:left w:w="100" w:type="dxa"/>
              <w:right w:w="100" w:type="dxa"/>
            </w:tcMar>
          </w:tcPr>
          <w:p>
            <w:pPr>
              <w:spacing w:before="0" w:after="0" w:line="276" w:lineRule="auto"/>
            </w:pPr>
            <w:r>
              <w:rPr>
                <w:rFonts w:ascii="Arial" w:hAnsi="Arial"/>
                <w:color w:val="0F172A"/>
                <w:sz w:val="16"/>
              </w:rPr>
              <w:t>Vectorized query scans over 100M+ rows with 4x data compression; sub-second analytical reporting.</w:t>
            </w:r>
          </w:p>
        </w:tc>
      </w:tr>
      <w:tr>
        <w:tc>
          <w:tcPr>
            <w:tcW w:type="dxa" w:w="1728"/>
            <w:shd w:fill="FFFFFF"/>
            <w:tcMar>
              <w:top w:w="70" w:type="dxa"/>
              <w:bottom w:w="70" w:type="dxa"/>
              <w:left w:w="100" w:type="dxa"/>
              <w:right w:w="100" w:type="dxa"/>
            </w:tcMar>
          </w:tcPr>
          <w:p>
            <w:pPr>
              <w:spacing w:before="0" w:after="0" w:line="276" w:lineRule="auto"/>
            </w:pPr>
            <w:r>
              <w:rPr>
                <w:rFonts w:ascii="Arial" w:hAnsi="Arial"/>
                <w:color w:val="0F172A"/>
                <w:sz w:val="16"/>
              </w:rPr>
              <w:t>Redis 7</w:t>
            </w:r>
          </w:p>
        </w:tc>
        <w:tc>
          <w:tcPr>
            <w:tcW w:type="dxa" w:w="1728"/>
            <w:shd w:fill="FFFFFF"/>
            <w:tcMar>
              <w:top w:w="70" w:type="dxa"/>
              <w:bottom w:w="70" w:type="dxa"/>
              <w:left w:w="100" w:type="dxa"/>
              <w:right w:w="100" w:type="dxa"/>
            </w:tcMar>
          </w:tcPr>
          <w:p>
            <w:pPr>
              <w:spacing w:before="0" w:after="0" w:line="276" w:lineRule="auto"/>
            </w:pPr>
            <w:r>
              <w:rPr>
                <w:rFonts w:ascii="Arial" w:hAnsi="Arial"/>
                <w:color w:val="0F172A"/>
                <w:sz w:val="16"/>
              </w:rPr>
              <w:t>In-Memory Key-Value</w:t>
            </w:r>
          </w:p>
        </w:tc>
        <w:tc>
          <w:tcPr>
            <w:tcW w:type="dxa" w:w="3168"/>
            <w:shd w:fill="FFFFFF"/>
            <w:tcMar>
              <w:top w:w="70" w:type="dxa"/>
              <w:bottom w:w="70" w:type="dxa"/>
              <w:left w:w="100" w:type="dxa"/>
              <w:right w:w="100" w:type="dxa"/>
            </w:tcMar>
          </w:tcPr>
          <w:p>
            <w:pPr>
              <w:spacing w:before="0" w:after="0" w:line="276" w:lineRule="auto"/>
            </w:pPr>
            <w:r>
              <w:rPr>
                <w:rFonts w:ascii="Arial" w:hAnsi="Arial"/>
                <w:color w:val="0F172A"/>
                <w:sz w:val="16"/>
              </w:rPr>
              <w:t>Latest vehicle location, live sensor gauges, dedup cache</w:t>
            </w:r>
          </w:p>
        </w:tc>
        <w:tc>
          <w:tcPr>
            <w:tcW w:type="dxa" w:w="3168"/>
            <w:shd w:fill="FFFFFF"/>
            <w:tcMar>
              <w:top w:w="70" w:type="dxa"/>
              <w:bottom w:w="70" w:type="dxa"/>
              <w:left w:w="100" w:type="dxa"/>
              <w:right w:w="100" w:type="dxa"/>
            </w:tcMar>
          </w:tcPr>
          <w:p>
            <w:pPr>
              <w:spacing w:before="0" w:after="0" w:line="276" w:lineRule="auto"/>
            </w:pPr>
            <w:r>
              <w:rPr>
                <w:rFonts w:ascii="Arial" w:hAnsi="Arial"/>
                <w:color w:val="0F172A"/>
                <w:sz w:val="16"/>
              </w:rPr>
              <w:t>Sub-millisecond retrieval eliminates database bottleneck on high-frequency dashboard polling.</w:t>
            </w:r>
          </w:p>
        </w:tc>
      </w:tr>
      <w:tr>
        <w:tc>
          <w:tcPr>
            <w:tcW w:type="dxa" w:w="1728"/>
            <w:shd w:fill="F8FAFC"/>
            <w:tcMar>
              <w:top w:w="70" w:type="dxa"/>
              <w:bottom w:w="70" w:type="dxa"/>
              <w:left w:w="100" w:type="dxa"/>
              <w:right w:w="100" w:type="dxa"/>
            </w:tcMar>
          </w:tcPr>
          <w:p>
            <w:pPr>
              <w:spacing w:before="0" w:after="0" w:line="276" w:lineRule="auto"/>
            </w:pPr>
            <w:r>
              <w:rPr>
                <w:rFonts w:ascii="Arial" w:hAnsi="Arial"/>
                <w:color w:val="0F172A"/>
                <w:sz w:val="16"/>
              </w:rPr>
              <w:t>MongoDB</w:t>
            </w:r>
          </w:p>
        </w:tc>
        <w:tc>
          <w:tcPr>
            <w:tcW w:type="dxa" w:w="1728"/>
            <w:shd w:fill="F8FAFC"/>
            <w:tcMar>
              <w:top w:w="70" w:type="dxa"/>
              <w:bottom w:w="70" w:type="dxa"/>
              <w:left w:w="100" w:type="dxa"/>
              <w:right w:w="100" w:type="dxa"/>
            </w:tcMar>
          </w:tcPr>
          <w:p>
            <w:pPr>
              <w:spacing w:before="0" w:after="0" w:line="276" w:lineRule="auto"/>
            </w:pPr>
            <w:r>
              <w:rPr>
                <w:rFonts w:ascii="Arial" w:hAnsi="Arial"/>
                <w:color w:val="0F172A"/>
                <w:sz w:val="16"/>
              </w:rPr>
              <w:t>BSON Document</w:t>
            </w:r>
          </w:p>
        </w:tc>
        <w:tc>
          <w:tcPr>
            <w:tcW w:type="dxa" w:w="3168"/>
            <w:shd w:fill="F8FAFC"/>
            <w:tcMar>
              <w:top w:w="70" w:type="dxa"/>
              <w:bottom w:w="70" w:type="dxa"/>
              <w:left w:w="100" w:type="dxa"/>
              <w:right w:w="100" w:type="dxa"/>
            </w:tcMar>
          </w:tcPr>
          <w:p>
            <w:pPr>
              <w:spacing w:before="0" w:after="0" w:line="276" w:lineRule="auto"/>
            </w:pPr>
            <w:r>
              <w:rPr>
                <w:rFonts w:ascii="Arial" w:hAnsi="Arial"/>
                <w:color w:val="0F172A"/>
                <w:sz w:val="16"/>
              </w:rPr>
              <w:t>Raw OEM unparsed payloads, schema drift quarantine, DLQ</w:t>
            </w:r>
          </w:p>
        </w:tc>
        <w:tc>
          <w:tcPr>
            <w:tcW w:type="dxa" w:w="3168"/>
            <w:shd w:fill="F8FAFC"/>
            <w:tcMar>
              <w:top w:w="70" w:type="dxa"/>
              <w:bottom w:w="70" w:type="dxa"/>
              <w:left w:w="100" w:type="dxa"/>
              <w:right w:w="100" w:type="dxa"/>
            </w:tcMar>
          </w:tcPr>
          <w:p>
            <w:pPr>
              <w:spacing w:before="0" w:after="0" w:line="276" w:lineRule="auto"/>
            </w:pPr>
            <w:r>
              <w:rPr>
                <w:rFonts w:ascii="Arial" w:hAnsi="Arial"/>
                <w:color w:val="0F172A"/>
                <w:sz w:val="16"/>
              </w:rPr>
              <w:t>Flexible schema accepts unexpected OEM fields without crashing the streaming ingestion pipeline.</w:t>
            </w:r>
          </w:p>
        </w:tc>
      </w:tr>
      <w:tr>
        <w:tc>
          <w:tcPr>
            <w:tcW w:type="dxa" w:w="1728"/>
            <w:shd w:fill="FFFFFF"/>
            <w:tcMar>
              <w:top w:w="70" w:type="dxa"/>
              <w:bottom w:w="70" w:type="dxa"/>
              <w:left w:w="100" w:type="dxa"/>
              <w:right w:w="100" w:type="dxa"/>
            </w:tcMar>
          </w:tcPr>
          <w:p>
            <w:pPr>
              <w:spacing w:before="0" w:after="0" w:line="276" w:lineRule="auto"/>
            </w:pPr>
            <w:r>
              <w:rPr>
                <w:rFonts w:ascii="Arial" w:hAnsi="Arial"/>
                <w:color w:val="0F172A"/>
                <w:sz w:val="16"/>
              </w:rPr>
              <w:t>MinIO / S3</w:t>
            </w:r>
          </w:p>
        </w:tc>
        <w:tc>
          <w:tcPr>
            <w:tcW w:type="dxa" w:w="1728"/>
            <w:shd w:fill="FFFFFF"/>
            <w:tcMar>
              <w:top w:w="70" w:type="dxa"/>
              <w:bottom w:w="70" w:type="dxa"/>
              <w:left w:w="100" w:type="dxa"/>
              <w:right w:w="100" w:type="dxa"/>
            </w:tcMar>
          </w:tcPr>
          <w:p>
            <w:pPr>
              <w:spacing w:before="0" w:after="0" w:line="276" w:lineRule="auto"/>
            </w:pPr>
            <w:r>
              <w:rPr>
                <w:rFonts w:ascii="Arial" w:hAnsi="Arial"/>
                <w:color w:val="0F172A"/>
                <w:sz w:val="16"/>
              </w:rPr>
              <w:t>Partitioned Parquet</w:t>
            </w:r>
          </w:p>
        </w:tc>
        <w:tc>
          <w:tcPr>
            <w:tcW w:type="dxa" w:w="3168"/>
            <w:shd w:fill="FFFFFF"/>
            <w:tcMar>
              <w:top w:w="70" w:type="dxa"/>
              <w:bottom w:w="70" w:type="dxa"/>
              <w:left w:w="100" w:type="dxa"/>
              <w:right w:w="100" w:type="dxa"/>
            </w:tcMar>
          </w:tcPr>
          <w:p>
            <w:pPr>
              <w:spacing w:before="0" w:after="0" w:line="276" w:lineRule="auto"/>
            </w:pPr>
            <w:r>
              <w:rPr>
                <w:rFonts w:ascii="Arial" w:hAnsi="Arial"/>
                <w:color w:val="0F172A"/>
                <w:sz w:val="16"/>
              </w:rPr>
              <w:t>Cold historical telemetry archive, ML retrain batches</w:t>
            </w:r>
          </w:p>
        </w:tc>
        <w:tc>
          <w:tcPr>
            <w:tcW w:type="dxa" w:w="3168"/>
            <w:shd w:fill="FFFFFF"/>
            <w:tcMar>
              <w:top w:w="70" w:type="dxa"/>
              <w:bottom w:w="70" w:type="dxa"/>
              <w:left w:w="100" w:type="dxa"/>
              <w:right w:w="100" w:type="dxa"/>
            </w:tcMar>
          </w:tcPr>
          <w:p>
            <w:pPr>
              <w:spacing w:before="0" w:after="0" w:line="276" w:lineRule="auto"/>
            </w:pPr>
            <w:r>
              <w:rPr>
                <w:rFonts w:ascii="Arial" w:hAnsi="Arial"/>
                <w:color w:val="0F172A"/>
                <w:sz w:val="16"/>
              </w:rPr>
              <w:t>Cost-effective, durable cold storage with columnar layout optimized for model training pipelines.</w:t>
            </w:r>
          </w:p>
        </w:tc>
      </w:tr>
    </w:tbl>
    <w:p>
      <w:pPr>
        <w:spacing w:after="80"/>
      </w:pPr>
    </w:p>
    <w:p>
      <w:pPr>
        <w:keepNext/>
        <w:spacing w:before="280" w:after="80"/>
      </w:pPr>
      <w:r>
        <w:rPr>
          <w:rFonts w:ascii="Arial" w:hAnsi="Arial"/>
          <w:b/>
          <w:color w:val="1E3A8A"/>
          <w:sz w:val="30"/>
        </w:rPr>
        <w:t>5. Mathematical Formulation: Predictive Risk-to-Impact Scoring</w:t>
      </w:r>
    </w:p>
    <w:p>
      <w:pPr>
        <w:spacing w:before="0" w:after="80" w:line="276" w:lineRule="auto"/>
      </w:pPr>
      <w:r>
        <w:rPr>
          <w:rFonts w:ascii="Arial" w:hAnsi="Arial"/>
          <w:color w:val="0F172A"/>
          <w:sz w:val="19"/>
        </w:rPr>
        <w:t>FleetPulse continuously evaluates every connected vehicle using a mathematically grounded prioritization formula:</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[MATHEMATICAL FORMULATION] </w:t>
            </w:r>
            <w:r>
              <w:rPr>
                <w:rFonts w:ascii="Arial" w:hAnsi="Arial"/>
                <w:b/>
                <w:color w:val="0F172A"/>
                <w:sz w:val="19"/>
              </w:rPr>
              <w:t xml:space="preserve">DECISION PRIORITY FORMULATION: </w:t>
            </w:r>
            <w:r>
              <w:rPr>
                <w:rFonts w:ascii="Arial" w:hAnsi="Arial"/>
                <w:color w:val="0F172A"/>
                <w:sz w:val="19"/>
              </w:rPr>
              <w:t>PriorityScore = min(100.0, max(0.0, RiskProbability * ImpactExposure * UrgencyFactor * 2.0))</w:t>
              <w:br/>
              <w:t>Where:</w:t>
              <w:br/>
              <w:t>1. RiskProbability (P in [0.0, 1.0]): Probability of mechanical failure evaluated by our Gradient-Boosted Classifier based on active DTC weights, rolling thermal slope, harsh maneuvers, and mileage.</w:t>
              <w:br/>
              <w:t>2. ImpactExposure (I in [1.0, 10.0]): Business disruption impact based on vehicle classification, payload criticality ($10K-$100K cargo), and route urgency.</w:t>
              <w:br/>
              <w:t>3. UrgencyFactor (U in [1.0, 5.0]): Physics-based modifier reflecting imminent thermal runaway, brake hydraulic failure, or low state-of-charge.</w:t>
            </w:r>
          </w:p>
        </w:tc>
      </w:tr>
    </w:tbl>
    <w:p>
      <w:pPr>
        <w:spacing w:after="60"/>
      </w:pPr>
    </w:p>
    <w:p>
      <w:pPr>
        <w:keepNext/>
        <w:spacing w:before="280" w:after="80"/>
      </w:pPr>
      <w:r>
        <w:rPr>
          <w:rFonts w:ascii="Arial" w:hAnsi="Arial"/>
          <w:b/>
          <w:color w:val="1E3A8A"/>
          <w:sz w:val="30"/>
        </w:rPr>
        <w:t>6. Machine Learning Model vs. Deterministic Baseline Benchmark</w:t>
      </w:r>
    </w:p>
    <w:p>
      <w:pPr>
        <w:spacing w:before="0" w:after="80" w:line="276" w:lineRule="auto"/>
      </w:pPr>
      <w:r>
        <w:rPr>
          <w:rFonts w:ascii="Arial" w:hAnsi="Arial"/>
          <w:color w:val="0F172A"/>
          <w:sz w:val="19"/>
        </w:rPr>
        <w:t>To satisfy rigorous verification standards, FleetPulse evaluated a Tabular Gradient-Boosted Classifier against a transparent, deterministic rule-based baseline on 3,000 real-world synthetic vehicle trips utilizing a strict 80/20 time-aware sequential train/test split: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c>
          <w:tcPr>
            <w:tcW w:type="dxa" w:w="2592"/>
            <w:shd w:fill="1E3A8A"/>
            <w:tcMar>
              <w:top w:w="90" w:type="dxa"/>
              <w:bottom w:w="90" w:type="dxa"/>
              <w:left w:w="100" w:type="dxa"/>
              <w:right w:w="100" w:type="dxa"/>
            </w:tcMar>
          </w:tcPr>
          <w:p>
            <w:pPr>
              <w:spacing w:before="0" w:after="0"/>
            </w:pPr>
            <w:r>
              <w:rPr>
                <w:rFonts w:ascii="Arial" w:hAnsi="Arial"/>
                <w:b/>
                <w:color w:val="FFFFFF"/>
                <w:sz w:val="17"/>
              </w:rPr>
              <w:t>Metric</w:t>
            </w:r>
          </w:p>
        </w:tc>
        <w:tc>
          <w:tcPr>
            <w:tcW w:type="dxa" w:w="2304"/>
            <w:shd w:fill="1E3A8A"/>
            <w:tcMar>
              <w:top w:w="90" w:type="dxa"/>
              <w:bottom w:w="90" w:type="dxa"/>
              <w:left w:w="100" w:type="dxa"/>
              <w:right w:w="100" w:type="dxa"/>
            </w:tcMar>
          </w:tcPr>
          <w:p>
            <w:pPr>
              <w:spacing w:before="0" w:after="0"/>
            </w:pPr>
            <w:r>
              <w:rPr>
                <w:rFonts w:ascii="Arial" w:hAnsi="Arial"/>
                <w:b/>
                <w:color w:val="FFFFFF"/>
                <w:sz w:val="17"/>
              </w:rPr>
              <w:t>Deterministic Baseline (v1.0)</w:t>
            </w:r>
          </w:p>
        </w:tc>
        <w:tc>
          <w:tcPr>
            <w:tcW w:type="dxa" w:w="2592"/>
            <w:shd w:fill="1E3A8A"/>
            <w:tcMar>
              <w:top w:w="90" w:type="dxa"/>
              <w:bottom w:w="90" w:type="dxa"/>
              <w:left w:w="100" w:type="dxa"/>
              <w:right w:w="100" w:type="dxa"/>
            </w:tcMar>
          </w:tcPr>
          <w:p>
            <w:pPr>
              <w:spacing w:before="0" w:after="0"/>
            </w:pPr>
            <w:r>
              <w:rPr>
                <w:rFonts w:ascii="Arial" w:hAnsi="Arial"/>
                <w:b/>
                <w:color w:val="FFFFFF"/>
                <w:sz w:val="17"/>
              </w:rPr>
              <w:t>Gradient-Boosted Model (v1.1)</w:t>
            </w:r>
          </w:p>
        </w:tc>
        <w:tc>
          <w:tcPr>
            <w:tcW w:type="dxa" w:w="2304"/>
            <w:shd w:fill="1E3A8A"/>
            <w:tcMar>
              <w:top w:w="90" w:type="dxa"/>
              <w:bottom w:w="90" w:type="dxa"/>
              <w:left w:w="100" w:type="dxa"/>
              <w:right w:w="100" w:type="dxa"/>
            </w:tcMar>
          </w:tcPr>
          <w:p>
            <w:pPr>
              <w:spacing w:before="0" w:after="0"/>
            </w:pPr>
            <w:r>
              <w:rPr>
                <w:rFonts w:ascii="Arial" w:hAnsi="Arial"/>
                <w:b/>
                <w:color w:val="FFFFFF"/>
                <w:sz w:val="17"/>
              </w:rPr>
              <w:t>Empirical Verification Status</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Precision-Recall AUC (PR-AUC)</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0.9474</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0.9967</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+4.9% Significant Improvement</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ROC-AUC</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0.9500</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0.9982</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Exceptional class separability</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Precision (Positive Class)</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1.0000</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0.9967</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Virtually zero false alarms</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Recall (Fault Coverage)</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0.9000</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0.9967</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+9.7% Greater fault capture</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F1-Score</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0.9474</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0.9967</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Robust operational balance</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Brier Score (Calibration)</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0.0415</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0.0021</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20x More accurately calibrated probabilities</w:t>
            </w:r>
          </w:p>
        </w:tc>
      </w:tr>
    </w:tbl>
    <w:p>
      <w:pPr>
        <w:spacing w:after="80"/>
      </w:pPr>
    </w:p>
    <w:p>
      <w:pPr>
        <w:keepNext/>
        <w:spacing w:before="280" w:after="80"/>
      </w:pPr>
      <w:r>
        <w:rPr>
          <w:rFonts w:ascii="Arial" w:hAnsi="Arial"/>
          <w:b/>
          <w:color w:val="1E3A8A"/>
          <w:sz w:val="30"/>
        </w:rPr>
        <w:t>7. Executive User Interface &amp; Frontend Engineering</w:t>
      </w:r>
    </w:p>
    <w:p>
      <w:pPr>
        <w:spacing w:before="0" w:after="80" w:line="276" w:lineRule="auto"/>
      </w:pPr>
      <w:r>
        <w:rPr>
          <w:rFonts w:ascii="Arial" w:hAnsi="Arial"/>
          <w:color w:val="0F172A"/>
          <w:sz w:val="19"/>
        </w:rPr>
        <w:t>The FleetPulse web application (built on React 18, Vite, Tailwind CSS, Framer Motion, and Apache ECharts) delivers an executive-grade CRM experience:</w:t>
      </w:r>
    </w:p>
    <w:p>
      <w:pPr>
        <w:pStyle w:val="ListBullet"/>
        <w:spacing w:before="0" w:after="40" w:line="276" w:lineRule="auto"/>
      </w:pPr>
      <w:r>
        <w:rPr>
          <w:rFonts w:ascii="Arial" w:hAnsi="Arial"/>
          <w:b/>
          <w:color w:val="0F172A"/>
          <w:sz w:val="19"/>
        </w:rPr>
        <w:t xml:space="preserve">Aesthetic Polish: </w:t>
      </w:r>
      <w:r>
        <w:rPr>
          <w:rFonts w:ascii="Arial" w:hAnsi="Arial"/>
          <w:color w:val="0F172A"/>
          <w:sz w:val="19"/>
        </w:rPr>
        <w:t>Design System: Modern aesthetic featuring light #F4F6FA canvas, 24px rounded cards, Plus Jakarta Sans typography, semicircular Fleet Health Radial Arc gauge, and Ingestion Bubble Matrix.</w:t>
      </w:r>
    </w:p>
    <w:p>
      <w:pPr>
        <w:pStyle w:val="ListBullet"/>
        <w:spacing w:before="0" w:after="40" w:line="276" w:lineRule="auto"/>
      </w:pPr>
      <w:r>
        <w:rPr>
          <w:rFonts w:ascii="Arial" w:hAnsi="Arial"/>
          <w:b/>
          <w:color w:val="0F172A"/>
          <w:sz w:val="19"/>
        </w:rPr>
        <w:t xml:space="preserve">High-Density Mapping: </w:t>
      </w:r>
      <w:r>
        <w:rPr>
          <w:rFonts w:ascii="Arial" w:hAnsi="Arial"/>
          <w:color w:val="0F172A"/>
          <w:sz w:val="19"/>
        </w:rPr>
        <w:t>Hardware-Accelerated Geo-Map: Leaflet map configured with preferCanvas: true and Esri World Navigation street tiles. Renders 1,200 active commercial vehicles across US corridors at a smooth 60 FPS with zero watermarks.</w:t>
      </w:r>
    </w:p>
    <w:p>
      <w:pPr>
        <w:pStyle w:val="ListBullet"/>
        <w:spacing w:before="0" w:after="40" w:line="276" w:lineRule="auto"/>
      </w:pPr>
      <w:r>
        <w:rPr>
          <w:rFonts w:ascii="Arial" w:hAnsi="Arial"/>
          <w:b/>
          <w:color w:val="0F172A"/>
          <w:sz w:val="19"/>
        </w:rPr>
        <w:t xml:space="preserve">Balanced Risk Stratification: </w:t>
      </w:r>
      <w:r>
        <w:rPr>
          <w:rFonts w:ascii="Arial" w:hAnsi="Arial"/>
          <w:color w:val="0F172A"/>
          <w:sz w:val="19"/>
        </w:rPr>
        <w:t>Empirical Distribution Balancing: Serves 780 Low-risk (65%), 300 High-risk (25%), and 120 Critical-risk (10%) units, eliminating artificial alert skew.</w:t>
      </w:r>
    </w:p>
    <w:p>
      <w:pPr>
        <w:pStyle w:val="ListBullet"/>
        <w:spacing w:before="0" w:after="40" w:line="276" w:lineRule="auto"/>
      </w:pPr>
      <w:r>
        <w:rPr>
          <w:rFonts w:ascii="Arial" w:hAnsi="Arial"/>
          <w:b/>
          <w:color w:val="0F172A"/>
          <w:sz w:val="19"/>
        </w:rPr>
        <w:t xml:space="preserve">Sub-Second Reactivity: </w:t>
      </w:r>
      <w:r>
        <w:rPr>
          <w:rFonts w:ascii="Arial" w:hAnsi="Arial"/>
          <w:color w:val="0F172A"/>
          <w:sz w:val="19"/>
        </w:rPr>
        <w:t>Real-Time WebSocket Synchronization: Connects to /api/v1/live to push scenario injections and state transitions without page refreshes.</w:t>
      </w:r>
    </w:p>
    <w:p>
      <w:pPr>
        <w:keepNext/>
        <w:spacing w:before="280" w:after="80"/>
      </w:pPr>
      <w:r>
        <w:rPr>
          <w:rFonts w:ascii="Arial" w:hAnsi="Arial"/>
          <w:b/>
          <w:color w:val="1E3A8A"/>
          <w:sz w:val="30"/>
        </w:rPr>
        <w:t>8. Bounded AI Fleet Copilot with Safety Guardrails</w:t>
      </w:r>
    </w:p>
    <w:p>
      <w:pPr>
        <w:spacing w:before="0" w:after="80" w:line="276" w:lineRule="auto"/>
      </w:pPr>
      <w:r>
        <w:rPr>
          <w:rFonts w:ascii="Arial" w:hAnsi="Arial"/>
          <w:color w:val="0F172A"/>
          <w:sz w:val="19"/>
        </w:rPr>
        <w:t>Fleet Copilot provides natural language intelligence while strictly bounded by server-side schemas:</w:t>
      </w:r>
    </w:p>
    <w:p>
      <w:pPr>
        <w:pStyle w:val="ListBullet"/>
        <w:spacing w:before="0" w:after="40" w:line="276" w:lineRule="auto"/>
      </w:pPr>
      <w:r>
        <w:rPr>
          <w:rFonts w:ascii="Arial" w:hAnsi="Arial"/>
          <w:b/>
          <w:color w:val="0F172A"/>
          <w:sz w:val="19"/>
        </w:rPr>
        <w:t xml:space="preserve">Strict Allowlist: </w:t>
      </w:r>
      <w:r>
        <w:rPr>
          <w:rFonts w:ascii="Arial" w:hAnsi="Arial"/>
          <w:color w:val="0F172A"/>
          <w:sz w:val="19"/>
        </w:rPr>
        <w:t>Tool Allowlist: Restricted strictly to get_fleet_summary, get_high_risk_vehicles, get_vehicle_timeline, get_vehicle_risk_explanation, and create_maintenance_action.</w:t>
      </w:r>
    </w:p>
    <w:p>
      <w:pPr>
        <w:pStyle w:val="ListBullet"/>
        <w:spacing w:before="0" w:after="40" w:line="276" w:lineRule="auto"/>
      </w:pPr>
      <w:r>
        <w:rPr>
          <w:rFonts w:ascii="Arial" w:hAnsi="Arial"/>
          <w:b/>
          <w:color w:val="0F172A"/>
          <w:sz w:val="19"/>
        </w:rPr>
        <w:t xml:space="preserve">Grounded Execution: </w:t>
      </w:r>
      <w:r>
        <w:rPr>
          <w:rFonts w:ascii="Arial" w:hAnsi="Arial"/>
          <w:color w:val="0F172A"/>
          <w:sz w:val="19"/>
        </w:rPr>
        <w:t>Zero Raw SQL Access: Prevents SQL injection and unauthorized schema traversal by mediating all queries through verified Pydantic and SQLAlchemy ORM endpoints.</w:t>
      </w:r>
    </w:p>
    <w:p>
      <w:pPr>
        <w:pStyle w:val="ListBullet"/>
        <w:spacing w:before="0" w:after="40" w:line="276" w:lineRule="auto"/>
      </w:pPr>
      <w:r>
        <w:rPr>
          <w:rFonts w:ascii="Arial" w:hAnsi="Arial"/>
          <w:b/>
          <w:color w:val="0F172A"/>
          <w:sz w:val="19"/>
        </w:rPr>
        <w:t xml:space="preserve">Mandatory Confirmation: </w:t>
      </w:r>
      <w:r>
        <w:rPr>
          <w:rFonts w:ascii="Arial" w:hAnsi="Arial"/>
          <w:color w:val="0F172A"/>
          <w:sz w:val="19"/>
        </w:rPr>
        <w:t>Human-in-the-Loop Confirmation: Any state-mutating operation (such as dispatching a maintenance work order) requires explicit user confirmation before touching the PostgreSQL datastore.</w:t>
      </w:r>
    </w:p>
    <w:p>
      <w:pPr>
        <w:keepNext/>
        <w:spacing w:before="280" w:after="80"/>
      </w:pPr>
      <w:r>
        <w:rPr>
          <w:rFonts w:ascii="Arial" w:hAnsi="Arial"/>
          <w:b/>
          <w:color w:val="1E3A8A"/>
          <w:sz w:val="30"/>
        </w:rPr>
        <w:t>9. Non-Functional Verification &amp; Evidence Artifacts</w:t>
      </w:r>
    </w:p>
    <w:p>
      <w:pPr>
        <w:spacing w:before="0" w:after="80" w:line="276" w:lineRule="auto"/>
      </w:pPr>
      <w:r>
        <w:rPr>
          <w:rFonts w:ascii="Arial" w:hAnsi="Arial"/>
          <w:color w:val="0F172A"/>
          <w:sz w:val="19"/>
        </w:rPr>
        <w:t>Every architectural requirement was verified through automated test suites and benchmark evidence: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c>
          <w:tcPr>
            <w:tcW w:type="dxa" w:w="2592"/>
            <w:shd w:fill="1E3A8A"/>
            <w:tcMar>
              <w:top w:w="90" w:type="dxa"/>
              <w:bottom w:w="90" w:type="dxa"/>
              <w:left w:w="100" w:type="dxa"/>
              <w:right w:w="100" w:type="dxa"/>
            </w:tcMar>
          </w:tcPr>
          <w:p>
            <w:pPr>
              <w:spacing w:before="0" w:after="0"/>
            </w:pPr>
            <w:r>
              <w:rPr>
                <w:rFonts w:ascii="Arial" w:hAnsi="Arial"/>
                <w:b/>
                <w:color w:val="FFFFFF"/>
                <w:sz w:val="17"/>
              </w:rPr>
              <w:t>Benchmark Dimension</w:t>
            </w:r>
          </w:p>
        </w:tc>
        <w:tc>
          <w:tcPr>
            <w:tcW w:type="dxa" w:w="2304"/>
            <w:shd w:fill="1E3A8A"/>
            <w:tcMar>
              <w:top w:w="90" w:type="dxa"/>
              <w:bottom w:w="90" w:type="dxa"/>
              <w:left w:w="100" w:type="dxa"/>
              <w:right w:w="100" w:type="dxa"/>
            </w:tcMar>
          </w:tcPr>
          <w:p>
            <w:pPr>
              <w:spacing w:before="0" w:after="0"/>
            </w:pPr>
            <w:r>
              <w:rPr>
                <w:rFonts w:ascii="Arial" w:hAnsi="Arial"/>
                <w:b/>
                <w:color w:val="FFFFFF"/>
                <w:sz w:val="17"/>
              </w:rPr>
              <w:t>Target Requirement</w:t>
            </w:r>
          </w:p>
        </w:tc>
        <w:tc>
          <w:tcPr>
            <w:tcW w:type="dxa" w:w="2304"/>
            <w:shd w:fill="1E3A8A"/>
            <w:tcMar>
              <w:top w:w="90" w:type="dxa"/>
              <w:bottom w:w="90" w:type="dxa"/>
              <w:left w:w="100" w:type="dxa"/>
              <w:right w:w="100" w:type="dxa"/>
            </w:tcMar>
          </w:tcPr>
          <w:p>
            <w:pPr>
              <w:spacing w:before="0" w:after="0"/>
            </w:pPr>
            <w:r>
              <w:rPr>
                <w:rFonts w:ascii="Arial" w:hAnsi="Arial"/>
                <w:b/>
                <w:color w:val="FFFFFF"/>
                <w:sz w:val="17"/>
              </w:rPr>
              <w:t>Measured Result</w:t>
            </w:r>
          </w:p>
        </w:tc>
        <w:tc>
          <w:tcPr>
            <w:tcW w:type="dxa" w:w="2592"/>
            <w:shd w:fill="1E3A8A"/>
            <w:tcMar>
              <w:top w:w="90" w:type="dxa"/>
              <w:bottom w:w="90" w:type="dxa"/>
              <w:left w:w="100" w:type="dxa"/>
              <w:right w:w="100" w:type="dxa"/>
            </w:tcMar>
          </w:tcPr>
          <w:p>
            <w:pPr>
              <w:spacing w:before="0" w:after="0"/>
            </w:pPr>
            <w:r>
              <w:rPr>
                <w:rFonts w:ascii="Arial" w:hAnsi="Arial"/>
                <w:b/>
                <w:color w:val="FFFFFF"/>
                <w:sz w:val="17"/>
              </w:rPr>
              <w:t>Evidence Artifact</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Sustained Load</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100,000 EPS</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113,831 EPS</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docs/evidence/load-test/load_test_report.md</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Dashboard Latency</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&lt; 2,000 ms</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23.85 ms (p95)</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docs/evidence/latency/dashboard_latency_report.md</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API Performance</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&lt; 200 ms</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2.65 ms (p95)</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docs/evidence/api-performance/api_benchmark_report.md</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SQL Optimization</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Sub-10ms filter</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0.42 ms (219x faster)</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docs/evidence/sql/query_optimization_report.md</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Chaos Resilience</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Zero data loss</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0 lost / 400 recovered</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docs/evidence/chaos/chaos_report.md</w:t>
            </w:r>
          </w:p>
        </w:tc>
      </w:tr>
      <w:tr>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Security Audit</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STRIDE / OWASP</w:t>
            </w:r>
          </w:p>
        </w:tc>
        <w:tc>
          <w:tcPr>
            <w:tcW w:type="dxa" w:w="2304"/>
            <w:shd w:fill="F8FAFC"/>
            <w:tcMar>
              <w:top w:w="70" w:type="dxa"/>
              <w:bottom w:w="70" w:type="dxa"/>
              <w:left w:w="100" w:type="dxa"/>
              <w:right w:w="100" w:type="dxa"/>
            </w:tcMar>
          </w:tcPr>
          <w:p>
            <w:pPr>
              <w:spacing w:before="0" w:after="0" w:line="276" w:lineRule="auto"/>
            </w:pPr>
            <w:r>
              <w:rPr>
                <w:rFonts w:ascii="Arial" w:hAnsi="Arial"/>
                <w:color w:val="0F172A"/>
                <w:sz w:val="16"/>
              </w:rPr>
              <w:t>0 Critical/High issues</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docs/evidence/security/security_scan_report.md</w:t>
            </w:r>
          </w:p>
        </w:tc>
      </w:tr>
      <w:tr>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Automated Tests</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Unit + Int + BDD</w:t>
            </w:r>
          </w:p>
        </w:tc>
        <w:tc>
          <w:tcPr>
            <w:tcW w:type="dxa" w:w="2304"/>
            <w:shd w:fill="FFFFFF"/>
            <w:tcMar>
              <w:top w:w="70" w:type="dxa"/>
              <w:bottom w:w="70" w:type="dxa"/>
              <w:left w:w="100" w:type="dxa"/>
              <w:right w:w="100" w:type="dxa"/>
            </w:tcMar>
          </w:tcPr>
          <w:p>
            <w:pPr>
              <w:spacing w:before="0" w:after="0" w:line="276" w:lineRule="auto"/>
            </w:pPr>
            <w:r>
              <w:rPr>
                <w:rFonts w:ascii="Arial" w:hAnsi="Arial"/>
                <w:color w:val="0F172A"/>
                <w:sz w:val="16"/>
              </w:rPr>
              <w:t>31/31 Passing (100%)</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make test (all test suites green)</w:t>
            </w:r>
          </w:p>
        </w:tc>
      </w:tr>
    </w:tbl>
    <w:p>
      <w:pPr>
        <w:spacing w:after="80"/>
      </w:pPr>
    </w:p>
    <w:p>
      <w:pPr>
        <w:keepNext/>
        <w:spacing w:before="280" w:after="80"/>
      </w:pPr>
      <w:r>
        <w:rPr>
          <w:rFonts w:ascii="Arial" w:hAnsi="Arial"/>
          <w:b/>
          <w:color w:val="1E3A8A"/>
          <w:sz w:val="30"/>
        </w:rPr>
        <w:t>10. Deployment, Reproducibility &amp; Local Setup Guide</w:t>
      </w:r>
    </w:p>
    <w:p>
      <w:pPr>
        <w:spacing w:before="0" w:after="80" w:line="276" w:lineRule="auto"/>
      </w:pPr>
      <w:r>
        <w:rPr>
          <w:rFonts w:ascii="Arial" w:hAnsi="Arial"/>
          <w:color w:val="0F172A"/>
          <w:sz w:val="19"/>
        </w:rPr>
        <w:t>FleetPulse provides one-command local reproduction via Makefile and Docker Compose:</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Terminal Commands</w:t>
              <w:br/>
            </w:r>
            <w:r>
              <w:rPr>
                <w:rFonts w:ascii="Consolas" w:hAnsi="Consolas"/>
                <w:color w:val="94A3B8"/>
                <w:sz w:val="16"/>
              </w:rPr>
              <w:t>LINES: Local Reproducibility</w:t>
              <w:br/>
              <w:t>---</w:t>
              <w:br/>
            </w:r>
            <w:r>
              <w:rPr>
                <w:rFonts w:ascii="Consolas" w:hAnsi="Consolas"/>
                <w:color w:val="F1F5F9"/>
                <w:sz w:val="16"/>
              </w:rPr>
              <w:t># 1. Start full containerized stack (PostgreSQL, ClickHouse, Redis, Kafka, Flink)</w:t>
              <w:br/>
              <w:t>make up</w:t>
              <w:br/>
              <w:br/>
              <w:t># 2. Execute automated test suite (31/31 unit, integration, contract, and BDD tests)</w:t>
              <w:br/>
              <w:t>make test</w:t>
              <w:br/>
              <w:br/>
              <w:t># 3. Start local development servers</w:t>
              <w:br/>
              <w:t># Backend: http://localhost:8888 (API Docs: http://localhost:8888/docs)</w:t>
              <w:br/>
              <w:t>PYTHONPATH=. .venv/bin/uvicorn apps.api.main:app --host 0.0.0.0 --port 8888 --reload</w:t>
              <w:br/>
              <w:br/>
              <w:t># Frontend: http://localhost:5173</w:t>
              <w:br/>
              <w:t>npm --prefix apps/web run dev -- --host 0.0.0.0 --port 5173</w:t>
            </w:r>
          </w:p>
        </w:tc>
      </w:tr>
    </w:tbl>
    <w:p>
      <w:pPr>
        <w:spacing w:after="60"/>
      </w:pPr>
    </w:p>
    <w:p>
      <w:pPr>
        <w:keepNext/>
        <w:spacing w:before="280" w:after="80"/>
      </w:pPr>
      <w:r>
        <w:rPr>
          <w:rFonts w:ascii="Arial" w:hAnsi="Arial"/>
          <w:b/>
          <w:color w:val="1E3A8A"/>
          <w:sz w:val="30"/>
        </w:rPr>
        <w:t>11. Hackathon Go/No-Go Gate Verification Matrix</w:t>
      </w:r>
    </w:p>
    <w:p>
      <w:pPr>
        <w:spacing w:before="0" w:after="80" w:line="276" w:lineRule="auto"/>
      </w:pPr>
      <w:r>
        <w:rPr>
          <w:rFonts w:ascii="Arial" w:hAnsi="Arial"/>
          <w:color w:val="0F172A"/>
          <w:sz w:val="19"/>
        </w:rPr>
        <w:t>FleetPulse complies 100% with all 14 mandatory Hackathon Go/No-Go Gates: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c>
          <w:tcPr>
            <w:tcW w:type="dxa" w:w="1152"/>
            <w:shd w:fill="1E3A8A"/>
            <w:tcMar>
              <w:top w:w="90" w:type="dxa"/>
              <w:bottom w:w="90" w:type="dxa"/>
              <w:left w:w="100" w:type="dxa"/>
              <w:right w:w="100" w:type="dxa"/>
            </w:tcMar>
          </w:tcPr>
          <w:p>
            <w:pPr>
              <w:spacing w:before="0" w:after="0"/>
            </w:pPr>
            <w:r>
              <w:rPr>
                <w:rFonts w:ascii="Arial" w:hAnsi="Arial"/>
                <w:b/>
                <w:color w:val="FFFFFF"/>
                <w:sz w:val="17"/>
              </w:rPr>
              <w:t>Gate</w:t>
            </w:r>
          </w:p>
        </w:tc>
        <w:tc>
          <w:tcPr>
            <w:tcW w:type="dxa" w:w="2592"/>
            <w:shd w:fill="1E3A8A"/>
            <w:tcMar>
              <w:top w:w="90" w:type="dxa"/>
              <w:bottom w:w="90" w:type="dxa"/>
              <w:left w:w="100" w:type="dxa"/>
              <w:right w:w="100" w:type="dxa"/>
            </w:tcMar>
          </w:tcPr>
          <w:p>
            <w:pPr>
              <w:spacing w:before="0" w:after="0"/>
            </w:pPr>
            <w:r>
              <w:rPr>
                <w:rFonts w:ascii="Arial" w:hAnsi="Arial"/>
                <w:b/>
                <w:color w:val="FFFFFF"/>
                <w:sz w:val="17"/>
              </w:rPr>
              <w:t>Requirement Name</w:t>
            </w:r>
          </w:p>
        </w:tc>
        <w:tc>
          <w:tcPr>
            <w:tcW w:type="dxa" w:w="1440"/>
            <w:shd w:fill="1E3A8A"/>
            <w:tcMar>
              <w:top w:w="90" w:type="dxa"/>
              <w:bottom w:w="90" w:type="dxa"/>
              <w:left w:w="100" w:type="dxa"/>
              <w:right w:w="100" w:type="dxa"/>
            </w:tcMar>
          </w:tcPr>
          <w:p>
            <w:pPr>
              <w:spacing w:before="0" w:after="0"/>
            </w:pPr>
            <w:r>
              <w:rPr>
                <w:rFonts w:ascii="Arial" w:hAnsi="Arial"/>
                <w:b/>
                <w:color w:val="FFFFFF"/>
                <w:sz w:val="17"/>
              </w:rPr>
              <w:t>Status</w:t>
            </w:r>
          </w:p>
        </w:tc>
        <w:tc>
          <w:tcPr>
            <w:tcW w:type="dxa" w:w="4608"/>
            <w:shd w:fill="1E3A8A"/>
            <w:tcMar>
              <w:top w:w="90" w:type="dxa"/>
              <w:bottom w:w="90" w:type="dxa"/>
              <w:left w:w="100" w:type="dxa"/>
              <w:right w:w="100" w:type="dxa"/>
            </w:tcMar>
          </w:tcPr>
          <w:p>
            <w:pPr>
              <w:spacing w:before="0" w:after="0"/>
            </w:pPr>
            <w:r>
              <w:rPr>
                <w:rFonts w:ascii="Arial" w:hAnsi="Arial"/>
                <w:b/>
                <w:color w:val="FFFFFF"/>
                <w:sz w:val="17"/>
              </w:rPr>
              <w:t>Verification Evidence</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G1</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Product User Journey</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Telemetry -&gt; Anomaly -&gt; Priority Queue -&gt; Work Order Dispatch verified.</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G2</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Scale Requirements</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113,831 EPS sustained ingestion demonstrated in load test.</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G3</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End-to-End Latency</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23.85 ms p95 dashboard update latency measured.</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G4</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Data Quality &amp; Flink</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Watermarking (5s), deduplication, and sliding windows verified.</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G5</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Polyglot Storage</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PostgreSQL, ClickHouse, Redis, MongoDB serve non-overlapping workloads.</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G6</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Predictive ML Quality</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Gradient-Boosted model achieves 0.9967 PR-AUC vs 0.9474 baseline.</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G7</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Security &amp; RBAC</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Multi-tenant JWT claims and tamper-proof audit trails enforced.</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G8</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Reliability &amp; Chaos</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Zero data loss under broker disconnect; ring buffers recovered 400 events.</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G9</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Observability Spec</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Prometheus /metrics endpoint and OpenTelemetry tracing instrumented.</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G10</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UI Polish &amp; UX</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Dribbble CRM aesthetic, 1,200-unit 60 FPS canvas map, WebSocket push.</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G11</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Reproducibility</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Single make up and docker-compose up workflow.</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G12</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Architecture &amp; ADRs</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C4 diagrams, ER diagrams, and ADR-001 through ADR-005 documented.</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G13</w:t>
            </w:r>
          </w:p>
        </w:tc>
        <w:tc>
          <w:tcPr>
            <w:tcW w:type="dxa" w:w="2592"/>
            <w:shd w:fill="FFFFFF"/>
            <w:tcMar>
              <w:top w:w="70" w:type="dxa"/>
              <w:bottom w:w="70" w:type="dxa"/>
              <w:left w:w="100" w:type="dxa"/>
              <w:right w:w="100" w:type="dxa"/>
            </w:tcMar>
          </w:tcPr>
          <w:p>
            <w:pPr>
              <w:spacing w:before="0" w:after="0" w:line="276" w:lineRule="auto"/>
            </w:pPr>
            <w:r>
              <w:rPr>
                <w:rFonts w:ascii="Arial" w:hAnsi="Arial"/>
                <w:color w:val="0F172A"/>
                <w:sz w:val="16"/>
              </w:rPr>
              <w:t>5-Min Demonstration</w:t>
            </w:r>
          </w:p>
        </w:tc>
        <w:tc>
          <w:tcPr>
            <w:tcW w:type="dxa" w:w="1440"/>
            <w:shd w:fill="FFFFFF"/>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FFFFF"/>
            <w:tcMar>
              <w:top w:w="70" w:type="dxa"/>
              <w:bottom w:w="70" w:type="dxa"/>
              <w:left w:w="100" w:type="dxa"/>
              <w:right w:w="100" w:type="dxa"/>
            </w:tcMar>
          </w:tcPr>
          <w:p>
            <w:pPr>
              <w:spacing w:before="0" w:after="0" w:line="276" w:lineRule="auto"/>
            </w:pPr>
            <w:r>
              <w:rPr>
                <w:rFonts w:ascii="Arial" w:hAnsi="Arial"/>
                <w:color w:val="0F172A"/>
                <w:sz w:val="16"/>
              </w:rPr>
              <w:t>Complete timed demonstration script generated with file navigation.</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G14</w:t>
            </w:r>
          </w:p>
        </w:tc>
        <w:tc>
          <w:tcPr>
            <w:tcW w:type="dxa" w:w="2592"/>
            <w:shd w:fill="F8FAFC"/>
            <w:tcMar>
              <w:top w:w="70" w:type="dxa"/>
              <w:bottom w:w="70" w:type="dxa"/>
              <w:left w:w="100" w:type="dxa"/>
              <w:right w:w="100" w:type="dxa"/>
            </w:tcMar>
          </w:tcPr>
          <w:p>
            <w:pPr>
              <w:spacing w:before="0" w:after="0" w:line="276" w:lineRule="auto"/>
            </w:pPr>
            <w:r>
              <w:rPr>
                <w:rFonts w:ascii="Arial" w:hAnsi="Arial"/>
                <w:color w:val="0F172A"/>
                <w:sz w:val="16"/>
              </w:rPr>
              <w:t>Integrity &amp; Ethics</w:t>
            </w:r>
          </w:p>
        </w:tc>
        <w:tc>
          <w:tcPr>
            <w:tcW w:type="dxa" w:w="1440"/>
            <w:shd w:fill="F8FAFC"/>
            <w:tcMar>
              <w:top w:w="70" w:type="dxa"/>
              <w:bottom w:w="70" w:type="dxa"/>
              <w:left w:w="100" w:type="dxa"/>
              <w:right w:w="100" w:type="dxa"/>
            </w:tcMar>
          </w:tcPr>
          <w:p>
            <w:pPr>
              <w:spacing w:before="0" w:after="0" w:line="276" w:lineRule="auto"/>
            </w:pPr>
            <w:r>
              <w:rPr>
                <w:rFonts w:ascii="Arial" w:hAnsi="Arial"/>
                <w:color w:val="0F172A"/>
                <w:sz w:val="16"/>
              </w:rPr>
              <w:t>PASS (100%)</w:t>
            </w:r>
          </w:p>
        </w:tc>
        <w:tc>
          <w:tcPr>
            <w:tcW w:type="dxa" w:w="4608"/>
            <w:shd w:fill="F8FAFC"/>
            <w:tcMar>
              <w:top w:w="70" w:type="dxa"/>
              <w:bottom w:w="70" w:type="dxa"/>
              <w:left w:w="100" w:type="dxa"/>
              <w:right w:w="100" w:type="dxa"/>
            </w:tcMar>
          </w:tcPr>
          <w:p>
            <w:pPr>
              <w:spacing w:before="0" w:after="0" w:line="276" w:lineRule="auto"/>
            </w:pPr>
            <w:r>
              <w:rPr>
                <w:rFonts w:ascii="Arial" w:hAnsi="Arial"/>
                <w:color w:val="0F172A"/>
                <w:sz w:val="16"/>
              </w:rPr>
              <w:t>100% synthetic telemetry utilized; zero secrets in version control.</w:t>
            </w:r>
          </w:p>
        </w:tc>
      </w:tr>
    </w:tbl>
    <w:p>
      <w:pPr>
        <w:spacing w:after="8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