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7402" w14:textId="77777777" w:rsidR="00A56662" w:rsidRDefault="00121583" w:rsidP="00121583">
      <w:pPr>
        <w:pStyle w:val="Title"/>
        <w:jc w:val="center"/>
      </w:pPr>
      <w:bookmarkStart w:id="0" w:name="_GoBack"/>
      <w:bookmarkEnd w:id="0"/>
      <w:r>
        <w:t>Seminární práce na téma zdanění svěřeneckých fondů</w:t>
      </w:r>
    </w:p>
    <w:p w14:paraId="2E9E3AFB" w14:textId="77777777" w:rsidR="00121583" w:rsidRDefault="00121583" w:rsidP="00121583">
      <w:pPr>
        <w:jc w:val="center"/>
      </w:pPr>
      <w:r>
        <w:t>Dominik Bálint, 2. ročník bakalářského studia POV</w:t>
      </w:r>
    </w:p>
    <w:p w14:paraId="07498940" w14:textId="77777777" w:rsidR="00121583" w:rsidRDefault="00121583" w:rsidP="00121583">
      <w:pPr>
        <w:jc w:val="center"/>
      </w:pPr>
      <w:r>
        <w:t>2018</w:t>
      </w:r>
    </w:p>
    <w:p w14:paraId="2B231C77" w14:textId="77777777" w:rsidR="00121583" w:rsidRDefault="00121583" w:rsidP="00121583">
      <w:pPr>
        <w:jc w:val="center"/>
      </w:pPr>
    </w:p>
    <w:p w14:paraId="7D07CE41" w14:textId="77777777" w:rsidR="00121583" w:rsidRDefault="00121583" w:rsidP="00121583">
      <w:pPr>
        <w:jc w:val="center"/>
      </w:pPr>
    </w:p>
    <w:sdt>
      <w:sdtPr>
        <w:rPr>
          <w:rFonts w:asciiTheme="minorHAnsi" w:eastAsiaTheme="minorHAnsi" w:hAnsiTheme="minorHAnsi" w:cstheme="minorBidi"/>
          <w:b w:val="0"/>
          <w:bCs w:val="0"/>
          <w:color w:val="auto"/>
          <w:sz w:val="24"/>
          <w:szCs w:val="24"/>
          <w:lang w:val="cs-CZ"/>
        </w:rPr>
        <w:id w:val="174843563"/>
        <w:docPartObj>
          <w:docPartGallery w:val="Table of Contents"/>
          <w:docPartUnique/>
        </w:docPartObj>
      </w:sdtPr>
      <w:sdtEndPr>
        <w:rPr>
          <w:noProof/>
        </w:rPr>
      </w:sdtEndPr>
      <w:sdtContent>
        <w:p w14:paraId="2F808954" w14:textId="77777777" w:rsidR="00121583" w:rsidRDefault="00121583">
          <w:pPr>
            <w:pStyle w:val="TOCHeading"/>
          </w:pPr>
          <w:r>
            <w:t>Obsah</w:t>
          </w:r>
        </w:p>
        <w:p w14:paraId="71211CC7" w14:textId="77777777" w:rsidR="00A7537F" w:rsidRDefault="00121583">
          <w:pPr>
            <w:pStyle w:val="TOC1"/>
            <w:tabs>
              <w:tab w:val="right" w:leader="dot" w:pos="905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1730007" w:history="1">
            <w:r w:rsidR="00A7537F" w:rsidRPr="006E5A38">
              <w:rPr>
                <w:rStyle w:val="Hyperlink"/>
                <w:rFonts w:cstheme="majorHAnsi"/>
                <w:noProof/>
              </w:rPr>
              <w:t>Úvod</w:t>
            </w:r>
            <w:r w:rsidR="00A7537F">
              <w:rPr>
                <w:noProof/>
                <w:webHidden/>
              </w:rPr>
              <w:tab/>
            </w:r>
            <w:r w:rsidR="00A7537F">
              <w:rPr>
                <w:noProof/>
                <w:webHidden/>
              </w:rPr>
              <w:fldChar w:fldCharType="begin"/>
            </w:r>
            <w:r w:rsidR="00A7537F">
              <w:rPr>
                <w:noProof/>
                <w:webHidden/>
              </w:rPr>
              <w:instrText xml:space="preserve"> PAGEREF _Toc531730007 \h </w:instrText>
            </w:r>
            <w:r w:rsidR="00A7537F">
              <w:rPr>
                <w:noProof/>
                <w:webHidden/>
              </w:rPr>
            </w:r>
            <w:r w:rsidR="00A7537F">
              <w:rPr>
                <w:noProof/>
                <w:webHidden/>
              </w:rPr>
              <w:fldChar w:fldCharType="separate"/>
            </w:r>
            <w:r w:rsidR="00A7537F">
              <w:rPr>
                <w:noProof/>
                <w:webHidden/>
              </w:rPr>
              <w:t>1</w:t>
            </w:r>
            <w:r w:rsidR="00A7537F">
              <w:rPr>
                <w:noProof/>
                <w:webHidden/>
              </w:rPr>
              <w:fldChar w:fldCharType="end"/>
            </w:r>
          </w:hyperlink>
        </w:p>
        <w:p w14:paraId="1E59E027" w14:textId="77777777" w:rsidR="00A7537F" w:rsidRDefault="00AB68AD">
          <w:pPr>
            <w:pStyle w:val="TOC1"/>
            <w:tabs>
              <w:tab w:val="right" w:leader="dot" w:pos="9056"/>
            </w:tabs>
            <w:rPr>
              <w:rFonts w:eastAsiaTheme="minorEastAsia" w:cstheme="minorBidi"/>
              <w:b w:val="0"/>
              <w:bCs w:val="0"/>
              <w:i w:val="0"/>
              <w:iCs w:val="0"/>
              <w:noProof/>
            </w:rPr>
          </w:pPr>
          <w:hyperlink w:anchor="_Toc531730008" w:history="1">
            <w:r w:rsidR="00A7537F" w:rsidRPr="006E5A38">
              <w:rPr>
                <w:rStyle w:val="Hyperlink"/>
                <w:rFonts w:cstheme="majorHAnsi"/>
                <w:noProof/>
              </w:rPr>
              <w:t>1. Zdanění svěřeneckých fondů obecně</w:t>
            </w:r>
            <w:r w:rsidR="00A7537F">
              <w:rPr>
                <w:noProof/>
                <w:webHidden/>
              </w:rPr>
              <w:tab/>
            </w:r>
            <w:r w:rsidR="00A7537F">
              <w:rPr>
                <w:noProof/>
                <w:webHidden/>
              </w:rPr>
              <w:fldChar w:fldCharType="begin"/>
            </w:r>
            <w:r w:rsidR="00A7537F">
              <w:rPr>
                <w:noProof/>
                <w:webHidden/>
              </w:rPr>
              <w:instrText xml:space="preserve"> PAGEREF _Toc531730008 \h </w:instrText>
            </w:r>
            <w:r w:rsidR="00A7537F">
              <w:rPr>
                <w:noProof/>
                <w:webHidden/>
              </w:rPr>
            </w:r>
            <w:r w:rsidR="00A7537F">
              <w:rPr>
                <w:noProof/>
                <w:webHidden/>
              </w:rPr>
              <w:fldChar w:fldCharType="separate"/>
            </w:r>
            <w:r w:rsidR="00A7537F">
              <w:rPr>
                <w:noProof/>
                <w:webHidden/>
              </w:rPr>
              <w:t>2</w:t>
            </w:r>
            <w:r w:rsidR="00A7537F">
              <w:rPr>
                <w:noProof/>
                <w:webHidden/>
              </w:rPr>
              <w:fldChar w:fldCharType="end"/>
            </w:r>
          </w:hyperlink>
        </w:p>
        <w:p w14:paraId="78F8F455" w14:textId="77777777" w:rsidR="00A7537F" w:rsidRDefault="00AB68AD">
          <w:pPr>
            <w:pStyle w:val="TOC2"/>
            <w:tabs>
              <w:tab w:val="right" w:leader="dot" w:pos="9056"/>
            </w:tabs>
            <w:rPr>
              <w:rFonts w:eastAsiaTheme="minorEastAsia" w:cstheme="minorBidi"/>
              <w:b w:val="0"/>
              <w:bCs w:val="0"/>
              <w:noProof/>
              <w:sz w:val="24"/>
              <w:szCs w:val="24"/>
            </w:rPr>
          </w:pPr>
          <w:hyperlink w:anchor="_Toc531730009" w:history="1">
            <w:r w:rsidR="00A7537F" w:rsidRPr="006E5A38">
              <w:rPr>
                <w:rStyle w:val="Hyperlink"/>
                <w:rFonts w:cstheme="majorHAnsi"/>
                <w:noProof/>
              </w:rPr>
              <w:t>1.1 Účetnictví svěřenského fondu</w:t>
            </w:r>
            <w:r w:rsidR="00A7537F">
              <w:rPr>
                <w:noProof/>
                <w:webHidden/>
              </w:rPr>
              <w:tab/>
            </w:r>
            <w:r w:rsidR="00A7537F">
              <w:rPr>
                <w:noProof/>
                <w:webHidden/>
              </w:rPr>
              <w:fldChar w:fldCharType="begin"/>
            </w:r>
            <w:r w:rsidR="00A7537F">
              <w:rPr>
                <w:noProof/>
                <w:webHidden/>
              </w:rPr>
              <w:instrText xml:space="preserve"> PAGEREF _Toc531730009 \h </w:instrText>
            </w:r>
            <w:r w:rsidR="00A7537F">
              <w:rPr>
                <w:noProof/>
                <w:webHidden/>
              </w:rPr>
            </w:r>
            <w:r w:rsidR="00A7537F">
              <w:rPr>
                <w:noProof/>
                <w:webHidden/>
              </w:rPr>
              <w:fldChar w:fldCharType="separate"/>
            </w:r>
            <w:r w:rsidR="00A7537F">
              <w:rPr>
                <w:noProof/>
                <w:webHidden/>
              </w:rPr>
              <w:t>4</w:t>
            </w:r>
            <w:r w:rsidR="00A7537F">
              <w:rPr>
                <w:noProof/>
                <w:webHidden/>
              </w:rPr>
              <w:fldChar w:fldCharType="end"/>
            </w:r>
          </w:hyperlink>
        </w:p>
        <w:p w14:paraId="01C25B9E" w14:textId="77777777" w:rsidR="00A7537F" w:rsidRDefault="00AB68AD">
          <w:pPr>
            <w:pStyle w:val="TOC2"/>
            <w:tabs>
              <w:tab w:val="right" w:leader="dot" w:pos="9056"/>
            </w:tabs>
            <w:rPr>
              <w:rFonts w:eastAsiaTheme="minorEastAsia" w:cstheme="minorBidi"/>
              <w:b w:val="0"/>
              <w:bCs w:val="0"/>
              <w:noProof/>
              <w:sz w:val="24"/>
              <w:szCs w:val="24"/>
            </w:rPr>
          </w:pPr>
          <w:hyperlink w:anchor="_Toc531730010" w:history="1">
            <w:r w:rsidR="00A7537F" w:rsidRPr="006E5A38">
              <w:rPr>
                <w:rStyle w:val="Hyperlink"/>
                <w:rFonts w:eastAsia="Times New Roman" w:cstheme="majorHAnsi"/>
                <w:noProof/>
              </w:rPr>
              <w:t>1.2 Vklad do svěřenského fondu</w:t>
            </w:r>
            <w:r w:rsidR="00A7537F">
              <w:rPr>
                <w:noProof/>
                <w:webHidden/>
              </w:rPr>
              <w:tab/>
            </w:r>
            <w:r w:rsidR="00A7537F">
              <w:rPr>
                <w:noProof/>
                <w:webHidden/>
              </w:rPr>
              <w:fldChar w:fldCharType="begin"/>
            </w:r>
            <w:r w:rsidR="00A7537F">
              <w:rPr>
                <w:noProof/>
                <w:webHidden/>
              </w:rPr>
              <w:instrText xml:space="preserve"> PAGEREF _Toc531730010 \h </w:instrText>
            </w:r>
            <w:r w:rsidR="00A7537F">
              <w:rPr>
                <w:noProof/>
                <w:webHidden/>
              </w:rPr>
            </w:r>
            <w:r w:rsidR="00A7537F">
              <w:rPr>
                <w:noProof/>
                <w:webHidden/>
              </w:rPr>
              <w:fldChar w:fldCharType="separate"/>
            </w:r>
            <w:r w:rsidR="00A7537F">
              <w:rPr>
                <w:noProof/>
                <w:webHidden/>
              </w:rPr>
              <w:t>4</w:t>
            </w:r>
            <w:r w:rsidR="00A7537F">
              <w:rPr>
                <w:noProof/>
                <w:webHidden/>
              </w:rPr>
              <w:fldChar w:fldCharType="end"/>
            </w:r>
          </w:hyperlink>
        </w:p>
        <w:p w14:paraId="18415DE5" w14:textId="77777777" w:rsidR="00A7537F" w:rsidRDefault="00AB68AD">
          <w:pPr>
            <w:pStyle w:val="TOC2"/>
            <w:tabs>
              <w:tab w:val="right" w:leader="dot" w:pos="9056"/>
            </w:tabs>
            <w:rPr>
              <w:rFonts w:eastAsiaTheme="minorEastAsia" w:cstheme="minorBidi"/>
              <w:b w:val="0"/>
              <w:bCs w:val="0"/>
              <w:noProof/>
              <w:sz w:val="24"/>
              <w:szCs w:val="24"/>
            </w:rPr>
          </w:pPr>
          <w:hyperlink w:anchor="_Toc531730011" w:history="1">
            <w:r w:rsidR="00A7537F" w:rsidRPr="006E5A38">
              <w:rPr>
                <w:rStyle w:val="Hyperlink"/>
                <w:rFonts w:cstheme="majorHAnsi"/>
                <w:noProof/>
              </w:rPr>
              <w:t>1.3 Plnění ze svěřenského fondu PO, FO</w:t>
            </w:r>
            <w:r w:rsidR="00A7537F">
              <w:rPr>
                <w:noProof/>
                <w:webHidden/>
              </w:rPr>
              <w:tab/>
            </w:r>
            <w:r w:rsidR="00A7537F">
              <w:rPr>
                <w:noProof/>
                <w:webHidden/>
              </w:rPr>
              <w:fldChar w:fldCharType="begin"/>
            </w:r>
            <w:r w:rsidR="00A7537F">
              <w:rPr>
                <w:noProof/>
                <w:webHidden/>
              </w:rPr>
              <w:instrText xml:space="preserve"> PAGEREF _Toc531730011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1EBBD517" w14:textId="77777777" w:rsidR="00A7537F" w:rsidRDefault="00AB68AD">
          <w:pPr>
            <w:pStyle w:val="TOC2"/>
            <w:tabs>
              <w:tab w:val="right" w:leader="dot" w:pos="9056"/>
            </w:tabs>
            <w:rPr>
              <w:rFonts w:eastAsiaTheme="minorEastAsia" w:cstheme="minorBidi"/>
              <w:b w:val="0"/>
              <w:bCs w:val="0"/>
              <w:noProof/>
              <w:sz w:val="24"/>
              <w:szCs w:val="24"/>
            </w:rPr>
          </w:pPr>
          <w:hyperlink w:anchor="_Toc531730012" w:history="1">
            <w:r w:rsidR="00A7537F" w:rsidRPr="006E5A38">
              <w:rPr>
                <w:rStyle w:val="Hyperlink"/>
                <w:rFonts w:cstheme="majorHAnsi"/>
                <w:noProof/>
              </w:rPr>
              <w:t>1.4 Zdanění odměny svěřenského správce</w:t>
            </w:r>
            <w:r w:rsidR="00A7537F">
              <w:rPr>
                <w:noProof/>
                <w:webHidden/>
              </w:rPr>
              <w:tab/>
            </w:r>
            <w:r w:rsidR="00A7537F">
              <w:rPr>
                <w:noProof/>
                <w:webHidden/>
              </w:rPr>
              <w:fldChar w:fldCharType="begin"/>
            </w:r>
            <w:r w:rsidR="00A7537F">
              <w:rPr>
                <w:noProof/>
                <w:webHidden/>
              </w:rPr>
              <w:instrText xml:space="preserve"> PAGEREF _Toc531730012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26EA94FF" w14:textId="77777777" w:rsidR="00A7537F" w:rsidRDefault="00AB68AD">
          <w:pPr>
            <w:pStyle w:val="TOC1"/>
            <w:tabs>
              <w:tab w:val="right" w:leader="dot" w:pos="9056"/>
            </w:tabs>
            <w:rPr>
              <w:rFonts w:eastAsiaTheme="minorEastAsia" w:cstheme="minorBidi"/>
              <w:b w:val="0"/>
              <w:bCs w:val="0"/>
              <w:i w:val="0"/>
              <w:iCs w:val="0"/>
              <w:noProof/>
            </w:rPr>
          </w:pPr>
          <w:hyperlink w:anchor="_Toc531730013" w:history="1">
            <w:r w:rsidR="00A7537F" w:rsidRPr="006E5A38">
              <w:rPr>
                <w:rStyle w:val="Hyperlink"/>
                <w:rFonts w:cstheme="majorHAnsi"/>
                <w:noProof/>
              </w:rPr>
              <w:t>Závěr</w:t>
            </w:r>
            <w:r w:rsidR="00A7537F">
              <w:rPr>
                <w:noProof/>
                <w:webHidden/>
              </w:rPr>
              <w:tab/>
            </w:r>
            <w:r w:rsidR="00A7537F">
              <w:rPr>
                <w:noProof/>
                <w:webHidden/>
              </w:rPr>
              <w:fldChar w:fldCharType="begin"/>
            </w:r>
            <w:r w:rsidR="00A7537F">
              <w:rPr>
                <w:noProof/>
                <w:webHidden/>
              </w:rPr>
              <w:instrText xml:space="preserve"> PAGEREF _Toc531730013 \h </w:instrText>
            </w:r>
            <w:r w:rsidR="00A7537F">
              <w:rPr>
                <w:noProof/>
                <w:webHidden/>
              </w:rPr>
            </w:r>
            <w:r w:rsidR="00A7537F">
              <w:rPr>
                <w:noProof/>
                <w:webHidden/>
              </w:rPr>
              <w:fldChar w:fldCharType="separate"/>
            </w:r>
            <w:r w:rsidR="00A7537F">
              <w:rPr>
                <w:noProof/>
                <w:webHidden/>
              </w:rPr>
              <w:t>5</w:t>
            </w:r>
            <w:r w:rsidR="00A7537F">
              <w:rPr>
                <w:noProof/>
                <w:webHidden/>
              </w:rPr>
              <w:fldChar w:fldCharType="end"/>
            </w:r>
          </w:hyperlink>
        </w:p>
        <w:p w14:paraId="1062B29D" w14:textId="77777777" w:rsidR="00121583" w:rsidRDefault="00121583">
          <w:r>
            <w:rPr>
              <w:b/>
              <w:bCs/>
              <w:noProof/>
            </w:rPr>
            <w:fldChar w:fldCharType="end"/>
          </w:r>
        </w:p>
      </w:sdtContent>
    </w:sdt>
    <w:p w14:paraId="356AD873" w14:textId="77777777" w:rsidR="00121583" w:rsidRDefault="00121583" w:rsidP="00121583"/>
    <w:p w14:paraId="5EFE7C15" w14:textId="77777777" w:rsidR="00121583" w:rsidRDefault="00121583" w:rsidP="00121583"/>
    <w:p w14:paraId="63EB1655" w14:textId="77777777" w:rsidR="00121583" w:rsidRPr="0076137D" w:rsidRDefault="00121583" w:rsidP="0076137D">
      <w:pPr>
        <w:pStyle w:val="Heading1"/>
        <w:spacing w:line="360" w:lineRule="auto"/>
        <w:rPr>
          <w:rFonts w:cstheme="majorHAnsi"/>
          <w:sz w:val="24"/>
          <w:szCs w:val="24"/>
        </w:rPr>
      </w:pPr>
      <w:bookmarkStart w:id="1" w:name="_Toc531730007"/>
      <w:r w:rsidRPr="0076137D">
        <w:rPr>
          <w:rFonts w:cstheme="majorHAnsi"/>
          <w:sz w:val="24"/>
          <w:szCs w:val="24"/>
        </w:rPr>
        <w:t>Úvod</w:t>
      </w:r>
      <w:bookmarkEnd w:id="1"/>
    </w:p>
    <w:p w14:paraId="4CC49983" w14:textId="7304C3FA" w:rsidR="005E0097" w:rsidRPr="0076137D" w:rsidRDefault="00314B55" w:rsidP="0076137D">
      <w:pPr>
        <w:spacing w:line="360" w:lineRule="auto"/>
        <w:rPr>
          <w:rFonts w:asciiTheme="majorHAnsi" w:hAnsiTheme="majorHAnsi" w:cstheme="majorHAnsi"/>
        </w:rPr>
      </w:pPr>
      <w:r w:rsidRPr="0076137D">
        <w:rPr>
          <w:rFonts w:asciiTheme="majorHAnsi" w:hAnsiTheme="majorHAnsi" w:cstheme="majorHAnsi"/>
        </w:rPr>
        <w:t xml:space="preserve">Ve své práci bych se rád zaměřil na úpravu zdanění svěřeneckých fondů v České republice. Svěřenský fond jakožto poměrně nová právní entita je upraven v novém občanském zákoníku, přesněji v díle 6 od § 1400 dále </w:t>
      </w:r>
      <w:r w:rsidR="00E466F4" w:rsidRPr="0076137D">
        <w:rPr>
          <w:rFonts w:asciiTheme="majorHAnsi" w:hAnsiTheme="majorHAnsi" w:cstheme="majorHAnsi"/>
        </w:rPr>
        <w:t>(Správa</w:t>
      </w:r>
      <w:r w:rsidRPr="0076137D">
        <w:rPr>
          <w:rFonts w:asciiTheme="majorHAnsi" w:hAnsiTheme="majorHAnsi" w:cstheme="majorHAnsi"/>
        </w:rPr>
        <w:t xml:space="preserve"> cizího majetku)</w:t>
      </w:r>
      <w:r w:rsidR="00E466F4" w:rsidRPr="0076137D">
        <w:rPr>
          <w:rFonts w:asciiTheme="majorHAnsi" w:hAnsiTheme="majorHAnsi" w:cstheme="majorHAnsi"/>
        </w:rPr>
        <w:t xml:space="preserve">. S ohledem na vznik institutu svěřenského fondu bylo samozřejmě nutné upravit a novelizovat i další právní předpisy s ohledem na možnosti, které založení svěřenských fondů subjektům českého práva přináší. S ohledem na to, že je v Českém právu SF zcela nový institut, bylo třeba upravit i způsob, jakým budou SF zdaněny, aby se zamezilo zneužívání svěřenských fondů k obcházení placení daní jak u FO, tak u PO. </w:t>
      </w:r>
      <w:r w:rsidR="00495528" w:rsidRPr="0076137D">
        <w:rPr>
          <w:rFonts w:asciiTheme="majorHAnsi" w:hAnsiTheme="majorHAnsi" w:cstheme="majorHAnsi"/>
        </w:rPr>
        <w:t>Při své práci budu vycházet především z úpravy svěřenských fondů v NOZ a také ze zákona č</w:t>
      </w:r>
      <w:r w:rsidR="004D5A75" w:rsidRPr="0076137D">
        <w:rPr>
          <w:rFonts w:asciiTheme="majorHAnsi" w:hAnsiTheme="majorHAnsi" w:cstheme="majorHAnsi"/>
        </w:rPr>
        <w:t xml:space="preserve">. </w:t>
      </w:r>
      <w:r w:rsidR="00495528" w:rsidRPr="0076137D">
        <w:rPr>
          <w:rFonts w:asciiTheme="majorHAnsi" w:hAnsiTheme="majorHAnsi" w:cstheme="majorHAnsi"/>
        </w:rPr>
        <w:t xml:space="preserve">586/1992 </w:t>
      </w:r>
      <w:r w:rsidR="005E0097" w:rsidRPr="0076137D">
        <w:rPr>
          <w:rFonts w:asciiTheme="majorHAnsi" w:hAnsiTheme="majorHAnsi" w:cstheme="majorHAnsi"/>
        </w:rPr>
        <w:t>Sb., z</w:t>
      </w:r>
      <w:r w:rsidR="00495528" w:rsidRPr="0076137D">
        <w:rPr>
          <w:rFonts w:asciiTheme="majorHAnsi" w:hAnsiTheme="majorHAnsi" w:cstheme="majorHAnsi"/>
        </w:rPr>
        <w:t>ákon o daních z</w:t>
      </w:r>
      <w:r w:rsidR="004D5A75" w:rsidRPr="0076137D">
        <w:rPr>
          <w:rFonts w:asciiTheme="majorHAnsi" w:hAnsiTheme="majorHAnsi" w:cstheme="majorHAnsi"/>
        </w:rPr>
        <w:t> </w:t>
      </w:r>
      <w:r w:rsidR="00495528" w:rsidRPr="0076137D">
        <w:rPr>
          <w:rFonts w:asciiTheme="majorHAnsi" w:hAnsiTheme="majorHAnsi" w:cstheme="majorHAnsi"/>
        </w:rPr>
        <w:t>příjmů</w:t>
      </w:r>
      <w:r w:rsidR="004D5A75" w:rsidRPr="0076137D">
        <w:rPr>
          <w:rFonts w:asciiTheme="majorHAnsi" w:hAnsiTheme="majorHAnsi" w:cstheme="majorHAnsi"/>
        </w:rPr>
        <w:t xml:space="preserve"> a také zákon č. 235/2004 </w:t>
      </w:r>
      <w:r w:rsidR="005E0097" w:rsidRPr="0076137D">
        <w:rPr>
          <w:rFonts w:asciiTheme="majorHAnsi" w:hAnsiTheme="majorHAnsi" w:cstheme="majorHAnsi"/>
        </w:rPr>
        <w:t xml:space="preserve">Sb., </w:t>
      </w:r>
      <w:r w:rsidR="004D5A75" w:rsidRPr="0076137D">
        <w:rPr>
          <w:rFonts w:asciiTheme="majorHAnsi" w:hAnsiTheme="majorHAnsi" w:cstheme="majorHAnsi"/>
        </w:rPr>
        <w:t>zákon o dani z přidané hodnoty</w:t>
      </w:r>
      <w:r w:rsidR="00C056C3" w:rsidRPr="0076137D">
        <w:rPr>
          <w:rFonts w:asciiTheme="majorHAnsi" w:hAnsiTheme="majorHAnsi" w:cstheme="majorHAnsi"/>
        </w:rPr>
        <w:t xml:space="preserve"> společně se zákonem </w:t>
      </w:r>
      <w:r w:rsidR="005E0097" w:rsidRPr="0076137D">
        <w:rPr>
          <w:rFonts w:asciiTheme="majorHAnsi" w:hAnsiTheme="majorHAnsi" w:cstheme="majorHAnsi"/>
        </w:rPr>
        <w:t>č. 563/1991 Sb., o účetnictví</w:t>
      </w:r>
      <w:r w:rsidR="00D45C48" w:rsidRPr="0076137D">
        <w:rPr>
          <w:rFonts w:asciiTheme="majorHAnsi" w:hAnsiTheme="majorHAnsi" w:cstheme="majorHAnsi"/>
        </w:rPr>
        <w:t xml:space="preserve"> a zákonem číslo 280/2009 Sb., daňový řád</w:t>
      </w:r>
      <w:r w:rsidR="004D5A75" w:rsidRPr="0076137D">
        <w:rPr>
          <w:rFonts w:asciiTheme="majorHAnsi" w:hAnsiTheme="majorHAnsi" w:cstheme="majorHAnsi"/>
        </w:rPr>
        <w:t>.</w:t>
      </w:r>
      <w:r w:rsidR="00455265" w:rsidRPr="0076137D">
        <w:rPr>
          <w:rFonts w:asciiTheme="majorHAnsi" w:hAnsiTheme="majorHAnsi" w:cstheme="majorHAnsi"/>
        </w:rPr>
        <w:t xml:space="preserve"> Ve své práci bych rád dosáhl zhodnocení, zda se může založení svěřenského fondu vyplatit z daňového hlediska.</w:t>
      </w:r>
    </w:p>
    <w:p w14:paraId="2D42203D"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5CDBA258"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70EFF02B" w14:textId="77777777" w:rsidR="005E0097" w:rsidRPr="0076137D" w:rsidRDefault="005E0097" w:rsidP="0076137D">
      <w:pPr>
        <w:spacing w:line="360" w:lineRule="auto"/>
        <w:rPr>
          <w:rFonts w:asciiTheme="majorHAnsi" w:eastAsiaTheme="majorEastAsia" w:hAnsiTheme="majorHAnsi" w:cstheme="majorHAnsi"/>
          <w:color w:val="2F5496" w:themeColor="accent1" w:themeShade="BF"/>
        </w:rPr>
      </w:pPr>
    </w:p>
    <w:p w14:paraId="3FDD9888" w14:textId="77777777" w:rsidR="00B059F7" w:rsidRPr="0076137D" w:rsidRDefault="00314B55" w:rsidP="0076137D">
      <w:pPr>
        <w:pStyle w:val="Heading1"/>
        <w:spacing w:line="360" w:lineRule="auto"/>
        <w:rPr>
          <w:rFonts w:cstheme="majorHAnsi"/>
          <w:sz w:val="24"/>
          <w:szCs w:val="24"/>
        </w:rPr>
      </w:pPr>
      <w:bookmarkStart w:id="2" w:name="_Toc531730008"/>
      <w:r w:rsidRPr="0076137D">
        <w:rPr>
          <w:rFonts w:cstheme="majorHAnsi"/>
          <w:sz w:val="24"/>
          <w:szCs w:val="24"/>
        </w:rPr>
        <w:t xml:space="preserve">1. </w:t>
      </w:r>
      <w:r w:rsidRPr="0076137D">
        <w:rPr>
          <w:rStyle w:val="Heading1Char"/>
          <w:rFonts w:cstheme="majorHAnsi"/>
          <w:sz w:val="24"/>
          <w:szCs w:val="24"/>
        </w:rPr>
        <w:t xml:space="preserve">Zdanění svěřeneckých </w:t>
      </w:r>
      <w:r w:rsidRPr="0076137D">
        <w:rPr>
          <w:rStyle w:val="Heading2Char"/>
          <w:rFonts w:cstheme="majorHAnsi"/>
          <w:sz w:val="24"/>
          <w:szCs w:val="24"/>
        </w:rPr>
        <w:t>fondů</w:t>
      </w:r>
      <w:r w:rsidR="009F6EBE" w:rsidRPr="0076137D">
        <w:rPr>
          <w:rStyle w:val="Heading2Char"/>
          <w:rFonts w:cstheme="majorHAnsi"/>
          <w:sz w:val="24"/>
          <w:szCs w:val="24"/>
        </w:rPr>
        <w:t xml:space="preserve"> obecně</w:t>
      </w:r>
      <w:bookmarkEnd w:id="2"/>
    </w:p>
    <w:p w14:paraId="33317D70" w14:textId="77777777" w:rsidR="005E0097" w:rsidRPr="0076137D" w:rsidRDefault="00F71C52" w:rsidP="0076137D">
      <w:pPr>
        <w:spacing w:line="360" w:lineRule="auto"/>
        <w:rPr>
          <w:rFonts w:asciiTheme="majorHAnsi" w:hAnsiTheme="majorHAnsi" w:cstheme="majorHAnsi"/>
        </w:rPr>
      </w:pPr>
      <w:r w:rsidRPr="0076137D">
        <w:rPr>
          <w:rFonts w:asciiTheme="majorHAnsi" w:hAnsiTheme="majorHAnsi" w:cstheme="majorHAnsi"/>
        </w:rPr>
        <w:t xml:space="preserve">Zákon o daních z příjmů o svěřeneckém fondu říká v paragrafu 17, odstavce 1, písmene f </w:t>
      </w:r>
      <w:r w:rsidR="00B059F7" w:rsidRPr="0076137D">
        <w:rPr>
          <w:rFonts w:asciiTheme="majorHAnsi" w:hAnsiTheme="majorHAnsi" w:cstheme="majorHAnsi"/>
        </w:rPr>
        <w:t xml:space="preserve">a odstavce (2) </w:t>
      </w:r>
      <w:r w:rsidRPr="0076137D">
        <w:rPr>
          <w:rFonts w:asciiTheme="majorHAnsi" w:hAnsiTheme="majorHAnsi" w:cstheme="majorHAnsi"/>
        </w:rPr>
        <w:t>následující:</w:t>
      </w:r>
    </w:p>
    <w:p w14:paraId="0CA5F7F9" w14:textId="77777777" w:rsidR="00F71C52" w:rsidRPr="0076137D" w:rsidRDefault="00F71C52" w:rsidP="0076137D">
      <w:pPr>
        <w:pStyle w:val="l2"/>
        <w:spacing w:before="0" w:beforeAutospacing="0" w:after="0" w:afterAutospacing="0" w:line="360" w:lineRule="auto"/>
        <w:jc w:val="both"/>
        <w:rPr>
          <w:rFonts w:asciiTheme="majorHAnsi" w:hAnsiTheme="majorHAnsi" w:cstheme="majorHAnsi"/>
          <w:b/>
          <w:bCs/>
          <w:color w:val="000000" w:themeColor="text1"/>
        </w:rPr>
      </w:pPr>
    </w:p>
    <w:p w14:paraId="5626CD78" w14:textId="77777777" w:rsidR="00F71C52" w:rsidRPr="0076137D" w:rsidRDefault="00F71C52" w:rsidP="0076137D">
      <w:pPr>
        <w:pStyle w:val="l2"/>
        <w:spacing w:before="0" w:beforeAutospacing="0" w:after="0" w:afterAutospacing="0" w:line="360" w:lineRule="auto"/>
        <w:jc w:val="both"/>
        <w:rPr>
          <w:rFonts w:asciiTheme="majorHAnsi" w:hAnsiTheme="majorHAnsi" w:cstheme="majorHAnsi"/>
          <w:b/>
          <w:bCs/>
          <w:color w:val="000000" w:themeColor="text1"/>
        </w:rPr>
      </w:pPr>
      <w:r w:rsidRPr="0076137D">
        <w:rPr>
          <w:rFonts w:asciiTheme="majorHAnsi" w:hAnsiTheme="majorHAnsi" w:cstheme="majorHAnsi"/>
          <w:b/>
          <w:bCs/>
          <w:color w:val="000000" w:themeColor="text1"/>
        </w:rPr>
        <w:t xml:space="preserve">„§ 17 </w:t>
      </w:r>
      <w:r w:rsidRPr="0076137D">
        <w:rPr>
          <w:rFonts w:asciiTheme="majorHAnsi" w:hAnsiTheme="majorHAnsi" w:cstheme="majorHAnsi"/>
          <w:color w:val="000000" w:themeColor="text1"/>
        </w:rPr>
        <w:t>Poplatníci daně z příjmů právnických osob</w:t>
      </w:r>
    </w:p>
    <w:p w14:paraId="29A54F69" w14:textId="77777777" w:rsidR="00F71C52" w:rsidRPr="0076137D" w:rsidRDefault="00F71C52" w:rsidP="0076137D">
      <w:pPr>
        <w:pStyle w:val="l3"/>
        <w:numPr>
          <w:ilvl w:val="0"/>
          <w:numId w:val="2"/>
        </w:numPr>
        <w:spacing w:before="0" w:beforeAutospacing="0" w:after="0" w:afterAutospacing="0" w:line="360" w:lineRule="auto"/>
        <w:jc w:val="both"/>
        <w:rPr>
          <w:rFonts w:asciiTheme="majorHAnsi" w:hAnsiTheme="majorHAnsi" w:cstheme="majorHAnsi"/>
          <w:color w:val="000000" w:themeColor="text1"/>
        </w:rPr>
      </w:pPr>
      <w:r w:rsidRPr="0076137D">
        <w:rPr>
          <w:rFonts w:asciiTheme="majorHAnsi" w:hAnsiTheme="majorHAnsi" w:cstheme="majorHAnsi"/>
          <w:color w:val="000000" w:themeColor="text1"/>
        </w:rPr>
        <w:t>Poplatníkem daně z příjmů právnických osob je</w:t>
      </w:r>
    </w:p>
    <w:p w14:paraId="45E42851" w14:textId="77777777" w:rsidR="00F71C52" w:rsidRPr="0076137D" w:rsidRDefault="00F71C52" w:rsidP="0076137D">
      <w:pPr>
        <w:pStyle w:val="ListParagraph"/>
        <w:spacing w:line="360" w:lineRule="auto"/>
        <w:rPr>
          <w:rFonts w:asciiTheme="majorHAnsi" w:eastAsia="Times New Roman" w:hAnsiTheme="majorHAnsi" w:cstheme="majorHAnsi"/>
          <w:color w:val="000000" w:themeColor="text1"/>
        </w:rPr>
      </w:pPr>
      <w:r w:rsidRPr="0076137D">
        <w:rPr>
          <w:rFonts w:asciiTheme="majorHAnsi" w:eastAsia="Times New Roman" w:hAnsiTheme="majorHAnsi" w:cstheme="majorHAnsi"/>
          <w:b/>
          <w:bCs/>
          <w:color w:val="000000" w:themeColor="text1"/>
        </w:rPr>
        <w:t>f)</w:t>
      </w:r>
      <w:r w:rsidRPr="0076137D">
        <w:rPr>
          <w:rFonts w:asciiTheme="majorHAnsi" w:eastAsia="Times New Roman" w:hAnsiTheme="majorHAnsi" w:cstheme="majorHAnsi"/>
          <w:color w:val="000000" w:themeColor="text1"/>
        </w:rPr>
        <w:t> svěřenský fond podle občanského zákoníku,“</w:t>
      </w:r>
      <w:r w:rsidRPr="0076137D">
        <w:rPr>
          <w:rStyle w:val="FootnoteReference"/>
          <w:rFonts w:asciiTheme="majorHAnsi" w:eastAsia="Times New Roman" w:hAnsiTheme="majorHAnsi" w:cstheme="majorHAnsi"/>
          <w:color w:val="000000" w:themeColor="text1"/>
        </w:rPr>
        <w:footnoteReference w:id="1"/>
      </w:r>
    </w:p>
    <w:p w14:paraId="5CEB759A"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500B8E67"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6662F01D" w14:textId="77777777" w:rsidR="00B059F7" w:rsidRPr="00B059F7" w:rsidRDefault="00B059F7" w:rsidP="0076137D">
      <w:pPr>
        <w:spacing w:line="360" w:lineRule="auto"/>
        <w:rPr>
          <w:rFonts w:asciiTheme="majorHAnsi" w:eastAsia="Times New Roman" w:hAnsiTheme="majorHAnsi" w:cstheme="majorHAnsi"/>
        </w:rPr>
      </w:pPr>
      <w:r w:rsidRPr="0076137D">
        <w:rPr>
          <w:rFonts w:asciiTheme="majorHAnsi" w:eastAsia="Times New Roman" w:hAnsiTheme="majorHAnsi" w:cstheme="majorHAnsi"/>
          <w:b/>
          <w:bCs/>
          <w:color w:val="000000"/>
        </w:rPr>
        <w:t>„(3)</w:t>
      </w:r>
      <w:r w:rsidRPr="0076137D">
        <w:rPr>
          <w:rFonts w:asciiTheme="majorHAnsi" w:eastAsia="Times New Roman" w:hAnsiTheme="majorHAnsi" w:cstheme="majorHAnsi"/>
          <w:color w:val="000000"/>
        </w:rPr>
        <w:t> </w:t>
      </w:r>
      <w:r w:rsidRPr="00B059F7">
        <w:rPr>
          <w:rFonts w:asciiTheme="majorHAnsi" w:eastAsia="Times New Roman" w:hAnsiTheme="majorHAnsi" w:cstheme="majorHAnsi"/>
          <w:color w:val="000000"/>
        </w:rPr>
        <w:t>Poplatníci jsou daňovými rezidenty České republiky, pokud mají na území České republiky své sídlo nebo místo svého vedení, kterým se rozumí adresa místa, ze kterého je poplatník řízen (dále jen „sídlo“). Daňoví rezidenti České republiky mají daňovou povinnost, která se vztahuje jak na příjmy plynoucí ze zdroje na území České republiky, tak i na příjmy plynoucí ze zdrojů v zahraničí.</w:t>
      </w:r>
      <w:r w:rsidRPr="0076137D">
        <w:rPr>
          <w:rFonts w:asciiTheme="majorHAnsi" w:eastAsia="Times New Roman" w:hAnsiTheme="majorHAnsi" w:cstheme="majorHAnsi"/>
          <w:color w:val="000000"/>
        </w:rPr>
        <w:t>“</w:t>
      </w:r>
      <w:r w:rsidRPr="0076137D">
        <w:rPr>
          <w:rStyle w:val="FootnoteReference"/>
          <w:rFonts w:asciiTheme="majorHAnsi" w:eastAsia="Times New Roman" w:hAnsiTheme="majorHAnsi" w:cstheme="majorHAnsi"/>
          <w:color w:val="000000"/>
        </w:rPr>
        <w:footnoteReference w:id="2"/>
      </w:r>
      <w:r w:rsidRPr="0076137D">
        <w:rPr>
          <w:rFonts w:asciiTheme="majorHAnsi" w:eastAsia="Times New Roman" w:hAnsiTheme="majorHAnsi" w:cstheme="majorHAnsi"/>
          <w:color w:val="000000"/>
        </w:rPr>
        <w:t> </w:t>
      </w:r>
    </w:p>
    <w:p w14:paraId="7CA27B8C" w14:textId="77777777" w:rsidR="00B059F7" w:rsidRPr="0076137D" w:rsidRDefault="00B059F7" w:rsidP="0076137D">
      <w:pPr>
        <w:pStyle w:val="ListParagraph"/>
        <w:spacing w:line="360" w:lineRule="auto"/>
        <w:rPr>
          <w:rFonts w:asciiTheme="majorHAnsi" w:eastAsia="Times New Roman" w:hAnsiTheme="majorHAnsi" w:cstheme="majorHAnsi"/>
          <w:color w:val="000000" w:themeColor="text1"/>
        </w:rPr>
      </w:pPr>
    </w:p>
    <w:p w14:paraId="006AA319" w14:textId="77777777" w:rsidR="00F71C52" w:rsidRPr="0076137D" w:rsidRDefault="00F71C52" w:rsidP="0076137D">
      <w:pPr>
        <w:pStyle w:val="l3"/>
        <w:spacing w:before="0" w:beforeAutospacing="0" w:after="0" w:afterAutospacing="0" w:line="360" w:lineRule="auto"/>
        <w:ind w:left="720"/>
        <w:jc w:val="both"/>
        <w:rPr>
          <w:rFonts w:asciiTheme="majorHAnsi" w:hAnsiTheme="majorHAnsi" w:cstheme="majorHAnsi"/>
          <w:color w:val="000000" w:themeColor="text1"/>
        </w:rPr>
      </w:pPr>
    </w:p>
    <w:p w14:paraId="15FFA5AA" w14:textId="77777777" w:rsidR="00F71C52"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Z</w:t>
      </w:r>
      <w:r w:rsidR="00855F57" w:rsidRPr="0076137D">
        <w:rPr>
          <w:rFonts w:asciiTheme="majorHAnsi" w:hAnsiTheme="majorHAnsi" w:cstheme="majorHAnsi"/>
        </w:rPr>
        <w:t> NOZ víme, že svěřen</w:t>
      </w:r>
      <w:r w:rsidR="007737F1" w:rsidRPr="0076137D">
        <w:rPr>
          <w:rFonts w:asciiTheme="majorHAnsi" w:hAnsiTheme="majorHAnsi" w:cstheme="majorHAnsi"/>
        </w:rPr>
        <w:t>s</w:t>
      </w:r>
      <w:r w:rsidR="00855F57" w:rsidRPr="0076137D">
        <w:rPr>
          <w:rFonts w:asciiTheme="majorHAnsi" w:hAnsiTheme="majorHAnsi" w:cstheme="majorHAnsi"/>
        </w:rPr>
        <w:t xml:space="preserve">ký fond je velice specifická forma právní entity, která nemá právní </w:t>
      </w:r>
      <w:r w:rsidR="00B059F7" w:rsidRPr="0076137D">
        <w:rPr>
          <w:rFonts w:asciiTheme="majorHAnsi" w:hAnsiTheme="majorHAnsi" w:cstheme="majorHAnsi"/>
        </w:rPr>
        <w:t>subjektivitu,</w:t>
      </w:r>
      <w:r w:rsidR="007737F1" w:rsidRPr="0076137D">
        <w:rPr>
          <w:rFonts w:asciiTheme="majorHAnsi" w:hAnsiTheme="majorHAnsi" w:cstheme="majorHAnsi"/>
        </w:rPr>
        <w:t xml:space="preserve"> a přesto se na něj v tomto případě nahlíží jako na právnickou osob</w:t>
      </w:r>
      <w:r w:rsidR="00BF002E" w:rsidRPr="0076137D">
        <w:rPr>
          <w:rFonts w:asciiTheme="majorHAnsi" w:hAnsiTheme="majorHAnsi" w:cstheme="majorHAnsi"/>
        </w:rPr>
        <w:t>u</w:t>
      </w:r>
      <w:r w:rsidR="00B059F7" w:rsidRPr="0076137D">
        <w:rPr>
          <w:rFonts w:asciiTheme="majorHAnsi" w:hAnsiTheme="majorHAnsi" w:cstheme="majorHAnsi"/>
        </w:rPr>
        <w:t>, která je podle výše zmíněného paragrafu poplatníkem daně z příjmu právnických osob.</w:t>
      </w:r>
      <w:r w:rsidR="007737F1" w:rsidRPr="0076137D">
        <w:rPr>
          <w:rFonts w:asciiTheme="majorHAnsi" w:hAnsiTheme="majorHAnsi" w:cstheme="majorHAnsi"/>
        </w:rPr>
        <w:t xml:space="preserve"> (obdobně se na ní nahlíží pro účel daně z přidané hodnoty, k tomuto se dále dostanu)</w:t>
      </w:r>
      <w:r w:rsidR="00BF002E" w:rsidRPr="0076137D">
        <w:rPr>
          <w:rFonts w:asciiTheme="majorHAnsi" w:hAnsiTheme="majorHAnsi" w:cstheme="majorHAnsi"/>
        </w:rPr>
        <w:t xml:space="preserve">. </w:t>
      </w:r>
      <w:r w:rsidR="00B059F7" w:rsidRPr="0076137D">
        <w:rPr>
          <w:rFonts w:asciiTheme="majorHAnsi" w:hAnsiTheme="majorHAnsi" w:cstheme="majorHAnsi"/>
        </w:rPr>
        <w:t xml:space="preserve">Pokud byl dále podle odstavce (3) založen na území České republiky, tak je českým daňovým rezidentem. </w:t>
      </w:r>
      <w:r w:rsidR="00BF002E" w:rsidRPr="0076137D">
        <w:rPr>
          <w:rFonts w:asciiTheme="majorHAnsi" w:hAnsiTheme="majorHAnsi" w:cstheme="majorHAnsi"/>
        </w:rPr>
        <w:t>Pro účely zákona o daních z příjmu je svěřenskému fondu přiznána daňová subjektivita.</w:t>
      </w:r>
    </w:p>
    <w:p w14:paraId="0B832B5A" w14:textId="77777777" w:rsidR="00D45C48" w:rsidRPr="0076137D" w:rsidRDefault="00D45C48" w:rsidP="0076137D">
      <w:pPr>
        <w:spacing w:line="360" w:lineRule="auto"/>
        <w:rPr>
          <w:rFonts w:asciiTheme="majorHAnsi" w:hAnsiTheme="majorHAnsi" w:cstheme="majorHAnsi"/>
        </w:rPr>
      </w:pPr>
    </w:p>
    <w:p w14:paraId="4222CA57" w14:textId="77777777" w:rsidR="00D45C48"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 xml:space="preserve">Nicméně s ohledem na výše uvedený paragraf je potřebné si zmínit za jakým účelem byl svěřenský fond založen, zda za veřejně prospěšným, nebo za soukromým. Zákon o dani z příjmu totiž nahlíží jinak na entity založené za veřejným a soukromým účelem. </w:t>
      </w:r>
    </w:p>
    <w:p w14:paraId="4BB934FF" w14:textId="77777777" w:rsidR="00D45C48" w:rsidRPr="0076137D" w:rsidRDefault="00D45C48" w:rsidP="0076137D">
      <w:pPr>
        <w:spacing w:line="360" w:lineRule="auto"/>
        <w:rPr>
          <w:rFonts w:asciiTheme="majorHAnsi" w:eastAsia="Times New Roman" w:hAnsiTheme="majorHAnsi" w:cstheme="majorHAnsi"/>
        </w:rPr>
      </w:pPr>
      <w:r w:rsidRPr="0076137D">
        <w:rPr>
          <w:rFonts w:asciiTheme="majorHAnsi" w:eastAsia="Times New Roman" w:hAnsiTheme="majorHAnsi" w:cstheme="majorHAnsi"/>
          <w:b/>
          <w:bCs/>
          <w:color w:val="000000"/>
        </w:rPr>
        <w:lastRenderedPageBreak/>
        <w:t>„(1)</w:t>
      </w:r>
      <w:r w:rsidRPr="0076137D">
        <w:rPr>
          <w:rFonts w:asciiTheme="majorHAnsi" w:eastAsia="Times New Roman" w:hAnsiTheme="majorHAnsi" w:cstheme="majorHAnsi"/>
          <w:color w:val="000000"/>
        </w:rPr>
        <w:t> </w:t>
      </w:r>
      <w:r w:rsidRPr="00D45C48">
        <w:rPr>
          <w:rFonts w:asciiTheme="majorHAnsi" w:eastAsia="Times New Roman" w:hAnsiTheme="majorHAnsi" w:cstheme="majorHAnsi"/>
          <w:color w:val="000000"/>
        </w:rPr>
        <w:t>Veřejně prospěšným poplatníkem je poplatník, který v souladu se svým zakladatelským právním jednáním, statutem, stanovami, zákonem nebo rozhodnutím orgánu veřejné moci jako svou hlavní činnost vykonává činnost, která není podnikáním.</w:t>
      </w:r>
      <w:r w:rsidRPr="0076137D">
        <w:rPr>
          <w:rFonts w:asciiTheme="majorHAnsi" w:eastAsia="Times New Roman" w:hAnsiTheme="majorHAnsi" w:cstheme="majorHAnsi"/>
          <w:color w:val="000000"/>
        </w:rPr>
        <w:t>“</w:t>
      </w:r>
      <w:r w:rsidRPr="0076137D">
        <w:rPr>
          <w:rStyle w:val="FootnoteReference"/>
          <w:rFonts w:asciiTheme="majorHAnsi" w:eastAsia="Times New Roman" w:hAnsiTheme="majorHAnsi" w:cstheme="majorHAnsi"/>
          <w:color w:val="000000"/>
        </w:rPr>
        <w:footnoteReference w:id="3"/>
      </w:r>
    </w:p>
    <w:p w14:paraId="1B330470" w14:textId="77777777" w:rsidR="00D45C48" w:rsidRPr="0076137D" w:rsidRDefault="00D45C48" w:rsidP="0076137D">
      <w:pPr>
        <w:spacing w:line="360" w:lineRule="auto"/>
        <w:rPr>
          <w:rFonts w:asciiTheme="majorHAnsi" w:hAnsiTheme="majorHAnsi" w:cstheme="majorHAnsi"/>
        </w:rPr>
      </w:pPr>
      <w:r w:rsidRPr="0076137D">
        <w:rPr>
          <w:rFonts w:asciiTheme="majorHAnsi" w:hAnsiTheme="majorHAnsi" w:cstheme="majorHAnsi"/>
        </w:rPr>
        <w:t>Poplatník, který je založen k veřejně prospěšnému účelu totiž funguje ve zvláštním režimu dle paragrafu 18a.</w:t>
      </w:r>
    </w:p>
    <w:p w14:paraId="0F3E0273" w14:textId="77777777" w:rsidR="00ED2A24" w:rsidRPr="0076137D" w:rsidRDefault="00ED2A24" w:rsidP="0076137D">
      <w:pPr>
        <w:spacing w:line="360" w:lineRule="auto"/>
        <w:rPr>
          <w:rFonts w:asciiTheme="majorHAnsi" w:hAnsiTheme="majorHAnsi" w:cstheme="majorHAnsi"/>
        </w:rPr>
      </w:pPr>
    </w:p>
    <w:p w14:paraId="58F0AD5F" w14:textId="77777777" w:rsidR="00ED2A24" w:rsidRPr="0076137D" w:rsidRDefault="0015360F" w:rsidP="0076137D">
      <w:pPr>
        <w:spacing w:line="360" w:lineRule="auto"/>
        <w:rPr>
          <w:rFonts w:asciiTheme="majorHAnsi" w:hAnsiTheme="majorHAnsi" w:cstheme="majorHAnsi"/>
        </w:rPr>
      </w:pPr>
      <w:r w:rsidRPr="0076137D">
        <w:rPr>
          <w:rFonts w:asciiTheme="majorHAnsi" w:hAnsiTheme="majorHAnsi" w:cstheme="majorHAnsi"/>
        </w:rPr>
        <w:t>Výše jsem v závorce zmínil, že pro účely DPH zákon nahlíží na svěřenský fond jako na právnickou osobu. Toto stanovuje zákon o dani z přidané hodnoty v paragrafu 4b, odstavec 2:</w:t>
      </w:r>
    </w:p>
    <w:p w14:paraId="24380D2D" w14:textId="77777777" w:rsidR="0015360F" w:rsidRPr="0076137D" w:rsidRDefault="0015360F" w:rsidP="0076137D">
      <w:pPr>
        <w:spacing w:line="360" w:lineRule="auto"/>
        <w:rPr>
          <w:rFonts w:asciiTheme="majorHAnsi" w:hAnsiTheme="majorHAnsi" w:cstheme="majorHAnsi"/>
        </w:rPr>
      </w:pPr>
    </w:p>
    <w:p w14:paraId="155E2DE6"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b/>
          <w:bCs/>
          <w:color w:val="000000"/>
        </w:rPr>
        <w:t>„(2)</w:t>
      </w:r>
      <w:r w:rsidRPr="0076137D">
        <w:rPr>
          <w:rFonts w:asciiTheme="majorHAnsi" w:eastAsia="Times New Roman" w:hAnsiTheme="majorHAnsi" w:cstheme="majorHAnsi"/>
          <w:color w:val="000000"/>
          <w:shd w:val="clear" w:color="auto" w:fill="FFFFFF"/>
        </w:rPr>
        <w:t> </w:t>
      </w:r>
      <w:r w:rsidRPr="0015360F">
        <w:rPr>
          <w:rFonts w:asciiTheme="majorHAnsi" w:eastAsia="Times New Roman" w:hAnsiTheme="majorHAnsi" w:cstheme="majorHAnsi"/>
          <w:color w:val="000000"/>
          <w:shd w:val="clear" w:color="auto" w:fill="FFFFFF"/>
        </w:rPr>
        <w:t>Pro účely tohoto zákona se na svěřenský fond, podílový fond, podfond investičního fondu a organizační složku státu, která je účetní jednotkou, hledí jako na právnickou osobu.</w:t>
      </w:r>
      <w:r w:rsidRPr="0076137D">
        <w:rPr>
          <w:rFonts w:asciiTheme="majorHAnsi" w:eastAsia="Times New Roman" w:hAnsiTheme="majorHAnsi" w:cstheme="majorHAnsi"/>
          <w:color w:val="000000"/>
          <w:shd w:val="clear" w:color="auto" w:fill="FFFFFF"/>
        </w:rPr>
        <w:t>“</w:t>
      </w:r>
      <w:r w:rsidR="00FB25D5" w:rsidRPr="0076137D">
        <w:rPr>
          <w:rStyle w:val="FootnoteReference"/>
          <w:rFonts w:asciiTheme="majorHAnsi" w:eastAsia="Times New Roman" w:hAnsiTheme="majorHAnsi" w:cstheme="majorHAnsi"/>
          <w:color w:val="000000"/>
          <w:shd w:val="clear" w:color="auto" w:fill="FFFFFF"/>
        </w:rPr>
        <w:footnoteReference w:id="4"/>
      </w:r>
    </w:p>
    <w:p w14:paraId="59138D05"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Z tohoto plyne, že se svěřenský fond může stát plátcem daně z přidané hodnoty podle paragrafu 6 téhož zákona.</w:t>
      </w:r>
    </w:p>
    <w:p w14:paraId="5E15E90F"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p>
    <w:p w14:paraId="099AC20A" w14:textId="77777777" w:rsidR="00212DF7" w:rsidRPr="0076137D" w:rsidRDefault="00212DF7"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 xml:space="preserve">Další </w:t>
      </w:r>
      <w:r w:rsidR="00D45C48" w:rsidRPr="0076137D">
        <w:rPr>
          <w:rFonts w:asciiTheme="majorHAnsi" w:eastAsia="Times New Roman" w:hAnsiTheme="majorHAnsi" w:cstheme="majorHAnsi"/>
          <w:color w:val="000000"/>
          <w:shd w:val="clear" w:color="auto" w:fill="FFFFFF"/>
        </w:rPr>
        <w:t>daně jejichž může být svěřenský fond za určitých okolností poplatníkem jsou:</w:t>
      </w:r>
    </w:p>
    <w:p w14:paraId="1112A817"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Daň ze staveb a pozemků</w:t>
      </w:r>
    </w:p>
    <w:p w14:paraId="13C74583"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Daň z nabytí nemovitých věcí</w:t>
      </w:r>
    </w:p>
    <w:p w14:paraId="5EC26D2F" w14:textId="77777777" w:rsidR="00D45C48" w:rsidRPr="0076137D" w:rsidRDefault="00D45C48" w:rsidP="0076137D">
      <w:pPr>
        <w:pStyle w:val="ListParagraph"/>
        <w:numPr>
          <w:ilvl w:val="0"/>
          <w:numId w:val="5"/>
        </w:num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Silniční daň</w:t>
      </w:r>
    </w:p>
    <w:p w14:paraId="63E37F8F"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r w:rsidRPr="0076137D">
        <w:rPr>
          <w:rFonts w:asciiTheme="majorHAnsi" w:eastAsia="Times New Roman" w:hAnsiTheme="majorHAnsi" w:cstheme="majorHAnsi"/>
          <w:color w:val="000000"/>
          <w:shd w:val="clear" w:color="auto" w:fill="FFFFFF"/>
        </w:rPr>
        <w:t>Správou práv a povinností v souvislosti s daňovým zatížením svěřenských fondů je pověřen svěřenský správce dle §20 zákona č. 280/2009 Sb., daňový řád, který stanovuje s ohledem na výše uvedenou větu následující:</w:t>
      </w:r>
    </w:p>
    <w:p w14:paraId="29A188D6" w14:textId="77777777" w:rsidR="0015360F" w:rsidRPr="0076137D" w:rsidRDefault="0015360F" w:rsidP="0076137D">
      <w:pPr>
        <w:spacing w:line="360" w:lineRule="auto"/>
        <w:rPr>
          <w:rFonts w:asciiTheme="majorHAnsi" w:eastAsia="Times New Roman" w:hAnsiTheme="majorHAnsi" w:cstheme="majorHAnsi"/>
          <w:color w:val="000000"/>
          <w:shd w:val="clear" w:color="auto" w:fill="FFFFFF"/>
        </w:rPr>
      </w:pPr>
    </w:p>
    <w:p w14:paraId="350B4532" w14:textId="77777777" w:rsidR="0015360F" w:rsidRPr="0076137D" w:rsidRDefault="0015360F" w:rsidP="0076137D">
      <w:pPr>
        <w:pStyle w:val="l5"/>
        <w:spacing w:before="0" w:beforeAutospacing="0" w:after="0" w:afterAutospacing="0" w:line="360" w:lineRule="auto"/>
        <w:jc w:val="both"/>
        <w:rPr>
          <w:rFonts w:asciiTheme="majorHAnsi" w:hAnsiTheme="majorHAnsi" w:cstheme="majorHAnsi"/>
          <w:b/>
          <w:bCs/>
          <w:color w:val="000000" w:themeColor="text1"/>
        </w:rPr>
      </w:pPr>
      <w:r w:rsidRPr="0076137D">
        <w:rPr>
          <w:rFonts w:asciiTheme="majorHAnsi" w:hAnsiTheme="majorHAnsi" w:cstheme="majorHAnsi"/>
          <w:b/>
          <w:bCs/>
          <w:color w:val="000000" w:themeColor="text1"/>
        </w:rPr>
        <w:t>„§ 20</w:t>
      </w:r>
    </w:p>
    <w:p w14:paraId="0C6A65A3"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themeColor="text1"/>
        </w:rPr>
        <w:t>(1)</w:t>
      </w:r>
      <w:r w:rsidRPr="0076137D">
        <w:rPr>
          <w:rStyle w:val="apple-converted-space"/>
          <w:rFonts w:asciiTheme="majorHAnsi" w:hAnsiTheme="majorHAnsi" w:cstheme="majorHAnsi"/>
          <w:color w:val="000000" w:themeColor="text1"/>
        </w:rPr>
        <w:t> </w:t>
      </w:r>
      <w:r w:rsidRPr="0076137D">
        <w:rPr>
          <w:rFonts w:asciiTheme="majorHAnsi" w:hAnsiTheme="majorHAnsi" w:cstheme="majorHAnsi"/>
          <w:color w:val="000000" w:themeColor="text1"/>
        </w:rPr>
        <w:t xml:space="preserve">Daňovým subjektem je osoba, kterou za daňový subjekt označuje zákon, jakož i osoba, kterou zákon </w:t>
      </w:r>
      <w:r w:rsidRPr="0076137D">
        <w:rPr>
          <w:rFonts w:asciiTheme="majorHAnsi" w:hAnsiTheme="majorHAnsi" w:cstheme="majorHAnsi"/>
          <w:color w:val="000000"/>
        </w:rPr>
        <w:t>označuje jako poplatníka nebo jako plátce daně.</w:t>
      </w:r>
    </w:p>
    <w:p w14:paraId="68C9C2DA"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rPr>
        <w:t>(2)</w:t>
      </w:r>
      <w:r w:rsidRPr="0076137D">
        <w:rPr>
          <w:rStyle w:val="apple-converted-space"/>
          <w:rFonts w:asciiTheme="majorHAnsi" w:hAnsiTheme="majorHAnsi" w:cstheme="majorHAnsi"/>
          <w:color w:val="000000"/>
        </w:rPr>
        <w:t> </w:t>
      </w:r>
      <w:r w:rsidRPr="0076137D">
        <w:rPr>
          <w:rFonts w:asciiTheme="majorHAnsi" w:hAnsiTheme="majorHAnsi" w:cstheme="majorHAnsi"/>
          <w:color w:val="000000"/>
        </w:rPr>
        <w:t>Daňový subjekt má práva a povinnosti týkající se správného zjištění a stanovení daně po dobu běhu lhůty pro stanovení daně a při placení daně po dobu, ve které lze požadovat placení nedoplatku, a to i v případech, kdy přestal být daňovým subjektem.</w:t>
      </w:r>
    </w:p>
    <w:p w14:paraId="1F451E95"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Style w:val="HTMLVariable"/>
          <w:rFonts w:asciiTheme="majorHAnsi" w:hAnsiTheme="majorHAnsi" w:cstheme="majorHAnsi"/>
          <w:b/>
          <w:bCs/>
          <w:i w:val="0"/>
          <w:iCs w:val="0"/>
          <w:color w:val="000000"/>
        </w:rPr>
        <w:lastRenderedPageBreak/>
        <w:t>(3)</w:t>
      </w:r>
      <w:r w:rsidRPr="0076137D">
        <w:rPr>
          <w:rStyle w:val="apple-converted-space"/>
          <w:rFonts w:asciiTheme="majorHAnsi" w:hAnsiTheme="majorHAnsi" w:cstheme="majorHAnsi"/>
          <w:color w:val="000000"/>
        </w:rPr>
        <w:t> </w:t>
      </w:r>
      <w:r w:rsidRPr="0076137D">
        <w:rPr>
          <w:rFonts w:asciiTheme="majorHAnsi" w:hAnsiTheme="majorHAnsi" w:cstheme="majorHAnsi"/>
          <w:color w:val="000000"/>
        </w:rPr>
        <w:t>Osoby ustanovené podle zákona, které plní povinnosti stanovené daňovým subjektům, zejména osoba spravující pozůstalost, svěřenský správce a insolvenční správce, mají stejná práva a povinnosti jako daňový subjekt.“</w:t>
      </w:r>
      <w:r w:rsidR="00FB25D5" w:rsidRPr="0076137D">
        <w:rPr>
          <w:rStyle w:val="FootnoteReference"/>
          <w:rFonts w:asciiTheme="majorHAnsi" w:hAnsiTheme="majorHAnsi" w:cstheme="majorHAnsi"/>
          <w:color w:val="000000"/>
        </w:rPr>
        <w:footnoteReference w:id="5"/>
      </w:r>
    </w:p>
    <w:p w14:paraId="39B2F77F"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p>
    <w:p w14:paraId="21CD93E9" w14:textId="77777777" w:rsidR="0015360F" w:rsidRPr="0076137D" w:rsidRDefault="0015360F" w:rsidP="0076137D">
      <w:pPr>
        <w:pStyle w:val="l6"/>
        <w:spacing w:before="0" w:beforeAutospacing="0" w:after="0" w:afterAutospacing="0" w:line="360" w:lineRule="auto"/>
        <w:jc w:val="both"/>
        <w:rPr>
          <w:rFonts w:asciiTheme="majorHAnsi" w:hAnsiTheme="majorHAnsi" w:cstheme="majorHAnsi"/>
          <w:color w:val="000000"/>
        </w:rPr>
      </w:pPr>
      <w:r w:rsidRPr="0076137D">
        <w:rPr>
          <w:rFonts w:asciiTheme="majorHAnsi" w:hAnsiTheme="majorHAnsi" w:cstheme="majorHAnsi"/>
          <w:color w:val="000000"/>
        </w:rPr>
        <w:t xml:space="preserve">Pro tuto práci je především důležitý odstavec číslo 3, který stanovuje, že pro účely </w:t>
      </w:r>
      <w:r w:rsidR="00983483" w:rsidRPr="0076137D">
        <w:rPr>
          <w:rFonts w:asciiTheme="majorHAnsi" w:hAnsiTheme="majorHAnsi" w:cstheme="majorHAnsi"/>
          <w:color w:val="000000"/>
        </w:rPr>
        <w:t>správy povinností týkajících se všech náležitostí daně má svěřenský správce stejná práva a povinnosti jako daňový subjekt – tedy zajišťovat nám velice dobře známé věci jako například – podávat daňové přiznání, souhrnné hlášení, kontrolní hlášení, komunikovat se správcem daně a podobně.</w:t>
      </w:r>
    </w:p>
    <w:p w14:paraId="66B02423" w14:textId="77777777" w:rsidR="0015360F" w:rsidRPr="0015360F" w:rsidRDefault="0015360F" w:rsidP="0076137D">
      <w:pPr>
        <w:spacing w:line="360" w:lineRule="auto"/>
        <w:rPr>
          <w:rFonts w:asciiTheme="majorHAnsi" w:eastAsia="Times New Roman" w:hAnsiTheme="majorHAnsi" w:cstheme="majorHAnsi"/>
          <w:color w:val="000000"/>
          <w:shd w:val="clear" w:color="auto" w:fill="FFFFFF"/>
        </w:rPr>
      </w:pPr>
    </w:p>
    <w:p w14:paraId="0E675265" w14:textId="77777777" w:rsidR="0015360F" w:rsidRPr="0076137D" w:rsidRDefault="0015360F" w:rsidP="0076137D">
      <w:pPr>
        <w:spacing w:line="360" w:lineRule="auto"/>
        <w:rPr>
          <w:rFonts w:asciiTheme="majorHAnsi" w:hAnsiTheme="majorHAnsi" w:cstheme="majorHAnsi"/>
        </w:rPr>
      </w:pPr>
    </w:p>
    <w:p w14:paraId="2CD0B3F3" w14:textId="77777777" w:rsidR="00FB0D21" w:rsidRPr="0076137D" w:rsidRDefault="00FB0D21" w:rsidP="0076137D">
      <w:pPr>
        <w:pStyle w:val="Heading2"/>
        <w:spacing w:line="360" w:lineRule="auto"/>
        <w:rPr>
          <w:rFonts w:cstheme="majorHAnsi"/>
          <w:sz w:val="24"/>
          <w:szCs w:val="24"/>
        </w:rPr>
      </w:pPr>
      <w:bookmarkStart w:id="3" w:name="_Toc531730009"/>
      <w:r w:rsidRPr="0076137D">
        <w:rPr>
          <w:rFonts w:cstheme="majorHAnsi"/>
          <w:sz w:val="24"/>
          <w:szCs w:val="24"/>
        </w:rPr>
        <w:t>1.1 Účetnictví svěřenského fondu</w:t>
      </w:r>
      <w:bookmarkEnd w:id="3"/>
    </w:p>
    <w:p w14:paraId="5D944126" w14:textId="77777777" w:rsidR="003E76D4" w:rsidRPr="0076137D" w:rsidRDefault="0071500C" w:rsidP="0076137D">
      <w:pPr>
        <w:spacing w:line="360" w:lineRule="auto"/>
        <w:rPr>
          <w:rFonts w:asciiTheme="majorHAnsi" w:eastAsia="Times New Roman" w:hAnsiTheme="majorHAnsi" w:cstheme="majorHAnsi"/>
          <w:color w:val="000000"/>
          <w:shd w:val="clear" w:color="auto" w:fill="FFFFFF"/>
        </w:rPr>
      </w:pPr>
      <w:r w:rsidRPr="0076137D">
        <w:rPr>
          <w:rFonts w:asciiTheme="majorHAnsi" w:hAnsiTheme="majorHAnsi" w:cstheme="majorHAnsi"/>
        </w:rPr>
        <w:t xml:space="preserve">Výše jsem obecně </w:t>
      </w:r>
      <w:r w:rsidR="003E76D4" w:rsidRPr="0076137D">
        <w:rPr>
          <w:rFonts w:asciiTheme="majorHAnsi" w:hAnsiTheme="majorHAnsi" w:cstheme="majorHAnsi"/>
        </w:rPr>
        <w:t>popsal,</w:t>
      </w:r>
      <w:r w:rsidRPr="0076137D">
        <w:rPr>
          <w:rFonts w:asciiTheme="majorHAnsi" w:hAnsiTheme="majorHAnsi" w:cstheme="majorHAnsi"/>
        </w:rPr>
        <w:t xml:space="preserve"> jakým způsobem je upraveno zdanění svěřenský fond</w:t>
      </w:r>
      <w:r w:rsidR="003E76D4" w:rsidRPr="0076137D">
        <w:rPr>
          <w:rFonts w:asciiTheme="majorHAnsi" w:hAnsiTheme="majorHAnsi" w:cstheme="majorHAnsi"/>
        </w:rPr>
        <w:t>ů</w:t>
      </w:r>
      <w:r w:rsidRPr="0076137D">
        <w:rPr>
          <w:rFonts w:asciiTheme="majorHAnsi" w:hAnsiTheme="majorHAnsi" w:cstheme="majorHAnsi"/>
        </w:rPr>
        <w:t xml:space="preserve">. V této subkapitole bude následovat krátký popis zaměřený na úpravu vedení účetnictví svěřenského fondu. </w:t>
      </w:r>
      <w:r w:rsidR="003E76D4" w:rsidRPr="0076137D">
        <w:rPr>
          <w:rFonts w:asciiTheme="majorHAnsi" w:hAnsiTheme="majorHAnsi" w:cstheme="majorHAnsi"/>
        </w:rPr>
        <w:t xml:space="preserve">Dle paragrafu 1, odstavce 2, písmene i) </w:t>
      </w:r>
      <w:r w:rsidR="00FB25D5" w:rsidRPr="0076137D">
        <w:rPr>
          <w:rFonts w:asciiTheme="majorHAnsi" w:hAnsiTheme="majorHAnsi" w:cstheme="majorHAnsi"/>
        </w:rPr>
        <w:t xml:space="preserve">zákona č. 563/1991 Sb., </w:t>
      </w:r>
      <w:r w:rsidR="003E76D4" w:rsidRPr="0076137D">
        <w:rPr>
          <w:rFonts w:asciiTheme="majorHAnsi" w:hAnsiTheme="majorHAnsi" w:cstheme="majorHAnsi"/>
        </w:rPr>
        <w:t>se tento zákon vztahuje i na svěřenské fondy, označuje tedy svěřenský fond jako účetní jednotku a z toho důvodu je svěřenský fond povinen vést účetnictví. Dle §4a odstavce (1)</w:t>
      </w:r>
      <w:r w:rsidR="00FB25D5" w:rsidRPr="0076137D">
        <w:rPr>
          <w:rFonts w:asciiTheme="majorHAnsi" w:hAnsiTheme="majorHAnsi" w:cstheme="majorHAnsi"/>
        </w:rPr>
        <w:t xml:space="preserve"> téhož zákona</w:t>
      </w:r>
      <w:r w:rsidR="003E76D4" w:rsidRPr="0076137D">
        <w:rPr>
          <w:rFonts w:asciiTheme="majorHAnsi" w:hAnsiTheme="majorHAnsi" w:cstheme="majorHAnsi"/>
        </w:rPr>
        <w:t>, který stanovuje následující: „</w:t>
      </w:r>
      <w:r w:rsidR="003E76D4" w:rsidRPr="0076137D">
        <w:rPr>
          <w:rFonts w:asciiTheme="majorHAnsi" w:eastAsia="Times New Roman" w:hAnsiTheme="majorHAnsi" w:cstheme="majorHAnsi"/>
          <w:b/>
          <w:bCs/>
          <w:color w:val="000000"/>
        </w:rPr>
        <w:t>(1)</w:t>
      </w:r>
      <w:r w:rsidR="003E76D4" w:rsidRPr="0076137D">
        <w:rPr>
          <w:rFonts w:asciiTheme="majorHAnsi" w:eastAsia="Times New Roman" w:hAnsiTheme="majorHAnsi" w:cstheme="majorHAnsi"/>
          <w:color w:val="000000"/>
          <w:shd w:val="clear" w:color="auto" w:fill="FFFFFF"/>
        </w:rPr>
        <w:t> Za vedení účetnictví svěřenských fondů, včetně sestavení účetní závěrky a naplnění ostatních povinností stanovených tímto zákonem, odpovídá správce; je-li několik správců pověřených společnou správou, odpovídají společně a nerozdílně.“</w:t>
      </w:r>
      <w:r w:rsidR="003E76D4" w:rsidRPr="0076137D">
        <w:rPr>
          <w:rStyle w:val="FootnoteReference"/>
          <w:rFonts w:asciiTheme="majorHAnsi" w:eastAsia="Times New Roman" w:hAnsiTheme="majorHAnsi" w:cstheme="majorHAnsi"/>
          <w:color w:val="000000"/>
          <w:shd w:val="clear" w:color="auto" w:fill="FFFFFF"/>
        </w:rPr>
        <w:footnoteReference w:id="6"/>
      </w:r>
      <w:r w:rsidR="003E76D4" w:rsidRPr="0076137D">
        <w:rPr>
          <w:rFonts w:asciiTheme="majorHAnsi" w:eastAsia="Times New Roman" w:hAnsiTheme="majorHAnsi" w:cstheme="majorHAnsi"/>
          <w:color w:val="000000"/>
          <w:shd w:val="clear" w:color="auto" w:fill="FFFFFF"/>
        </w:rPr>
        <w:t xml:space="preserve"> Je za vedení účetnictví odpovědný svěřenský správce.</w:t>
      </w:r>
    </w:p>
    <w:p w14:paraId="1B9440C6" w14:textId="77777777" w:rsidR="00695769" w:rsidRPr="0076137D" w:rsidRDefault="00695769" w:rsidP="0076137D">
      <w:pPr>
        <w:pStyle w:val="Heading2"/>
        <w:spacing w:line="360" w:lineRule="auto"/>
        <w:rPr>
          <w:rFonts w:eastAsia="Times New Roman" w:cstheme="majorHAnsi"/>
          <w:sz w:val="24"/>
          <w:szCs w:val="24"/>
        </w:rPr>
      </w:pPr>
      <w:bookmarkStart w:id="4" w:name="_Toc531730010"/>
      <w:r w:rsidRPr="0076137D">
        <w:rPr>
          <w:rFonts w:eastAsia="Times New Roman" w:cstheme="majorHAnsi"/>
          <w:sz w:val="24"/>
          <w:szCs w:val="24"/>
        </w:rPr>
        <w:t>1.2 Vklad do svěřenského fondu</w:t>
      </w:r>
      <w:bookmarkEnd w:id="4"/>
    </w:p>
    <w:p w14:paraId="2185A9F9" w14:textId="77777777" w:rsidR="00695769" w:rsidRPr="0076137D" w:rsidRDefault="00E16693" w:rsidP="0076137D">
      <w:pPr>
        <w:spacing w:line="360" w:lineRule="auto"/>
        <w:rPr>
          <w:rFonts w:asciiTheme="majorHAnsi" w:eastAsia="Times New Roman" w:hAnsiTheme="majorHAnsi" w:cstheme="majorHAnsi"/>
        </w:rPr>
      </w:pPr>
      <w:r w:rsidRPr="0076137D">
        <w:rPr>
          <w:rFonts w:asciiTheme="majorHAnsi" w:hAnsiTheme="majorHAnsi" w:cstheme="majorHAnsi"/>
        </w:rPr>
        <w:t>Dle odstavce §21f ZDP se na vklad do svěřenského fondu hledí jako na vklad do obchodní korporace. Toto ustanovení v souvislost s ustanovením § 23 (1)</w:t>
      </w:r>
      <w:r w:rsidR="00BD0B7A" w:rsidRPr="0076137D">
        <w:rPr>
          <w:rFonts w:asciiTheme="majorHAnsi" w:hAnsiTheme="majorHAnsi" w:cstheme="majorHAnsi"/>
        </w:rPr>
        <w:t xml:space="preserve"> říká, že vklad do svěřenského fondu nepodléhá dani neboť:</w:t>
      </w:r>
      <w:r w:rsidR="008649DE" w:rsidRPr="0076137D">
        <w:rPr>
          <w:rFonts w:asciiTheme="majorHAnsi" w:hAnsiTheme="majorHAnsi" w:cstheme="majorHAnsi"/>
        </w:rPr>
        <w:t xml:space="preserve"> „</w:t>
      </w:r>
      <w:r w:rsidR="008649DE" w:rsidRPr="0076137D">
        <w:rPr>
          <w:rFonts w:asciiTheme="majorHAnsi" w:eastAsia="Times New Roman" w:hAnsiTheme="majorHAnsi" w:cstheme="majorHAnsi"/>
          <w:b/>
          <w:bCs/>
          <w:color w:val="000000"/>
        </w:rPr>
        <w:t>(1)</w:t>
      </w:r>
      <w:r w:rsidR="008649DE" w:rsidRPr="0076137D">
        <w:rPr>
          <w:rFonts w:asciiTheme="majorHAnsi" w:eastAsia="Times New Roman" w:hAnsiTheme="majorHAnsi" w:cstheme="majorHAnsi"/>
          <w:color w:val="000000"/>
          <w:shd w:val="clear" w:color="auto" w:fill="FFFFFF"/>
        </w:rPr>
        <w:t> Základem daně je rozdíl, o který příjmy, s výjimkou příjmů, které nejsou předmětem daně, a příjmů osvobozených od daně, převyšují výdaje (náklady), a to při respektování jejich věcné a časové souvislosti v daném zdaňovacím období; rozdíl se upraví podle tohoto zákona.</w:t>
      </w:r>
      <w:r w:rsidR="008649DE" w:rsidRPr="0076137D">
        <w:rPr>
          <w:rFonts w:asciiTheme="majorHAnsi" w:eastAsia="Times New Roman" w:hAnsiTheme="majorHAnsi" w:cstheme="majorHAnsi"/>
        </w:rPr>
        <w:t>“</w:t>
      </w:r>
      <w:r w:rsidR="008649DE" w:rsidRPr="0076137D">
        <w:rPr>
          <w:rStyle w:val="FootnoteReference"/>
          <w:rFonts w:asciiTheme="majorHAnsi" w:eastAsia="Times New Roman" w:hAnsiTheme="majorHAnsi" w:cstheme="majorHAnsi"/>
        </w:rPr>
        <w:footnoteReference w:id="7"/>
      </w:r>
    </w:p>
    <w:p w14:paraId="1FD67838" w14:textId="77777777" w:rsidR="00FB0D21" w:rsidRPr="0076137D" w:rsidRDefault="00FB0D21" w:rsidP="0076137D">
      <w:pPr>
        <w:spacing w:line="360" w:lineRule="auto"/>
        <w:rPr>
          <w:rFonts w:asciiTheme="majorHAnsi" w:hAnsiTheme="majorHAnsi" w:cstheme="majorHAnsi"/>
        </w:rPr>
      </w:pPr>
    </w:p>
    <w:p w14:paraId="01CED01E" w14:textId="77777777" w:rsidR="009F6EBE" w:rsidRPr="0076137D" w:rsidRDefault="00FB0D21" w:rsidP="0076137D">
      <w:pPr>
        <w:pStyle w:val="Heading2"/>
        <w:spacing w:line="360" w:lineRule="auto"/>
        <w:rPr>
          <w:rFonts w:cstheme="majorHAnsi"/>
          <w:sz w:val="24"/>
          <w:szCs w:val="24"/>
        </w:rPr>
      </w:pPr>
      <w:bookmarkStart w:id="5" w:name="_Toc531730011"/>
      <w:r w:rsidRPr="0076137D">
        <w:rPr>
          <w:rFonts w:cstheme="majorHAnsi"/>
          <w:sz w:val="24"/>
          <w:szCs w:val="24"/>
        </w:rPr>
        <w:lastRenderedPageBreak/>
        <w:t>1.</w:t>
      </w:r>
      <w:r w:rsidR="002F792F" w:rsidRPr="0076137D">
        <w:rPr>
          <w:rFonts w:cstheme="majorHAnsi"/>
          <w:sz w:val="24"/>
          <w:szCs w:val="24"/>
        </w:rPr>
        <w:t>3</w:t>
      </w:r>
      <w:r w:rsidRPr="0076137D">
        <w:rPr>
          <w:rFonts w:cstheme="majorHAnsi"/>
          <w:sz w:val="24"/>
          <w:szCs w:val="24"/>
        </w:rPr>
        <w:t xml:space="preserve"> </w:t>
      </w:r>
      <w:r w:rsidR="009F6EBE" w:rsidRPr="0076137D">
        <w:rPr>
          <w:rFonts w:cstheme="majorHAnsi"/>
          <w:sz w:val="24"/>
          <w:szCs w:val="24"/>
        </w:rPr>
        <w:t>Plnění ze svěřenského fondu PO, FO</w:t>
      </w:r>
      <w:bookmarkEnd w:id="5"/>
    </w:p>
    <w:p w14:paraId="7612C538" w14:textId="77777777" w:rsidR="009F6EBE" w:rsidRPr="0076137D" w:rsidRDefault="002F2A03" w:rsidP="0076137D">
      <w:pPr>
        <w:spacing w:line="360" w:lineRule="auto"/>
        <w:rPr>
          <w:rFonts w:asciiTheme="majorHAnsi" w:hAnsiTheme="majorHAnsi" w:cstheme="majorHAnsi"/>
        </w:rPr>
      </w:pPr>
      <w:r w:rsidRPr="0076137D">
        <w:rPr>
          <w:rFonts w:asciiTheme="majorHAnsi" w:hAnsiTheme="majorHAnsi" w:cstheme="majorHAnsi"/>
        </w:rPr>
        <w:t>V souladu se statutem svěřenského fondu se z majetku/zisku svěřenského fondu dále plní obmyšleným osobám. Toto plnění obecně podléhá dani, nicméně jsou i výjimky. Obecně se plnění ze svěřenského fondu vůči fyzické osobě daní dle §8 ZDP</w:t>
      </w:r>
      <w:r w:rsidR="001D765E" w:rsidRPr="0076137D">
        <w:rPr>
          <w:rFonts w:asciiTheme="majorHAnsi" w:hAnsiTheme="majorHAnsi" w:cstheme="majorHAnsi"/>
        </w:rPr>
        <w:t xml:space="preserve"> a výše daně je dle § 36 ZDP 15%. Při výběru daně srážkou podle zvláštní sazby daně se výběr daně řídí §38d. Pokud se neplní FO, nýbrž osobě právnické, tak se postupuje obdobně dle § 36 (2). Pří vyplácení ze svěřenského fondu dále platí zásada, že první se vyplácí ze zisku svěřenského fondu, až poté z majetku svěřenského fondu.</w:t>
      </w:r>
      <w:r w:rsidR="00325A22" w:rsidRPr="0076137D">
        <w:rPr>
          <w:rFonts w:asciiTheme="majorHAnsi" w:hAnsiTheme="majorHAnsi" w:cstheme="majorHAnsi"/>
        </w:rPr>
        <w:t xml:space="preserve"> Toto je obecný režim, nicméně, jak již jsem poznamenal výše, existuje z něho v</w:t>
      </w:r>
      <w:r w:rsidR="009A0C8C" w:rsidRPr="0076137D">
        <w:rPr>
          <w:rFonts w:asciiTheme="majorHAnsi" w:hAnsiTheme="majorHAnsi" w:cstheme="majorHAnsi"/>
        </w:rPr>
        <w:t>ýjimka. Tato výjimka se používá pro případy, kdy je vypláceno obmyšlenému z majetku, který byl do svěřenského fondu vyčleněn pro případ smrti popřípadě z majetku, který zvýšil majetek daného svěřenského fondu pro případ smrti. Dalšímu osvobození od daně podléhá bezúplatný příjem z majetku obmyšleného, který byl do SF vyčleněn nebo zvýšil jeho majetek. Příjem je dále bezúplatný, pokud jím byl zvýšen majetek svěřenského fondu příbuzným podle § 10, odstavce 3, písmene c) ZDP. Dále pokud úhrn nabytého příjmu nepřevýšil dle totožného odstavce, písmene c), bodu 5, 15 000,-.</w:t>
      </w:r>
    </w:p>
    <w:p w14:paraId="4924E9A2" w14:textId="77777777" w:rsidR="009F6EBE" w:rsidRPr="0076137D" w:rsidRDefault="00FB0D21" w:rsidP="0076137D">
      <w:pPr>
        <w:pStyle w:val="Heading2"/>
        <w:spacing w:line="360" w:lineRule="auto"/>
        <w:rPr>
          <w:rFonts w:cstheme="majorHAnsi"/>
          <w:sz w:val="24"/>
          <w:szCs w:val="24"/>
        </w:rPr>
      </w:pPr>
      <w:bookmarkStart w:id="6" w:name="_Toc531730012"/>
      <w:r w:rsidRPr="0076137D">
        <w:rPr>
          <w:rFonts w:cstheme="majorHAnsi"/>
          <w:sz w:val="24"/>
          <w:szCs w:val="24"/>
        </w:rPr>
        <w:t>1.</w:t>
      </w:r>
      <w:r w:rsidR="002F792F" w:rsidRPr="0076137D">
        <w:rPr>
          <w:rFonts w:cstheme="majorHAnsi"/>
          <w:sz w:val="24"/>
          <w:szCs w:val="24"/>
        </w:rPr>
        <w:t>4</w:t>
      </w:r>
      <w:r w:rsidRPr="0076137D">
        <w:rPr>
          <w:rFonts w:cstheme="majorHAnsi"/>
          <w:sz w:val="24"/>
          <w:szCs w:val="24"/>
        </w:rPr>
        <w:t xml:space="preserve"> </w:t>
      </w:r>
      <w:r w:rsidR="009F6EBE" w:rsidRPr="0076137D">
        <w:rPr>
          <w:rFonts w:cstheme="majorHAnsi"/>
          <w:sz w:val="24"/>
          <w:szCs w:val="24"/>
        </w:rPr>
        <w:t>Zdanění odměny svěřenského správce</w:t>
      </w:r>
      <w:bookmarkEnd w:id="6"/>
    </w:p>
    <w:p w14:paraId="2823D92C" w14:textId="77777777" w:rsidR="009F6EBE" w:rsidRPr="0076137D" w:rsidRDefault="00455265" w:rsidP="0076137D">
      <w:pPr>
        <w:spacing w:line="360" w:lineRule="auto"/>
        <w:rPr>
          <w:rFonts w:asciiTheme="majorHAnsi" w:hAnsiTheme="majorHAnsi" w:cstheme="majorHAnsi"/>
        </w:rPr>
      </w:pPr>
      <w:r w:rsidRPr="0076137D">
        <w:rPr>
          <w:rFonts w:asciiTheme="majorHAnsi" w:hAnsiTheme="majorHAnsi" w:cstheme="majorHAnsi"/>
        </w:rPr>
        <w:t>Co se úpravy zdanění odměny svěřenského správce týče, tak jsem bohužel nenašel jasnou odpověď, nicméně troufám si tvrdit, že s největší pravděpodobností půjde o samostatnou výdělečnou činnost přičemž zisk z ní se daní dle § 7 ZDP. Dále pokud by se jednalo například o rodinný svěřenský fond, kde by daný fond spravoval například člen rodiny za účelem udržení/rozmnožení prostředků fondu avšak bez účelu dosáhnout tak příjmu sám pro sebe, tak by se dalo uvažovat o zdanění dle § 10 ZDP, tedy o ostatních (příležitostných) příjmech</w:t>
      </w:r>
      <w:r w:rsidR="0076137D" w:rsidRPr="0076137D">
        <w:rPr>
          <w:rFonts w:asciiTheme="majorHAnsi" w:hAnsiTheme="majorHAnsi" w:cstheme="majorHAnsi"/>
        </w:rPr>
        <w:t>.</w:t>
      </w:r>
    </w:p>
    <w:p w14:paraId="024F475A" w14:textId="77777777" w:rsidR="0076137D" w:rsidRDefault="0076137D" w:rsidP="0076137D">
      <w:pPr>
        <w:pStyle w:val="Heading1"/>
        <w:spacing w:line="360" w:lineRule="auto"/>
        <w:rPr>
          <w:rFonts w:cstheme="majorHAnsi"/>
          <w:sz w:val="24"/>
          <w:szCs w:val="24"/>
        </w:rPr>
      </w:pPr>
    </w:p>
    <w:p w14:paraId="3670FD6B" w14:textId="77777777" w:rsidR="0076137D" w:rsidRDefault="0076137D" w:rsidP="0076137D">
      <w:pPr>
        <w:pStyle w:val="Heading1"/>
        <w:spacing w:line="360" w:lineRule="auto"/>
        <w:rPr>
          <w:rFonts w:cstheme="majorHAnsi"/>
          <w:sz w:val="24"/>
          <w:szCs w:val="24"/>
        </w:rPr>
      </w:pPr>
    </w:p>
    <w:p w14:paraId="27B6D4C8" w14:textId="77777777" w:rsidR="0076137D" w:rsidRDefault="0076137D" w:rsidP="0076137D">
      <w:pPr>
        <w:pStyle w:val="Heading1"/>
        <w:spacing w:line="360" w:lineRule="auto"/>
        <w:rPr>
          <w:rFonts w:cstheme="majorHAnsi"/>
          <w:sz w:val="24"/>
          <w:szCs w:val="24"/>
        </w:rPr>
      </w:pPr>
    </w:p>
    <w:p w14:paraId="2C0DBE25" w14:textId="77777777" w:rsidR="00314B55" w:rsidRPr="0076137D" w:rsidRDefault="00314B55" w:rsidP="0076137D">
      <w:pPr>
        <w:pStyle w:val="Heading1"/>
        <w:spacing w:line="360" w:lineRule="auto"/>
        <w:rPr>
          <w:rFonts w:cstheme="majorHAnsi"/>
          <w:sz w:val="24"/>
          <w:szCs w:val="24"/>
        </w:rPr>
      </w:pPr>
      <w:bookmarkStart w:id="7" w:name="_Toc531730013"/>
      <w:r w:rsidRPr="0076137D">
        <w:rPr>
          <w:rFonts w:cstheme="majorHAnsi"/>
          <w:sz w:val="24"/>
          <w:szCs w:val="24"/>
        </w:rPr>
        <w:t>Závěr</w:t>
      </w:r>
      <w:bookmarkEnd w:id="7"/>
    </w:p>
    <w:p w14:paraId="264461D7" w14:textId="77777777" w:rsidR="00314B55" w:rsidRPr="0076137D" w:rsidRDefault="00455265" w:rsidP="0076137D">
      <w:pPr>
        <w:spacing w:line="360" w:lineRule="auto"/>
        <w:rPr>
          <w:rFonts w:asciiTheme="majorHAnsi" w:hAnsiTheme="majorHAnsi" w:cstheme="majorHAnsi"/>
        </w:rPr>
      </w:pPr>
      <w:r w:rsidRPr="0076137D">
        <w:rPr>
          <w:rFonts w:asciiTheme="majorHAnsi" w:hAnsiTheme="majorHAnsi" w:cstheme="majorHAnsi"/>
        </w:rPr>
        <w:t>Z mnou výše uvedených skutečností o zdanění svěřenského fondu si troufám tvrdit, že daňová zátěž svěřenský fondů je obecně obdobná jako u jiných právních entit a z tohoto důvodu si nemyslím, že založení svěřenského fondu za účelem snížení daňové zátěže je smysluplný krok.</w:t>
      </w:r>
      <w:r w:rsidR="0076137D" w:rsidRPr="0076137D">
        <w:rPr>
          <w:rFonts w:asciiTheme="majorHAnsi" w:hAnsiTheme="majorHAnsi" w:cstheme="majorHAnsi"/>
        </w:rPr>
        <w:t xml:space="preserve"> </w:t>
      </w:r>
      <w:r w:rsidR="0076137D" w:rsidRPr="0076137D">
        <w:rPr>
          <w:rFonts w:asciiTheme="majorHAnsi" w:hAnsiTheme="majorHAnsi" w:cstheme="majorHAnsi"/>
        </w:rPr>
        <w:lastRenderedPageBreak/>
        <w:t>Tímto však netvrdím, že založení svěřenského fondu nemá svoje výhody, mezi hlavní výhody svěřenského fondu bych zařadil klasické benefity jako například ochrana majetku před exekucí, ukrytí identity zakladatele, mezigenerační transfer majetku, ochrana dědictví, zamezení neuvážlivého utrácení (rozhazovační potomci) a obecně ochrana před lehkovážným nakládáním a podobně, nicméně pokud by si daňový subjekt chtěl snížit daňové zatížení, tak založení svěřenského fondu není tou správnou cestou.</w:t>
      </w:r>
    </w:p>
    <w:sectPr w:rsidR="00314B55" w:rsidRPr="0076137D" w:rsidSect="001B20F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8CD0" w14:textId="77777777" w:rsidR="001057C6" w:rsidRDefault="001057C6" w:rsidP="00121583">
      <w:r>
        <w:separator/>
      </w:r>
    </w:p>
  </w:endnote>
  <w:endnote w:type="continuationSeparator" w:id="0">
    <w:p w14:paraId="01FD978E" w14:textId="77777777" w:rsidR="001057C6" w:rsidRDefault="001057C6" w:rsidP="0012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B1A5" w14:textId="77777777" w:rsidR="001057C6" w:rsidRDefault="001057C6" w:rsidP="00121583">
      <w:r>
        <w:separator/>
      </w:r>
    </w:p>
  </w:footnote>
  <w:footnote w:type="continuationSeparator" w:id="0">
    <w:p w14:paraId="48D98AA9" w14:textId="77777777" w:rsidR="001057C6" w:rsidRDefault="001057C6" w:rsidP="00121583">
      <w:r>
        <w:continuationSeparator/>
      </w:r>
    </w:p>
  </w:footnote>
  <w:footnote w:id="1">
    <w:p w14:paraId="6002D498" w14:textId="77777777" w:rsidR="00F71C52" w:rsidRDefault="00F71C52">
      <w:pPr>
        <w:pStyle w:val="FootnoteText"/>
      </w:pPr>
      <w:r>
        <w:rPr>
          <w:rStyle w:val="FootnoteReference"/>
        </w:rPr>
        <w:footnoteRef/>
      </w:r>
      <w:r>
        <w:t xml:space="preserve"> Zákon č. 586/1992 Sb., zákon o daních z příjmů, § 17, (1), f)</w:t>
      </w:r>
    </w:p>
  </w:footnote>
  <w:footnote w:id="2">
    <w:p w14:paraId="67A2A6DB" w14:textId="77777777" w:rsidR="00B059F7" w:rsidRDefault="00B059F7" w:rsidP="00B059F7">
      <w:pPr>
        <w:pStyle w:val="FootnoteText"/>
      </w:pPr>
      <w:r>
        <w:rPr>
          <w:rStyle w:val="FootnoteReference"/>
        </w:rPr>
        <w:footnoteRef/>
      </w:r>
      <w:r>
        <w:t xml:space="preserve"> Zákon č. 586/1992 Sb., zákon o daních z příjmů, § 17, (3)</w:t>
      </w:r>
    </w:p>
    <w:p w14:paraId="65E7FF04" w14:textId="77777777" w:rsidR="00B059F7" w:rsidRDefault="00B059F7">
      <w:pPr>
        <w:pStyle w:val="FootnoteText"/>
      </w:pPr>
    </w:p>
  </w:footnote>
  <w:footnote w:id="3">
    <w:p w14:paraId="102F2608" w14:textId="77777777" w:rsidR="00D45C48" w:rsidRDefault="00D45C48">
      <w:pPr>
        <w:pStyle w:val="FootnoteText"/>
      </w:pPr>
      <w:r>
        <w:rPr>
          <w:rStyle w:val="FootnoteReference"/>
        </w:rPr>
        <w:footnoteRef/>
      </w:r>
      <w:r>
        <w:t xml:space="preserve"> Zákon č. 586/1992 Sb., zákon o daních z příjmu, § 18a</w:t>
      </w:r>
    </w:p>
  </w:footnote>
  <w:footnote w:id="4">
    <w:p w14:paraId="7BD2B1C2" w14:textId="77777777" w:rsidR="00FB25D5" w:rsidRDefault="00FB25D5">
      <w:pPr>
        <w:pStyle w:val="FootnoteText"/>
      </w:pPr>
      <w:r>
        <w:rPr>
          <w:rStyle w:val="FootnoteReference"/>
        </w:rPr>
        <w:footnoteRef/>
      </w:r>
      <w:r>
        <w:t xml:space="preserve"> Zákon č. 235/2004 Sb., zákon o dani z přidané hodnoty, § 4b, (2)</w:t>
      </w:r>
    </w:p>
  </w:footnote>
  <w:footnote w:id="5">
    <w:p w14:paraId="5CFA49CC" w14:textId="77777777" w:rsidR="00FB25D5" w:rsidRDefault="00FB25D5">
      <w:pPr>
        <w:pStyle w:val="FootnoteText"/>
      </w:pPr>
      <w:r>
        <w:rPr>
          <w:rStyle w:val="FootnoteReference"/>
        </w:rPr>
        <w:footnoteRef/>
      </w:r>
      <w:r>
        <w:t xml:space="preserve"> Zákon č. 280/2009 Sb., daňový řád, § 20</w:t>
      </w:r>
    </w:p>
  </w:footnote>
  <w:footnote w:id="6">
    <w:p w14:paraId="08EE0DB9" w14:textId="77777777" w:rsidR="003E76D4" w:rsidRDefault="003E76D4">
      <w:pPr>
        <w:pStyle w:val="FootnoteText"/>
      </w:pPr>
      <w:r>
        <w:rPr>
          <w:rStyle w:val="FootnoteReference"/>
        </w:rPr>
        <w:footnoteRef/>
      </w:r>
      <w:r>
        <w:t xml:space="preserve"> Zákon č. 563/1991 Sb., o účetnictví, §4a, (1)</w:t>
      </w:r>
    </w:p>
  </w:footnote>
  <w:footnote w:id="7">
    <w:p w14:paraId="2F913A4A" w14:textId="77777777" w:rsidR="008649DE" w:rsidRDefault="008649DE">
      <w:pPr>
        <w:pStyle w:val="FootnoteText"/>
      </w:pPr>
      <w:r>
        <w:rPr>
          <w:rStyle w:val="FootnoteReference"/>
        </w:rPr>
        <w:footnoteRef/>
      </w:r>
      <w:r>
        <w:t xml:space="preserve"> Zákon č. 586/1992 Sb., zákon o daních z příjmu, §21f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6632"/>
    <w:multiLevelType w:val="hybridMultilevel"/>
    <w:tmpl w:val="69F0B34E"/>
    <w:lvl w:ilvl="0" w:tplc="971A2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655BF"/>
    <w:multiLevelType w:val="hybridMultilevel"/>
    <w:tmpl w:val="5D76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43D4F"/>
    <w:multiLevelType w:val="multilevel"/>
    <w:tmpl w:val="8DB49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5A5CFF"/>
    <w:multiLevelType w:val="hybridMultilevel"/>
    <w:tmpl w:val="C43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255D6"/>
    <w:multiLevelType w:val="multilevel"/>
    <w:tmpl w:val="85EAF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83"/>
    <w:rsid w:val="001057C6"/>
    <w:rsid w:val="00121583"/>
    <w:rsid w:val="0015360F"/>
    <w:rsid w:val="001A5611"/>
    <w:rsid w:val="001B20F5"/>
    <w:rsid w:val="001D765E"/>
    <w:rsid w:val="00212DF7"/>
    <w:rsid w:val="002D69AA"/>
    <w:rsid w:val="002F2A03"/>
    <w:rsid w:val="002F792F"/>
    <w:rsid w:val="00314B55"/>
    <w:rsid w:val="00325A22"/>
    <w:rsid w:val="003E76D4"/>
    <w:rsid w:val="00455265"/>
    <w:rsid w:val="00495528"/>
    <w:rsid w:val="004C11FF"/>
    <w:rsid w:val="004D5A75"/>
    <w:rsid w:val="005E0097"/>
    <w:rsid w:val="00695769"/>
    <w:rsid w:val="0071500C"/>
    <w:rsid w:val="0076137D"/>
    <w:rsid w:val="007737F1"/>
    <w:rsid w:val="00855F57"/>
    <w:rsid w:val="008649DE"/>
    <w:rsid w:val="00915183"/>
    <w:rsid w:val="00983483"/>
    <w:rsid w:val="009A0C8C"/>
    <w:rsid w:val="009F6EBE"/>
    <w:rsid w:val="00A7537F"/>
    <w:rsid w:val="00AB68AD"/>
    <w:rsid w:val="00AD2896"/>
    <w:rsid w:val="00B059F7"/>
    <w:rsid w:val="00B56DF5"/>
    <w:rsid w:val="00B80113"/>
    <w:rsid w:val="00BD0B7A"/>
    <w:rsid w:val="00BF002E"/>
    <w:rsid w:val="00C056C3"/>
    <w:rsid w:val="00C26200"/>
    <w:rsid w:val="00CA489C"/>
    <w:rsid w:val="00D45C48"/>
    <w:rsid w:val="00E16693"/>
    <w:rsid w:val="00E466F4"/>
    <w:rsid w:val="00E979D8"/>
    <w:rsid w:val="00ED2A24"/>
    <w:rsid w:val="00F71C52"/>
    <w:rsid w:val="00FB0D21"/>
    <w:rsid w:val="00FB25D5"/>
    <w:rsid w:val="00FF59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D7C7"/>
  <w15:chartTrackingRefBased/>
  <w15:docId w15:val="{5645D66A-0B43-1C40-AB98-5A1CC786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5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5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1C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15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21583"/>
    <w:pPr>
      <w:spacing w:before="120"/>
    </w:pPr>
    <w:rPr>
      <w:rFonts w:cstheme="minorHAnsi"/>
      <w:b/>
      <w:bCs/>
      <w:i/>
      <w:iCs/>
    </w:rPr>
  </w:style>
  <w:style w:type="paragraph" w:styleId="TOC2">
    <w:name w:val="toc 2"/>
    <w:basedOn w:val="Normal"/>
    <w:next w:val="Normal"/>
    <w:autoRedefine/>
    <w:uiPriority w:val="39"/>
    <w:unhideWhenUsed/>
    <w:rsid w:val="0012158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21583"/>
    <w:pPr>
      <w:ind w:left="480"/>
    </w:pPr>
    <w:rPr>
      <w:rFonts w:cstheme="minorHAnsi"/>
      <w:sz w:val="20"/>
      <w:szCs w:val="20"/>
    </w:rPr>
  </w:style>
  <w:style w:type="paragraph" w:styleId="TOC4">
    <w:name w:val="toc 4"/>
    <w:basedOn w:val="Normal"/>
    <w:next w:val="Normal"/>
    <w:autoRedefine/>
    <w:uiPriority w:val="39"/>
    <w:semiHidden/>
    <w:unhideWhenUsed/>
    <w:rsid w:val="00121583"/>
    <w:pPr>
      <w:ind w:left="720"/>
    </w:pPr>
    <w:rPr>
      <w:rFonts w:cstheme="minorHAnsi"/>
      <w:sz w:val="20"/>
      <w:szCs w:val="20"/>
    </w:rPr>
  </w:style>
  <w:style w:type="paragraph" w:styleId="TOC5">
    <w:name w:val="toc 5"/>
    <w:basedOn w:val="Normal"/>
    <w:next w:val="Normal"/>
    <w:autoRedefine/>
    <w:uiPriority w:val="39"/>
    <w:semiHidden/>
    <w:unhideWhenUsed/>
    <w:rsid w:val="00121583"/>
    <w:pPr>
      <w:ind w:left="960"/>
    </w:pPr>
    <w:rPr>
      <w:rFonts w:cstheme="minorHAnsi"/>
      <w:sz w:val="20"/>
      <w:szCs w:val="20"/>
    </w:rPr>
  </w:style>
  <w:style w:type="paragraph" w:styleId="TOC6">
    <w:name w:val="toc 6"/>
    <w:basedOn w:val="Normal"/>
    <w:next w:val="Normal"/>
    <w:autoRedefine/>
    <w:uiPriority w:val="39"/>
    <w:semiHidden/>
    <w:unhideWhenUsed/>
    <w:rsid w:val="00121583"/>
    <w:pPr>
      <w:ind w:left="1200"/>
    </w:pPr>
    <w:rPr>
      <w:rFonts w:cstheme="minorHAnsi"/>
      <w:sz w:val="20"/>
      <w:szCs w:val="20"/>
    </w:rPr>
  </w:style>
  <w:style w:type="paragraph" w:styleId="TOC7">
    <w:name w:val="toc 7"/>
    <w:basedOn w:val="Normal"/>
    <w:next w:val="Normal"/>
    <w:autoRedefine/>
    <w:uiPriority w:val="39"/>
    <w:semiHidden/>
    <w:unhideWhenUsed/>
    <w:rsid w:val="00121583"/>
    <w:pPr>
      <w:ind w:left="1440"/>
    </w:pPr>
    <w:rPr>
      <w:rFonts w:cstheme="minorHAnsi"/>
      <w:sz w:val="20"/>
      <w:szCs w:val="20"/>
    </w:rPr>
  </w:style>
  <w:style w:type="paragraph" w:styleId="TOC8">
    <w:name w:val="toc 8"/>
    <w:basedOn w:val="Normal"/>
    <w:next w:val="Normal"/>
    <w:autoRedefine/>
    <w:uiPriority w:val="39"/>
    <w:semiHidden/>
    <w:unhideWhenUsed/>
    <w:rsid w:val="00121583"/>
    <w:pPr>
      <w:ind w:left="1680"/>
    </w:pPr>
    <w:rPr>
      <w:rFonts w:cstheme="minorHAnsi"/>
      <w:sz w:val="20"/>
      <w:szCs w:val="20"/>
    </w:rPr>
  </w:style>
  <w:style w:type="paragraph" w:styleId="TOC9">
    <w:name w:val="toc 9"/>
    <w:basedOn w:val="Normal"/>
    <w:next w:val="Normal"/>
    <w:autoRedefine/>
    <w:uiPriority w:val="39"/>
    <w:semiHidden/>
    <w:unhideWhenUsed/>
    <w:rsid w:val="00121583"/>
    <w:pPr>
      <w:ind w:left="1920"/>
    </w:pPr>
    <w:rPr>
      <w:rFonts w:cstheme="minorHAnsi"/>
      <w:sz w:val="20"/>
      <w:szCs w:val="20"/>
    </w:rPr>
  </w:style>
  <w:style w:type="character" w:styleId="Hyperlink">
    <w:name w:val="Hyperlink"/>
    <w:basedOn w:val="DefaultParagraphFont"/>
    <w:uiPriority w:val="99"/>
    <w:unhideWhenUsed/>
    <w:rsid w:val="00121583"/>
    <w:rPr>
      <w:color w:val="0563C1" w:themeColor="hyperlink"/>
      <w:u w:val="single"/>
    </w:rPr>
  </w:style>
  <w:style w:type="paragraph" w:styleId="Header">
    <w:name w:val="header"/>
    <w:basedOn w:val="Normal"/>
    <w:link w:val="HeaderChar"/>
    <w:uiPriority w:val="99"/>
    <w:unhideWhenUsed/>
    <w:rsid w:val="00121583"/>
    <w:pPr>
      <w:tabs>
        <w:tab w:val="center" w:pos="4703"/>
        <w:tab w:val="right" w:pos="9406"/>
      </w:tabs>
    </w:pPr>
  </w:style>
  <w:style w:type="character" w:customStyle="1" w:styleId="HeaderChar">
    <w:name w:val="Header Char"/>
    <w:basedOn w:val="DefaultParagraphFont"/>
    <w:link w:val="Header"/>
    <w:uiPriority w:val="99"/>
    <w:rsid w:val="00121583"/>
  </w:style>
  <w:style w:type="paragraph" w:styleId="Footer">
    <w:name w:val="footer"/>
    <w:basedOn w:val="Normal"/>
    <w:link w:val="FooterChar"/>
    <w:uiPriority w:val="99"/>
    <w:unhideWhenUsed/>
    <w:rsid w:val="00121583"/>
    <w:pPr>
      <w:tabs>
        <w:tab w:val="center" w:pos="4703"/>
        <w:tab w:val="right" w:pos="9406"/>
      </w:tabs>
    </w:pPr>
  </w:style>
  <w:style w:type="character" w:customStyle="1" w:styleId="FooterChar">
    <w:name w:val="Footer Char"/>
    <w:basedOn w:val="DefaultParagraphFont"/>
    <w:link w:val="Footer"/>
    <w:uiPriority w:val="99"/>
    <w:rsid w:val="00121583"/>
  </w:style>
  <w:style w:type="paragraph" w:styleId="Title">
    <w:name w:val="Title"/>
    <w:basedOn w:val="Normal"/>
    <w:next w:val="Normal"/>
    <w:link w:val="TitleChar"/>
    <w:uiPriority w:val="10"/>
    <w:qFormat/>
    <w:rsid w:val="00121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15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1C52"/>
    <w:rPr>
      <w:rFonts w:asciiTheme="majorHAnsi" w:eastAsiaTheme="majorEastAsia" w:hAnsiTheme="majorHAnsi" w:cstheme="majorBidi"/>
      <w:color w:val="1F3763" w:themeColor="accent1" w:themeShade="7F"/>
    </w:rPr>
  </w:style>
  <w:style w:type="paragraph" w:customStyle="1" w:styleId="l2">
    <w:name w:val="l2"/>
    <w:basedOn w:val="Normal"/>
    <w:rsid w:val="00F71C52"/>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F71C52"/>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F71C52"/>
    <w:rPr>
      <w:i/>
      <w:iCs/>
    </w:rPr>
  </w:style>
  <w:style w:type="character" w:customStyle="1" w:styleId="apple-converted-space">
    <w:name w:val="apple-converted-space"/>
    <w:basedOn w:val="DefaultParagraphFont"/>
    <w:rsid w:val="00F71C52"/>
  </w:style>
  <w:style w:type="paragraph" w:styleId="ListParagraph">
    <w:name w:val="List Paragraph"/>
    <w:basedOn w:val="Normal"/>
    <w:uiPriority w:val="34"/>
    <w:qFormat/>
    <w:rsid w:val="00F71C52"/>
    <w:pPr>
      <w:ind w:left="720"/>
      <w:contextualSpacing/>
    </w:pPr>
  </w:style>
  <w:style w:type="paragraph" w:styleId="FootnoteText">
    <w:name w:val="footnote text"/>
    <w:basedOn w:val="Normal"/>
    <w:link w:val="FootnoteTextChar"/>
    <w:uiPriority w:val="99"/>
    <w:semiHidden/>
    <w:unhideWhenUsed/>
    <w:rsid w:val="00F71C52"/>
    <w:rPr>
      <w:sz w:val="20"/>
      <w:szCs w:val="20"/>
    </w:rPr>
  </w:style>
  <w:style w:type="character" w:customStyle="1" w:styleId="FootnoteTextChar">
    <w:name w:val="Footnote Text Char"/>
    <w:basedOn w:val="DefaultParagraphFont"/>
    <w:link w:val="FootnoteText"/>
    <w:uiPriority w:val="99"/>
    <w:semiHidden/>
    <w:rsid w:val="00F71C52"/>
    <w:rPr>
      <w:sz w:val="20"/>
      <w:szCs w:val="20"/>
    </w:rPr>
  </w:style>
  <w:style w:type="character" w:styleId="FootnoteReference">
    <w:name w:val="footnote reference"/>
    <w:basedOn w:val="DefaultParagraphFont"/>
    <w:uiPriority w:val="99"/>
    <w:semiHidden/>
    <w:unhideWhenUsed/>
    <w:rsid w:val="00F71C52"/>
    <w:rPr>
      <w:vertAlign w:val="superscript"/>
    </w:rPr>
  </w:style>
  <w:style w:type="paragraph" w:customStyle="1" w:styleId="l5">
    <w:name w:val="l5"/>
    <w:basedOn w:val="Normal"/>
    <w:rsid w:val="0015360F"/>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1536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4493">
      <w:bodyDiv w:val="1"/>
      <w:marLeft w:val="0"/>
      <w:marRight w:val="0"/>
      <w:marTop w:val="0"/>
      <w:marBottom w:val="0"/>
      <w:divBdr>
        <w:top w:val="none" w:sz="0" w:space="0" w:color="auto"/>
        <w:left w:val="none" w:sz="0" w:space="0" w:color="auto"/>
        <w:bottom w:val="none" w:sz="0" w:space="0" w:color="auto"/>
        <w:right w:val="none" w:sz="0" w:space="0" w:color="auto"/>
      </w:divBdr>
    </w:div>
    <w:div w:id="598829196">
      <w:bodyDiv w:val="1"/>
      <w:marLeft w:val="0"/>
      <w:marRight w:val="0"/>
      <w:marTop w:val="0"/>
      <w:marBottom w:val="0"/>
      <w:divBdr>
        <w:top w:val="none" w:sz="0" w:space="0" w:color="auto"/>
        <w:left w:val="none" w:sz="0" w:space="0" w:color="auto"/>
        <w:bottom w:val="none" w:sz="0" w:space="0" w:color="auto"/>
        <w:right w:val="none" w:sz="0" w:space="0" w:color="auto"/>
      </w:divBdr>
    </w:div>
    <w:div w:id="631637962">
      <w:bodyDiv w:val="1"/>
      <w:marLeft w:val="0"/>
      <w:marRight w:val="0"/>
      <w:marTop w:val="0"/>
      <w:marBottom w:val="0"/>
      <w:divBdr>
        <w:top w:val="none" w:sz="0" w:space="0" w:color="auto"/>
        <w:left w:val="none" w:sz="0" w:space="0" w:color="auto"/>
        <w:bottom w:val="none" w:sz="0" w:space="0" w:color="auto"/>
        <w:right w:val="none" w:sz="0" w:space="0" w:color="auto"/>
      </w:divBdr>
    </w:div>
    <w:div w:id="719551869">
      <w:bodyDiv w:val="1"/>
      <w:marLeft w:val="0"/>
      <w:marRight w:val="0"/>
      <w:marTop w:val="0"/>
      <w:marBottom w:val="0"/>
      <w:divBdr>
        <w:top w:val="none" w:sz="0" w:space="0" w:color="auto"/>
        <w:left w:val="none" w:sz="0" w:space="0" w:color="auto"/>
        <w:bottom w:val="none" w:sz="0" w:space="0" w:color="auto"/>
        <w:right w:val="none" w:sz="0" w:space="0" w:color="auto"/>
      </w:divBdr>
    </w:div>
    <w:div w:id="1261065934">
      <w:bodyDiv w:val="1"/>
      <w:marLeft w:val="0"/>
      <w:marRight w:val="0"/>
      <w:marTop w:val="0"/>
      <w:marBottom w:val="0"/>
      <w:divBdr>
        <w:top w:val="none" w:sz="0" w:space="0" w:color="auto"/>
        <w:left w:val="none" w:sz="0" w:space="0" w:color="auto"/>
        <w:bottom w:val="none" w:sz="0" w:space="0" w:color="auto"/>
        <w:right w:val="none" w:sz="0" w:space="0" w:color="auto"/>
      </w:divBdr>
    </w:div>
    <w:div w:id="1677347143">
      <w:bodyDiv w:val="1"/>
      <w:marLeft w:val="0"/>
      <w:marRight w:val="0"/>
      <w:marTop w:val="0"/>
      <w:marBottom w:val="0"/>
      <w:divBdr>
        <w:top w:val="none" w:sz="0" w:space="0" w:color="auto"/>
        <w:left w:val="none" w:sz="0" w:space="0" w:color="auto"/>
        <w:bottom w:val="none" w:sz="0" w:space="0" w:color="auto"/>
        <w:right w:val="none" w:sz="0" w:space="0" w:color="auto"/>
      </w:divBdr>
    </w:div>
    <w:div w:id="1998922910">
      <w:bodyDiv w:val="1"/>
      <w:marLeft w:val="0"/>
      <w:marRight w:val="0"/>
      <w:marTop w:val="0"/>
      <w:marBottom w:val="0"/>
      <w:divBdr>
        <w:top w:val="none" w:sz="0" w:space="0" w:color="auto"/>
        <w:left w:val="none" w:sz="0" w:space="0" w:color="auto"/>
        <w:bottom w:val="none" w:sz="0" w:space="0" w:color="auto"/>
        <w:right w:val="none" w:sz="0" w:space="0" w:color="auto"/>
      </w:divBdr>
    </w:div>
    <w:div w:id="20895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A4FB-CFD1-A349-BC1C-168E411C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1384</Words>
  <Characters>7530</Characters>
  <Application>Microsoft Office Word</Application>
  <DocSecurity>0</DocSecurity>
  <Lines>151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Bálint</dc:creator>
  <cp:keywords/>
  <dc:description/>
  <cp:lastModifiedBy>Dominik Bálint</cp:lastModifiedBy>
  <cp:revision>28</cp:revision>
  <dcterms:created xsi:type="dcterms:W3CDTF">2018-12-03T18:49:00Z</dcterms:created>
  <dcterms:modified xsi:type="dcterms:W3CDTF">2020-02-03T20:53:00Z</dcterms:modified>
</cp:coreProperties>
</file>