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první-klauzurní-příklad"/>
      <w:bookmarkEnd w:id="21"/>
      <w:r>
        <w:t xml:space="preserve">První klauzurní příklad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Příklad</w:t>
      </w:r>
    </w:p>
    <w:p>
      <w:pPr>
        <w:pStyle w:val="BlockText"/>
      </w:pPr>
      <w:r>
        <w:t xml:space="preserve">Pavel Tlustý dne 5. ledna 2019 podepsal listinu nadepsanou jako „směnka“, která vedle ostatních zákonem požadovaných náležitostí směnky obsahovala toto prohlášení: „Zaplatím za tuto směnku Josefu Hubenému 1,500.000 Kč (slovy jeden milion korun) 30. nebo 31. prosince 2019.“ Dne 30. prosince 2019 v časných ranních hodinách se Josef Hubený dostavil s prvopisem této listiny do místa v ní určeného, předložil ji (osobně) Pavlu Tlustému a domáhal se úhrady 1 mil. Kč. Pavel Tlustý však výplatu odmítl. Uvedl, že předložená listina jej k ničemu nezavazuje, když z ní není jasné, kolik by měl vlastně platit a je proto neurčitá a tudíž neplatná. Že ji podepsal, nezpochybnil. Josef Hubený se obrátil na soud s návrhem na vydání směnečného platebního rozkazu; k návrhu přiložil listinu, z níž vyvozuje svůj nárok.</w:t>
      </w:r>
    </w:p>
    <w:p>
      <w:pPr>
        <w:pStyle w:val="FirstParagraph"/>
      </w:pPr>
      <w:r>
        <w:rPr>
          <w:b/>
        </w:rPr>
        <w:t xml:space="preserve">Otázky:</w:t>
      </w:r>
      <w:r>
        <w:br w:type="textWrapping"/>
      </w:r>
      <w:r>
        <w:t xml:space="preserve">- Bude Josef Hubený s návrhem úspěšný? Své závěry právně odůvodněte.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Řešení:</w:t>
      </w:r>
    </w:p>
    <w:p>
      <w:pPr>
        <w:pStyle w:val="BodyText"/>
      </w:pPr>
      <w:r>
        <w:t xml:space="preserve">Pro zodpovězení otázky je primárně nutné podívat se, zda směnka splňuje veškeré náležitosti, které podle zákona splňovat musí.</w:t>
      </w:r>
    </w:p>
    <w:p>
      <w:pPr>
        <w:pStyle w:val="BodyText"/>
      </w:pPr>
      <w:r>
        <w:t xml:space="preserve">Primárně je třeba rozlišit mezi směnkou vlastní a směnkou cizí. Z důvodu, že ve výše uvedené směnce se pan Pavel Tlustý zavázal sám zaplatit ujednanou částku, jedná se o směnku vlastní (viz § 75 Zákona č. 191/1950 Sb., Zákon směnečný a šekový).</w:t>
      </w:r>
    </w:p>
    <w:p>
      <w:pPr>
        <w:pStyle w:val="BodyText"/>
      </w:pPr>
      <w:r>
        <w:t xml:space="preserve">U směnky vlastní zákon předpokládá ve výše zmíněném paragrafu splnění následujících podmínek:</w:t>
      </w:r>
    </w:p>
    <w:p>
      <w:pPr>
        <w:pStyle w:val="Compact"/>
        <w:numPr>
          <w:numId w:val="1001"/>
          <w:ilvl w:val="0"/>
        </w:numPr>
      </w:pPr>
      <w:r>
        <w:t xml:space="preserve">označení, že jde o směnku, pojaté do vlastního textu listiny a vyjádřené v jazyku, ve kterém je tato listina sepsána;</w:t>
      </w:r>
    </w:p>
    <w:p>
      <w:pPr>
        <w:pStyle w:val="Compact"/>
        <w:numPr>
          <w:numId w:val="1001"/>
          <w:ilvl w:val="0"/>
        </w:numPr>
      </w:pPr>
      <w:r>
        <w:t xml:space="preserve">bezpodmínečný slib zaplatit určitou peněžitou sumu;</w:t>
      </w:r>
    </w:p>
    <w:p>
      <w:pPr>
        <w:pStyle w:val="Compact"/>
        <w:numPr>
          <w:numId w:val="1001"/>
          <w:ilvl w:val="0"/>
        </w:numPr>
      </w:pPr>
      <w:r>
        <w:t xml:space="preserve">údaj splatnosti;</w:t>
      </w:r>
    </w:p>
    <w:p>
      <w:pPr>
        <w:pStyle w:val="Compact"/>
        <w:numPr>
          <w:numId w:val="1001"/>
          <w:ilvl w:val="0"/>
        </w:numPr>
      </w:pPr>
      <w:r>
        <w:t xml:space="preserve">údaj místa, kde má být placeno;</w:t>
      </w:r>
    </w:p>
    <w:p>
      <w:pPr>
        <w:pStyle w:val="Compact"/>
        <w:numPr>
          <w:numId w:val="1001"/>
          <w:ilvl w:val="0"/>
        </w:numPr>
      </w:pPr>
      <w:r>
        <w:t xml:space="preserve">jméno toho, komu nebo na jehož řad má být placeno;</w:t>
      </w:r>
    </w:p>
    <w:p>
      <w:pPr>
        <w:pStyle w:val="Compact"/>
        <w:numPr>
          <w:numId w:val="1001"/>
          <w:ilvl w:val="0"/>
        </w:numPr>
      </w:pPr>
      <w:r>
        <w:t xml:space="preserve">datum a místo vystavení směnky;</w:t>
      </w:r>
    </w:p>
    <w:p>
      <w:pPr>
        <w:pStyle w:val="Compact"/>
        <w:numPr>
          <w:numId w:val="1001"/>
          <w:ilvl w:val="0"/>
        </w:numPr>
      </w:pPr>
      <w:r>
        <w:t xml:space="preserve">podpis výstavce.</w:t>
      </w:r>
    </w:p>
    <w:p>
      <w:pPr>
        <w:pStyle w:val="FirstParagraph"/>
      </w:pPr>
      <w:r>
        <w:t xml:space="preserve">Při rozebrání jednotlivých bodů je možné s jistotou říci, že:</w:t>
      </w:r>
    </w:p>
    <w:p>
      <w:pPr>
        <w:pStyle w:val="Compact"/>
        <w:numPr>
          <w:numId w:val="1002"/>
          <w:ilvl w:val="0"/>
        </w:numPr>
      </w:pPr>
      <w:r>
        <w:t xml:space="preserve">bod první je splněn, neboť listina je jakožto směnka ve vlastním textu označena,</w:t>
      </w:r>
    </w:p>
    <w:p>
      <w:pPr>
        <w:pStyle w:val="Compact"/>
        <w:numPr>
          <w:numId w:val="1002"/>
          <w:ilvl w:val="0"/>
        </w:numPr>
      </w:pPr>
      <w:r>
        <w:t xml:space="preserve">bod druhý je splněn, neboť z prohlášení jasně vyplývá závazek zaplatit ujednanou částku, a to i přes to, že částka uvedená číslicemi se rozchází s částkou uvedenou slovy, neboť zákon v §6 odst. 1 stanovuje, že pokud se částka uvedená čísly a částka uvedená slovy rozcházejí, tak platí částka uvedená slovy,</w:t>
      </w:r>
    </w:p>
    <w:p>
      <w:pPr>
        <w:pStyle w:val="Compact"/>
        <w:numPr>
          <w:numId w:val="1002"/>
          <w:ilvl w:val="0"/>
        </w:numPr>
      </w:pPr>
      <w:r>
        <w:t xml:space="preserve">bod třetí</w:t>
      </w:r>
      <w:r>
        <w:t xml:space="preserve"> </w:t>
      </w:r>
      <w:r>
        <w:rPr>
          <w:b/>
        </w:rPr>
        <w:t xml:space="preserve">není</w:t>
      </w:r>
      <w:r>
        <w:t xml:space="preserve"> </w:t>
      </w:r>
      <w:r>
        <w:t xml:space="preserve">splněn, neboť:</w:t>
      </w:r>
    </w:p>
    <w:p>
      <w:pPr>
        <w:pStyle w:val="Compact"/>
        <w:numPr>
          <w:numId w:val="1003"/>
          <w:ilvl w:val="1"/>
        </w:numPr>
      </w:pPr>
      <w:r>
        <w:t xml:space="preserve">zákon stanoví v $ 33 následující podmínky:</w:t>
      </w:r>
    </w:p>
    <w:p>
      <w:pPr>
        <w:pStyle w:val="Compact"/>
        <w:numPr>
          <w:numId w:val="1004"/>
          <w:ilvl w:val="2"/>
        </w:numPr>
      </w:pPr>
      <w:r>
        <w:t xml:space="preserve">Směnka může být vystavena:</w:t>
      </w:r>
    </w:p>
    <w:p>
      <w:pPr>
        <w:pStyle w:val="Compact"/>
        <w:numPr>
          <w:numId w:val="1005"/>
          <w:ilvl w:val="3"/>
        </w:numPr>
      </w:pPr>
      <w:r>
        <w:t xml:space="preserve">na viděnou,</w:t>
      </w:r>
    </w:p>
    <w:p>
      <w:pPr>
        <w:pStyle w:val="Compact"/>
        <w:numPr>
          <w:numId w:val="1005"/>
          <w:ilvl w:val="3"/>
        </w:numPr>
      </w:pPr>
      <w:r>
        <w:t xml:space="preserve">na určitý čas po viděné,</w:t>
      </w:r>
    </w:p>
    <w:p>
      <w:pPr>
        <w:pStyle w:val="Compact"/>
        <w:numPr>
          <w:numId w:val="1005"/>
          <w:ilvl w:val="3"/>
        </w:numPr>
      </w:pPr>
      <w:r>
        <w:t xml:space="preserve">na určitý čas po datu vystavení,</w:t>
      </w:r>
    </w:p>
    <w:p>
      <w:pPr>
        <w:pStyle w:val="Compact"/>
        <w:numPr>
          <w:numId w:val="1005"/>
          <w:ilvl w:val="3"/>
        </w:numPr>
      </w:pPr>
      <w:r>
        <w:t xml:space="preserve">na určitý den.</w:t>
      </w:r>
    </w:p>
    <w:p>
      <w:pPr>
        <w:pStyle w:val="Compact"/>
        <w:numPr>
          <w:numId w:val="1004"/>
          <w:ilvl w:val="2"/>
        </w:numPr>
      </w:pPr>
      <w:r>
        <w:rPr>
          <w:b/>
        </w:rPr>
        <w:t xml:space="preserve">Směnky s jinou dobou splatnosti nebo se splatností postupnou jsou neplatné.</w:t>
      </w:r>
    </w:p>
    <w:p>
      <w:pPr>
        <w:pStyle w:val="Compact"/>
        <w:numPr>
          <w:numId w:val="1003"/>
          <w:ilvl w:val="1"/>
        </w:numPr>
      </w:pPr>
      <w:r>
        <w:t xml:space="preserve">pokud by tedy jednotlivé</w:t>
      </w:r>
      <w:r>
        <w:t xml:space="preserve"> </w:t>
      </w:r>
      <w:r>
        <w:rPr>
          <w:b/>
        </w:rPr>
        <w:t xml:space="preserve">taxativně</w:t>
      </w:r>
      <w:r>
        <w:t xml:space="preserve"> </w:t>
      </w:r>
      <w:r>
        <w:t xml:space="preserve">vymezené doby splatnosti byly vyjádřeny jako:</w:t>
      </w:r>
    </w:p>
    <w:p>
      <w:pPr>
        <w:pStyle w:val="Compact"/>
        <w:numPr>
          <w:numId w:val="1006"/>
          <w:ilvl w:val="2"/>
        </w:numPr>
      </w:pPr>
      <w:r>
        <w:t xml:space="preserve">směnka je splatná při předložení,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 dnů po předložení,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 dnů po datu vystavení,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X. dne měsíce X.</w:t>
      </w:r>
    </w:p>
    <w:p>
      <w:pPr>
        <w:pStyle w:val="Compact"/>
        <w:numPr>
          <w:numId w:val="1003"/>
          <w:ilvl w:val="1"/>
        </w:numPr>
      </w:pPr>
      <w:r>
        <w:t xml:space="preserve">domnívám se proto, že problém pro zhodnocení tohoto bodu jako splněného představuje slovo</w:t>
      </w:r>
      <w:r>
        <w:t xml:space="preserve"> </w:t>
      </w:r>
      <w:r>
        <w:rPr>
          <w:b/>
        </w:rPr>
        <w:t xml:space="preserve">nebo</w:t>
      </w:r>
      <w:r>
        <w:t xml:space="preserve"> </w:t>
      </w:r>
      <w:r>
        <w:t xml:space="preserve">v určení data splatnosti směnky, a to z toho důvodu, že směnka nesplňuje ani jednu z výše uvedených podmínek, která musí být pro platnost sjednaného data splatnosti ujednána. Nejblíže je pak bodu 4</w:t>
      </w:r>
      <w:r>
        <w:t xml:space="preserve"> </w:t>
      </w:r>
      <w:r>
        <w:rPr>
          <w:i/>
        </w:rPr>
        <w:t xml:space="preserve">na určitý den</w:t>
      </w:r>
      <w:r>
        <w:t xml:space="preserve">, ani ten však nesplňuje, neboť umožňuje splatnost v</w:t>
      </w:r>
      <w:r>
        <w:t xml:space="preserve"> </w:t>
      </w:r>
      <w:r>
        <w:rPr>
          <w:b/>
        </w:rPr>
        <w:t xml:space="preserve">určitý den</w:t>
      </w:r>
      <w:r>
        <w:t xml:space="preserve"> </w:t>
      </w:r>
      <w:r>
        <w:t xml:space="preserve">nebo v</w:t>
      </w:r>
      <w:r>
        <w:t xml:space="preserve"> </w:t>
      </w:r>
      <w:r>
        <w:rPr>
          <w:b/>
        </w:rPr>
        <w:t xml:space="preserve">jiný určitý den</w:t>
      </w:r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bod čtvrtý je splněn, neboť ze zadání vyplývá, že místo splatnosti bylo určeno,</w:t>
      </w:r>
    </w:p>
    <w:p>
      <w:pPr>
        <w:pStyle w:val="Compact"/>
        <w:numPr>
          <w:numId w:val="1002"/>
          <w:ilvl w:val="0"/>
        </w:numPr>
      </w:pPr>
      <w:r>
        <w:t xml:space="preserve">bod pátý je splněn, směnka totiž stanoví komu má být plněno,</w:t>
      </w:r>
    </w:p>
    <w:p>
      <w:pPr>
        <w:pStyle w:val="Compact"/>
        <w:numPr>
          <w:numId w:val="1002"/>
          <w:ilvl w:val="0"/>
        </w:numPr>
      </w:pPr>
      <w:r>
        <w:t xml:space="preserve">bod šestý je dle zadání splněn (dne 5. ledna 2019 podepsal),</w:t>
      </w:r>
    </w:p>
    <w:p>
      <w:pPr>
        <w:pStyle w:val="Compact"/>
        <w:numPr>
          <w:numId w:val="1002"/>
          <w:ilvl w:val="0"/>
        </w:numPr>
      </w:pPr>
      <w:r>
        <w:t xml:space="preserve">bod sedmý je rovněž splněn (podepsal).</w:t>
      </w:r>
    </w:p>
    <w:p>
      <w:pPr>
        <w:pStyle w:val="FirstParagraph"/>
      </w:pPr>
      <w:r>
        <w:t xml:space="preserve">Z výše uvedeného tedy vyplývá, že v případě směnky uvedené v příkladu není možné hovořit o platné směnce.</w:t>
      </w:r>
    </w:p>
    <w:p>
      <w:pPr>
        <w:pStyle w:val="BodyText"/>
      </w:pPr>
      <w:r>
        <w:t xml:space="preserve">Aby Josef Hubený uspěl se svým návrhem, musel by podle Zákona č. 99/1963 Sb., Občanský soudní řád, části třetí, Hlavy čtvrté, Platební rozkaz k návrhu přiložit směnku, o jejíž pravosti a platnosti není pochybu.</w:t>
      </w:r>
    </w:p>
    <w:p>
      <w:pPr>
        <w:pStyle w:val="BodyText"/>
      </w:pPr>
      <w:r>
        <w:t xml:space="preserve">V případě, že by se tedy pan Josef Hubený obrátil na soud s návrhem na vydání směnečného platebního rozkazu, neuspěl by, neboť, směnka není v bodě 3 § 75 Zákona směnečného a šekového platná.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2d8a30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5e50c616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a7f1bb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2021-01-20T13:55:53Z</dcterms:created>
  <dcterms:modified xsi:type="dcterms:W3CDTF">2021-01-20T13:55:53Z</dcterms:modified>
</cp:coreProperties>
</file>