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Compact"/>
        <w:numPr>
          <w:numId w:val="1001"/>
          <w:ilvl w:val="0"/>
        </w:numPr>
      </w:pPr>
      <w:r>
        <w:rPr>
          <w:b/>
        </w:rPr>
        <w:t xml:space="preserve">a) Bylo rozhodnutí valné hromady o uložení příplatkové povinnosti přijato v souladu s právem?</w:t>
      </w:r>
    </w:p>
    <w:p>
      <w:pPr>
        <w:pStyle w:val="Compact"/>
        <w:numPr>
          <w:numId w:val="1001"/>
          <w:ilvl w:val="0"/>
        </w:numPr>
      </w:pPr>
      <w:r>
        <w:rPr>
          <w:b/>
        </w:rPr>
        <w:t xml:space="preserve">b) Jak by měl soud rozhodnout o žalobě společnosti a vypořádat se s námitkami žalovaného?</w:t>
      </w:r>
      <w:r>
        <w:br w:type="textWrapping"/>
      </w:r>
      <w:r>
        <w:rPr>
          <w:b/>
        </w:rPr>
        <w:t xml:space="preserve">Své závěry právně odůvodněte.</w:t>
      </w:r>
    </w:p>
    <w:p>
      <w:pPr>
        <w:pStyle w:val="FirstParagraph"/>
      </w:pPr>
      <w:r>
        <w:rPr>
          <w:b/>
        </w:rPr>
        <w:t xml:space="preserve">Řešení</w:t>
      </w:r>
      <w:r>
        <w:br w:type="textWrapping"/>
      </w:r>
      <w:r>
        <w:t xml:space="preserve"> </w:t>
      </w:r>
      <w:r>
        <w:br w:type="textWrapping"/>
      </w:r>
      <w:r>
        <w:t xml:space="preserve">Ad a)  </w:t>
      </w:r>
      <w:r>
        <w:br w:type="textWrapping"/>
      </w:r>
      <w:r>
        <w:t xml:space="preserve">Základní předpoklady pro uložení příplatkové povinnosti byly v daném případě splněny. Uložit příplatkovou povinnost v určené výši připouštěla v souladu s § 162 odst. 1 a 2 z. o. k. společenská smlouva a k přijetí rozhodnutí dle § 170 z. o. k. postačuje prostá většina hlasů přítomných společníků, jsou-li podle § 169 odst. 1 z. o. k. přítomni společníci, kteří mají alespoň polovinu všech hlasů. Posuzované rozhodnutí valné hromady o uložení příplatkové povinnosti přesto zákonu odporuje, když rozpor usnesení valné hromady se zákonem může spočívat i jen v pochybeních, která se týkají svolání či průběhu valné hromady.  </w:t>
      </w:r>
      <w:r>
        <w:br w:type="textWrapping"/>
      </w:r>
      <w:r>
        <w:t xml:space="preserve">Právo účastnit se valné hromady, a tedy být k této účasti řádné pozván, je stěžejním právem každého společníka společnosti s ručením omezeným, zcela bez ohledu na výši jeho podílu  (§ 167 odst. 1, § 168 odst. 1 z. o. k.). Tím, že společnost nezaslala společníku Aleši Vymětalovi pozvánku na zasedání valné hromady na jeho adresu uvedenou v seznamu společníků (§ 184 odst. 2 z. o. k.) a že valná hromada rozhodovala o uložení příplatkové povinnosti bez toho, aby se tento společník valné hromady mohl zúčastnit a uplatňovat na ní svá práva, společnost porušila zákon a vážně zasáhla do jeho základních práv, která mu plynou z účasti ve společnosti.  </w:t>
      </w:r>
      <w:r>
        <w:br w:type="textWrapping"/>
      </w:r>
      <w:r>
        <w:t xml:space="preserve">Na závažnosti tohoto rozporu se zákonem nic nemění skutečnost, že i kdyby se Aleš Vymětal zasedání valné hromady zúčastnil, svými hlasy nemohl přijetí rozhodnutí o uložení příplatkové povinnosti zabránit, ostatní společníci tedy mohli rozhodnutí přijmout i proti jeho vůli.  </w:t>
      </w:r>
      <w:r>
        <w:br w:type="textWrapping"/>
      </w:r>
      <w:r>
        <w:t xml:space="preserve">Rozhodnutí valné hromady o uložení příplatkové povinnosti tak z uvedeného důvodu nebylo v souladu s právem.  </w:t>
      </w:r>
      <w:r>
        <w:br w:type="textWrapping"/>
      </w:r>
      <w:r>
        <w:t xml:space="preserve"> </w:t>
      </w:r>
      <w:r>
        <w:br w:type="textWrapping"/>
      </w:r>
      <w:r>
        <w:t xml:space="preserve">Ad b)  </w:t>
      </w:r>
      <w:r>
        <w:br w:type="textWrapping"/>
      </w:r>
      <w:r>
        <w:t xml:space="preserve">Vzhledem k tomu, že rozhodnutí valné hromady o uložení příplatkové povinnosti bylo z popsaného důvodu přijato v rozporu s právem, mohl se společník Aleš Vymětal podle  § 191 odst. 1 z. o. k. ve spojení s § 258 - § 261 o. z. domáhat u soudu vyslovení jeho neplatnosti. Toto právo však musel podle § 259 o. z. uplatnit nejpozději do tří měsíců ode dne, kdy se o rozhodnutí dozvěděl, nejpozději však do jednoho roku od jeho přijetí. Neučinil-li tak, zaniklo. (Nad rámec požadovaného řešení lze dodat, že kdyby soud o návrhu rozhodoval, v souladu s § 260 odst. 1 o. z. by poměřoval závažnost právních následků posuzovaného zásahu do základních práv společníka na jedné straně a zájem společnosti hodný právní ochrany neplatnost nevyslovit na straně druhé; pro řešení daného případu však výsledek tohoto posouzení není podstatný). </w:t>
      </w:r>
      <w:r>
        <w:br w:type="textWrapping"/>
      </w:r>
      <w:r>
        <w:t xml:space="preserve">Dokud soud v řízení o včas podaném návrhu podle § 191 z. o. k. ve spojení s § 258 – § 261 o. z. neplatnost rozhodnutí valné hromady (svým konstitutivním rozhodnutím) pravomocně nevysloví, je na toto rozhodnutí (vzdor namítaným důvodům neplatnosti) nutno nahlížet jako na platné.  </w:t>
      </w:r>
      <w:r>
        <w:br w:type="textWrapping"/>
      </w:r>
      <w:r>
        <w:t xml:space="preserve">Z ustanovení § 192 odst. 1 z. o. k. se současně podává, že nebylo-li právo podle § 191 z. o. k. v zákonné lhůtě uplatněno, nelze platnost usnesení valné hromady již přezkoumávat. V řízení o žalobě na splnění příplatkové povinnosti, kterou usnesení založilo, tak soud nemůže zkoumat, zda valná hromada usnesení přijala v souladu se zákonem. I kdyby existovaly důvody pro vyslovení jeho neplatnosti, musí na usnesení nahlížet jako na platné. Námitkami Aleše Vymětala, které se týkají těchto důvodů, by se tak soud neměl zabývat a žalobě společnosti by měl vyhovět.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227d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d181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2021-01-14T00:37:39Z</dcterms:created>
  <dcterms:modified xsi:type="dcterms:W3CDTF">2021-01-14T00:37:39Z</dcterms:modified>
</cp:coreProperties>
</file>