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ruhý-klauzurní-příklad"/>
    <w:p>
      <w:pPr>
        <w:pStyle w:val="Heading1"/>
      </w:pPr>
      <w:r>
        <w:t xml:space="preserve">Druhý klauzurní příklad</w:t>
      </w:r>
    </w:p>
    <w:p>
      <w:pPr>
        <w:pStyle w:val="FirstParagraph"/>
      </w:pPr>
      <w:r>
        <w:rPr>
          <w:bCs/>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Cs/>
          <w:b/>
        </w:rPr>
        <w:t xml:space="preserve">Otázky:</w:t>
      </w:r>
    </w:p>
    <w:p>
      <w:pPr>
        <w:numPr>
          <w:ilvl w:val="0"/>
          <w:numId w:val="1001"/>
        </w:numPr>
        <w:pStyle w:val="Compact"/>
      </w:pPr>
      <w:r>
        <w:t xml:space="preserve">Bylo rozhodnutí valné hromady o uložení příplatkové povinnosti přijato v souladu s právem?</w:t>
      </w:r>
    </w:p>
    <w:p>
      <w:pPr>
        <w:numPr>
          <w:ilvl w:val="0"/>
          <w:numId w:val="1001"/>
        </w:numPr>
        <w:pStyle w:val="Compact"/>
      </w:pPr>
      <w:r>
        <w:t xml:space="preserve">Jak by měl soud rozhodnout o žalobě společnosti a vypořádat se s námitkami žalovaného?</w:t>
      </w:r>
    </w:p>
    <w:p>
      <w:pPr>
        <w:pStyle w:val="FirstParagraph"/>
      </w:pPr>
      <w:r>
        <w:rPr>
          <w:bCs/>
          <w:b/>
        </w:rPr>
        <w:t xml:space="preserve">Řešení</w:t>
      </w:r>
      <w:r>
        <w:br/>
      </w:r>
      <w:r>
        <w:t xml:space="preserve"> </w:t>
      </w:r>
      <w:r>
        <w:br/>
      </w:r>
      <w:r>
        <w:rPr>
          <w:bCs/>
          <w:b/>
        </w:rPr>
        <w:t xml:space="preserve">Otázka a)</w:t>
      </w:r>
      <w:r>
        <w:br/>
      </w:r>
      <w:r>
        <w:t xml:space="preserve"> </w:t>
      </w:r>
      <w:r>
        <w:br/>
      </w:r>
      <w:r>
        <w:t xml:space="preserve">Otázku uložení příplatkové povinnosti řeší Zákon č. 90/2012 Sb., ten v § 162 stanoví následující:</w:t>
      </w:r>
    </w:p>
    <w:p>
      <w:pPr>
        <w:numPr>
          <w:ilvl w:val="0"/>
          <w:numId w:val="1002"/>
        </w:numPr>
        <w:pStyle w:val="Compact"/>
      </w:pPr>
      <w:r>
        <w:t xml:space="preserve">Společenská smlouva může určit, že společnost může usnesením valné hromady společníkům uložit povinnost poskytnout peněžitý příplatek (dále jen „příplatková povinnost“).</w:t>
      </w:r>
      <w:r>
        <w:t xml:space="preserve"> </w:t>
      </w:r>
    </w:p>
    <w:p>
      <w:pPr>
        <w:numPr>
          <w:ilvl w:val="0"/>
          <w:numId w:val="1002"/>
        </w:numPr>
        <w:pStyle w:val="Compact"/>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numPr>
          <w:ilvl w:val="0"/>
          <w:numId w:val="1002"/>
        </w:numPr>
        <w:pStyle w:val="Compact"/>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Cs/>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Cs/>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0"/>
      </w:r>
      <w:r>
        <w:t xml:space="preserve">, viz otázka b).</w:t>
      </w:r>
    </w:p>
    <w:p>
      <w:pPr>
        <w:pStyle w:val="BodyText"/>
      </w:pPr>
      <w:r>
        <w:rPr>
          <w:bCs/>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1"/>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Pokud se nebude domáhat neplatnosti, bude rozhodnutí valné hromady platné.</w:t>
      </w:r>
    </w:p>
  </w:footnote>
  <w:footnote w:id="21">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subject>Kapitálové obchodní korporace</dc:subject>
  <cp:keywords/>
  <dcterms:created xsi:type="dcterms:W3CDTF">2022-01-19T18:45:26Z</dcterms:created>
  <dcterms:modified xsi:type="dcterms:W3CDTF">2022-01-19T18:45:26Z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Dominik Balint (using pandoc)</vt:lpwstr>
  </property>
  <property fmtid="{D5CDD505-2E9C-101B-9397-08002B2CF9AE}" pid="3" name="date-meta">
    <vt:lpwstr>01/10/2020</vt:lpwstr>
  </property>
  <property fmtid="{D5CDD505-2E9C-101B-9397-08002B2CF9AE}" pid="4" name="geometry">
    <vt:lpwstr>margin=2cm</vt:lpwstr>
  </property>
  <property fmtid="{D5CDD505-2E9C-101B-9397-08002B2CF9AE}" pid="5" name="title-meta">
    <vt:lpwstr>2-klauzurni-priklad</vt:lpwstr>
  </property>
</Properties>
</file>