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7" w:name="Xb1454afe7c8cb9f31f3df0e96836d89db32d39a"/>
    <w:p>
      <w:pPr>
        <w:pStyle w:val="Heading1"/>
      </w:pPr>
      <w:r>
        <w:t xml:space="preserve">Informace ke zkouškovému termínu z předmětu Bezpečnostní Hrozby</w:t>
      </w:r>
    </w:p>
    <w:bookmarkStart w:id="20" w:name="seznam-otázek"/>
    <w:p>
      <w:pPr>
        <w:pStyle w:val="Heading2"/>
      </w:pPr>
      <w:r>
        <w:t xml:space="preserve">Seznam otázek</w:t>
      </w:r>
    </w:p>
    <w:p>
      <w:pPr>
        <w:numPr>
          <w:ilvl w:val="0"/>
          <w:numId w:val="1001"/>
        </w:numPr>
        <w:pStyle w:val="Compact"/>
      </w:pPr>
      <w:r>
        <w:t xml:space="preserve">Klasifikace bezpečnostních hrozeb - OK</w:t>
      </w:r>
    </w:p>
    <w:p>
      <w:pPr>
        <w:numPr>
          <w:ilvl w:val="0"/>
          <w:numId w:val="1001"/>
        </w:numPr>
        <w:pStyle w:val="Compact"/>
      </w:pPr>
      <w:r>
        <w:t xml:space="preserve">Historie, vývoj a typologie konfliktů a z nich vyplývajících hrozeb - OK</w:t>
      </w:r>
    </w:p>
    <w:p>
      <w:pPr>
        <w:numPr>
          <w:ilvl w:val="0"/>
          <w:numId w:val="1001"/>
        </w:numPr>
        <w:pStyle w:val="Compact"/>
      </w:pPr>
      <w:r>
        <w:t xml:space="preserve">Příčiny a důsledky konfliktů (demografie, ekonomika, ideologie….) - OK</w:t>
      </w:r>
    </w:p>
    <w:p>
      <w:pPr>
        <w:numPr>
          <w:ilvl w:val="0"/>
          <w:numId w:val="1001"/>
        </w:numPr>
        <w:pStyle w:val="Compact"/>
      </w:pPr>
      <w:r>
        <w:t xml:space="preserve">Tradiční pojetí geopolitiky - OK</w:t>
      </w:r>
    </w:p>
    <w:p>
      <w:pPr>
        <w:numPr>
          <w:ilvl w:val="0"/>
          <w:numId w:val="1001"/>
        </w:numPr>
        <w:pStyle w:val="Compact"/>
      </w:pPr>
      <w:r>
        <w:t xml:space="preserve">Změny bezpečnostního prostředí na počátku 21. století - OK</w:t>
      </w:r>
    </w:p>
    <w:p>
      <w:pPr>
        <w:numPr>
          <w:ilvl w:val="0"/>
          <w:numId w:val="1001"/>
        </w:numPr>
        <w:pStyle w:val="Compact"/>
      </w:pPr>
      <w:r>
        <w:t xml:space="preserve">Analýza a predikce bezpečnostních hrozeb a rizik - OK</w:t>
      </w:r>
    </w:p>
    <w:p>
      <w:pPr>
        <w:numPr>
          <w:ilvl w:val="0"/>
          <w:numId w:val="1001"/>
        </w:numPr>
        <w:pStyle w:val="Compact"/>
      </w:pPr>
      <w:r>
        <w:t xml:space="preserve">Vnitřní bezpečnostní hrozby z pohledu České republiky (terorismus, špionáž, kyberkriminalita, extremismus, organizovaný zločin….) - OK</w:t>
      </w:r>
    </w:p>
    <w:p>
      <w:pPr>
        <w:numPr>
          <w:ilvl w:val="0"/>
          <w:numId w:val="1001"/>
        </w:numPr>
        <w:pStyle w:val="Compact"/>
      </w:pPr>
      <w:r>
        <w:t xml:space="preserve">Vnější bezpečnostní hrozby z pohledu EU a NATO (Rusko a Evropa, Balkán, Blízký východ a Subsaharská Afrika, Čína…) - OK</w:t>
      </w:r>
    </w:p>
    <w:p>
      <w:pPr>
        <w:numPr>
          <w:ilvl w:val="0"/>
          <w:numId w:val="1001"/>
        </w:numPr>
        <w:pStyle w:val="Compact"/>
      </w:pPr>
      <w:r>
        <w:t xml:space="preserve">Národní nástroje zajištění bezpečnosti (armáda, policie, zpravodajské služby….) - OK</w:t>
      </w:r>
    </w:p>
    <w:p>
      <w:pPr>
        <w:numPr>
          <w:ilvl w:val="0"/>
          <w:numId w:val="1001"/>
        </w:numPr>
        <w:pStyle w:val="Compact"/>
      </w:pPr>
      <w:r>
        <w:t xml:space="preserve">Mezinárodní bezpečnostní architektura a mezinárodně-právní prostředí - OK</w:t>
      </w:r>
      <w:r>
        <w:br/>
      </w:r>
      <w:r>
        <w:t xml:space="preserve">11 a 12) Případové studie - fenomén tzv. foreign fighters/Střední východ, Rusko a Čína, proliferace WMD aj., další dle potřeby)</w:t>
      </w:r>
    </w:p>
    <w:bookmarkEnd w:id="20"/>
    <w:bookmarkStart w:id="24" w:name="otázka-č.-1"/>
    <w:p>
      <w:pPr>
        <w:pStyle w:val="Heading2"/>
      </w:pPr>
      <w:r>
        <w:t xml:space="preserve">Otázka č. 1</w:t>
      </w:r>
    </w:p>
    <w:p>
      <w:pPr>
        <w:pStyle w:val="FirstParagraph"/>
      </w:pPr>
      <w:r>
        <w:rPr>
          <w:bCs/>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Cs/>
          <w:b/>
        </w:rPr>
        <w:t xml:space="preserve">institucionální</w:t>
      </w:r>
      <w:r>
        <w:t xml:space="preserve"> </w:t>
      </w:r>
      <w:r>
        <w:t xml:space="preserve">(zamýšlená hrozba daným činitelem) a</w:t>
      </w:r>
      <w:r>
        <w:t xml:space="preserve"> </w:t>
      </w:r>
      <w:r>
        <w:rPr>
          <w:bCs/>
          <w:b/>
        </w:rPr>
        <w:t xml:space="preserve">neinstitucionální</w:t>
      </w:r>
      <w:r>
        <w:t xml:space="preserve"> </w:t>
      </w:r>
      <w:r>
        <w:t xml:space="preserve">(jev přírodní)</w:t>
      </w:r>
      <w:r>
        <w:rPr>
          <w:rStyle w:val="FootnoteReference"/>
        </w:rPr>
        <w:footnoteReference w:id="21"/>
      </w:r>
      <w:r>
        <w:t xml:space="preserve">.</w:t>
      </w:r>
    </w:p>
    <w:p>
      <w:pPr>
        <w:pStyle w:val="BodyText"/>
      </w:pPr>
      <w:r>
        <w:rPr>
          <w:bCs/>
          <w:b/>
        </w:rPr>
        <w:t xml:space="preserve">Dělení dle původce hrozby:</w:t>
      </w:r>
    </w:p>
    <w:p>
      <w:pPr>
        <w:numPr>
          <w:ilvl w:val="0"/>
          <w:numId w:val="1002"/>
        </w:numPr>
        <w:pStyle w:val="Compact"/>
      </w:pPr>
      <w:r>
        <w:t xml:space="preserve">„Způsobené přírodou (živelní pohromy, přírodní katastrofy);</w:t>
      </w:r>
    </w:p>
    <w:p>
      <w:pPr>
        <w:numPr>
          <w:ilvl w:val="0"/>
          <w:numId w:val="1002"/>
        </w:numPr>
        <w:pStyle w:val="Compact"/>
      </w:pPr>
      <w:r>
        <w:t xml:space="preserve">Způsobené člověkem (technologické a průmyslové havárie, selhání systémů či prvků kritické infrastruktury);</w:t>
      </w:r>
    </w:p>
    <w:p>
      <w:pPr>
        <w:numPr>
          <w:ilvl w:val="0"/>
          <w:numId w:val="1002"/>
        </w:numPr>
        <w:pStyle w:val="Compact"/>
      </w:pPr>
      <w:r>
        <w:t xml:space="preserve">Úmyslně způsobené člověkem (válečná agrese, trestná činnost, politické násilí).“</w:t>
      </w:r>
    </w:p>
    <w:p>
      <w:pPr>
        <w:pStyle w:val="FirstParagraph"/>
      </w:pPr>
      <w:r>
        <w:rPr>
          <w:bCs/>
          <w:b/>
        </w:rPr>
        <w:t xml:space="preserve">Dělení z hlediska reálného času a míry přítomnosti hrozby:</w:t>
      </w:r>
    </w:p>
    <w:p>
      <w:pPr>
        <w:numPr>
          <w:ilvl w:val="0"/>
          <w:numId w:val="1003"/>
        </w:numPr>
        <w:pStyle w:val="Compact"/>
      </w:pPr>
      <w:r>
        <w:t xml:space="preserve">„Aktuálně existující, působící (jevy, které jsou výraznou součástí aktuálního společenského diskursu, jsou politickou reprezentací i širší veřejností chápány jako akutní, jsou intenzivně medializovány);</w:t>
      </w:r>
    </w:p>
    <w:p>
      <w:pPr>
        <w:numPr>
          <w:ilvl w:val="0"/>
          <w:numId w:val="1003"/>
        </w:numPr>
        <w:pStyle w:val="Compact"/>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Cs/>
          <w:b/>
        </w:rPr>
        <w:t xml:space="preserve">Dělení dle faktoru trvání:</w:t>
      </w:r>
    </w:p>
    <w:p>
      <w:pPr>
        <w:numPr>
          <w:ilvl w:val="0"/>
          <w:numId w:val="1004"/>
        </w:numPr>
        <w:pStyle w:val="Compact"/>
      </w:pPr>
      <w:r>
        <w:t xml:space="preserve">„Jednorázové, akutní (mimořádné události, krizové situace);</w:t>
      </w:r>
    </w:p>
    <w:p>
      <w:pPr>
        <w:numPr>
          <w:ilvl w:val="0"/>
          <w:numId w:val="1004"/>
        </w:numPr>
        <w:pStyle w:val="Compact"/>
      </w:pPr>
      <w:r>
        <w:t xml:space="preserve">Cyklické (spojené s ekonomickými cykly, cykly pandemií);</w:t>
      </w:r>
    </w:p>
    <w:p>
      <w:pPr>
        <w:numPr>
          <w:ilvl w:val="0"/>
          <w:numId w:val="1004"/>
        </w:numPr>
        <w:pStyle w:val="Compact"/>
      </w:pPr>
      <w:r>
        <w:t xml:space="preserve">Trvalé, chronické (jevy, které existují a působí neustále – např. korupce, kriminalita – nebo se vyvíjejí v relativně dlouhodobých etapách – změna klimatu).“</w:t>
      </w:r>
    </w:p>
    <w:p>
      <w:pPr>
        <w:pStyle w:val="FirstParagraph"/>
      </w:pPr>
      <w:r>
        <w:rPr>
          <w:bCs/>
          <w:b/>
        </w:rPr>
        <w:t xml:space="preserve">Klasifikace založena na teritoriálním základě (zeměpisná vzdálenost od referenčního objektu):</w:t>
      </w:r>
    </w:p>
    <w:p>
      <w:pPr>
        <w:numPr>
          <w:ilvl w:val="0"/>
          <w:numId w:val="1005"/>
        </w:numPr>
        <w:pStyle w:val="Compact"/>
      </w:pPr>
      <w:r>
        <w:t xml:space="preserve">„Bezpečnostní hrozba v určitém regionu – bez naprosté geografické separace: teorie soustředných kruhů – probíhající hrozba v jednom definovaném regionu – kruhu – přímo či nepřímo ovlivňuje kruh další (migrační vlna);</w:t>
      </w:r>
    </w:p>
    <w:p>
      <w:pPr>
        <w:numPr>
          <w:ilvl w:val="0"/>
          <w:numId w:val="1005"/>
        </w:numPr>
        <w:pStyle w:val="Compact"/>
      </w:pPr>
      <w:r>
        <w:t xml:space="preserve">Bezpečnostní hrozba v určitém regionu – naprostá geografická separace: teroristické útoky, kybernetické útoky.“</w:t>
      </w:r>
    </w:p>
    <w:p>
      <w:pPr>
        <w:pStyle w:val="FirstParagraph"/>
      </w:pPr>
      <w:r>
        <w:rPr>
          <w:bCs/>
          <w:b/>
        </w:rPr>
        <w:t xml:space="preserve">Klasifikace jednotivých typů dle MVCR:</w:t>
      </w:r>
    </w:p>
    <w:p>
      <w:pPr>
        <w:numPr>
          <w:ilvl w:val="0"/>
          <w:numId w:val="1006"/>
        </w:numPr>
        <w:pStyle w:val="Compact"/>
      </w:pPr>
      <w:r>
        <w:t xml:space="preserve">TERORISMUS</w:t>
      </w:r>
    </w:p>
    <w:p>
      <w:pPr>
        <w:numPr>
          <w:ilvl w:val="0"/>
          <w:numId w:val="1006"/>
        </w:numPr>
        <w:pStyle w:val="Compact"/>
      </w:pPr>
      <w:r>
        <w:t xml:space="preserve">Organizovaný zločin</w:t>
      </w:r>
    </w:p>
    <w:p>
      <w:pPr>
        <w:numPr>
          <w:ilvl w:val="0"/>
          <w:numId w:val="1006"/>
        </w:numPr>
        <w:pStyle w:val="Compact"/>
      </w:pPr>
      <w:r>
        <w:t xml:space="preserve">Kybernetické hrozby</w:t>
      </w:r>
    </w:p>
    <w:p>
      <w:pPr>
        <w:numPr>
          <w:ilvl w:val="0"/>
          <w:numId w:val="1006"/>
        </w:numPr>
        <w:pStyle w:val="Compact"/>
      </w:pPr>
      <w:r>
        <w:t xml:space="preserve">Extremismus</w:t>
      </w:r>
    </w:p>
    <w:p>
      <w:pPr>
        <w:numPr>
          <w:ilvl w:val="0"/>
          <w:numId w:val="1006"/>
        </w:numPr>
        <w:pStyle w:val="Compact"/>
      </w:pPr>
      <w:r>
        <w:t xml:space="preserve">Bezpečnost civilního letectví</w:t>
      </w:r>
    </w:p>
    <w:p>
      <w:pPr>
        <w:numPr>
          <w:ilvl w:val="0"/>
          <w:numId w:val="1006"/>
        </w:numPr>
        <w:pStyle w:val="Compact"/>
      </w:pPr>
      <w:r>
        <w:t xml:space="preserve">Korupce</w:t>
      </w:r>
      <w:r>
        <w:rPr>
          <w:rStyle w:val="FootnoteReference"/>
        </w:rPr>
        <w:footnoteReference w:id="22"/>
      </w:r>
    </w:p>
    <w:p>
      <w:pPr>
        <w:pStyle w:val="FirstParagraph"/>
      </w:pPr>
      <w:r>
        <w:rPr>
          <w:bCs/>
          <w:b/>
        </w:rPr>
        <w:t xml:space="preserve">Klasifikace dle vztahu k referenčním objektům a jejich místu:</w:t>
      </w:r>
    </w:p>
    <w:p>
      <w:pPr>
        <w:numPr>
          <w:ilvl w:val="0"/>
          <w:numId w:val="1007"/>
        </w:numPr>
        <w:pStyle w:val="Compact"/>
      </w:pPr>
      <w:r>
        <w:t xml:space="preserve">„Stát;</w:t>
      </w:r>
    </w:p>
    <w:p>
      <w:pPr>
        <w:numPr>
          <w:ilvl w:val="0"/>
          <w:numId w:val="1007"/>
        </w:numPr>
        <w:pStyle w:val="Compact"/>
      </w:pPr>
      <w:r>
        <w:t xml:space="preserve">Kraje, obce;</w:t>
      </w:r>
    </w:p>
    <w:p>
      <w:pPr>
        <w:numPr>
          <w:ilvl w:val="0"/>
          <w:numId w:val="1007"/>
        </w:numPr>
        <w:pStyle w:val="Compact"/>
      </w:pPr>
      <w:r>
        <w:t xml:space="preserve">Firmy, jiné tržní subjekty;</w:t>
      </w:r>
    </w:p>
    <w:p>
      <w:pPr>
        <w:numPr>
          <w:ilvl w:val="0"/>
          <w:numId w:val="1007"/>
        </w:numPr>
        <w:pStyle w:val="Compact"/>
      </w:pPr>
      <w:r>
        <w:t xml:space="preserve">Organizace nevládního neziskového sektoru;</w:t>
      </w:r>
    </w:p>
    <w:p>
      <w:pPr>
        <w:numPr>
          <w:ilvl w:val="0"/>
          <w:numId w:val="1007"/>
        </w:numPr>
        <w:pStyle w:val="Compact"/>
      </w:pPr>
      <w:r>
        <w:t xml:space="preserve">Občané.“</w:t>
      </w:r>
    </w:p>
    <w:p>
      <w:pPr>
        <w:pStyle w:val="FirstParagraph"/>
      </w:pPr>
      <w:r>
        <w:rPr>
          <w:bCs/>
          <w:b/>
        </w:rPr>
        <w:t xml:space="preserve">Klasifikace dle objektů.</w:t>
      </w:r>
    </w:p>
    <w:p>
      <w:pPr>
        <w:pStyle w:val="BodyText"/>
      </w:pPr>
      <w:r>
        <w:t xml:space="preserve">Klasifikace dle vztahu k referenčním objektům a jejich místu pracuje s myšlenkou, kdy každý</w:t>
      </w:r>
      <w:r>
        <w:br/>
      </w:r>
      <w:r>
        <w:t xml:space="preserve">referenční objekt vnímá konkrétní bezpečnostní hrozbu jinak a na každý objekt má hrozba</w:t>
      </w:r>
      <w:r>
        <w:br/>
      </w:r>
      <w:r>
        <w:t xml:space="preserve">jiný dopad. Pro každý objekt nelze vymezit jednu sadu hrozeb, lze ale rozlišit možnost</w:t>
      </w:r>
      <w:r>
        <w:br/>
      </w:r>
      <w:r>
        <w:t xml:space="preserve">působení a rozsah působení. Povodně jsou například hrozbou pro občany, kraje, obce, firmy</w:t>
      </w:r>
      <w:r>
        <w:br/>
      </w:r>
      <w:r>
        <w:t xml:space="preserve">a to na konkrétním území. Pro stát ve smyslu národní bezpečnosti nehrají tak důležitou roli,</w:t>
      </w:r>
      <w:r>
        <w:br/>
      </w:r>
      <w:r>
        <w:t xml:space="preserve">stejně jako běžná trestná činnost. U hrozby plošného použití zbraní hromadného ničení či</w:t>
      </w:r>
      <w:r>
        <w:br/>
      </w:r>
      <w:r>
        <w:t xml:space="preserve">kompletního narušení prvků a systémů kritické infrastruktury můžeme uvažovat o tom, že</w:t>
      </w:r>
      <w:r>
        <w:br/>
      </w:r>
      <w:r>
        <w:t xml:space="preserve">hrozba se dotkne všech referenčních objektů</w:t>
      </w:r>
      <w:r>
        <w:rPr>
          <w:rStyle w:val="FootnoteReference"/>
        </w:rPr>
        <w:footnoteReference w:id="23"/>
      </w:r>
      <w:r>
        <w:t xml:space="preserve">.</w:t>
      </w:r>
    </w:p>
    <w:bookmarkEnd w:id="24"/>
    <w:bookmarkStart w:id="25" w:name="otázka-č.-2"/>
    <w:p>
      <w:pPr>
        <w:pStyle w:val="Heading2"/>
      </w:pPr>
      <w:r>
        <w:t xml:space="preserve">Otázka č. 2</w:t>
      </w:r>
    </w:p>
    <w:p>
      <w:pPr>
        <w:pStyle w:val="FirstParagraph"/>
      </w:pPr>
      <w:r>
        <w:rPr>
          <w:bCs/>
          <w:b/>
        </w:rPr>
        <w:t xml:space="preserve">Historie:</w:t>
      </w:r>
    </w:p>
    <w:p>
      <w:pPr>
        <w:pStyle w:val="BodyText"/>
      </w:pPr>
      <w:r>
        <w:t xml:space="preserve">konflikty provázejí člov ěka od po čátku jeho existence, nelze zaznamenat období naprosto mírového stavu</w:t>
      </w:r>
    </w:p>
    <w:p>
      <w:pPr>
        <w:pStyle w:val="BodyText"/>
      </w:pPr>
      <w:r>
        <w:rPr>
          <w:bCs/>
          <w:b/>
        </w:rPr>
        <w:t xml:space="preserve">v první fázi se jednalo o boj s přírodou:</w:t>
      </w:r>
      <w:r>
        <w:br/>
      </w:r>
      <w:r>
        <w:t xml:space="preserve">jedinec či celá skupina museli obhájit svou existenci v konfrontaci s přírodními silami</w:t>
      </w:r>
    </w:p>
    <w:p>
      <w:pPr>
        <w:pStyle w:val="BodyText"/>
      </w:pPr>
      <w:r>
        <w:rPr>
          <w:bCs/>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numPr>
          <w:ilvl w:val="0"/>
          <w:numId w:val="1008"/>
        </w:numPr>
      </w:pPr>
      <w:r>
        <w:t xml:space="preserve">počáteční konflikty měly podobu bojů o zajištění potravy</w:t>
      </w:r>
    </w:p>
    <w:p>
      <w:pPr>
        <w:numPr>
          <w:ilvl w:val="0"/>
          <w:numId w:val="1008"/>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numPr>
          <w:ilvl w:val="0"/>
          <w:numId w:val="1008"/>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numPr>
          <w:ilvl w:val="0"/>
          <w:numId w:val="1008"/>
        </w:numPr>
      </w:pPr>
      <w:r>
        <w:t xml:space="preserve">Vedle nich se vytvořily i konflikty, kající charakter střetu ideologií (protivníci jsou z různých zemí i národů, dělícím kritériem je politické přesvědčení)</w:t>
      </w:r>
    </w:p>
    <w:p>
      <w:pPr>
        <w:numPr>
          <w:ilvl w:val="0"/>
          <w:numId w:val="1008"/>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Cs/>
          <w:b/>
        </w:rPr>
        <w:t xml:space="preserve">Vývoj:</w:t>
      </w:r>
    </w:p>
    <w:p>
      <w:pPr>
        <w:pStyle w:val="BodyText"/>
      </w:pPr>
      <w:r>
        <w:t xml:space="preserve">Historie.</w:t>
      </w:r>
    </w:p>
    <w:p>
      <w:pPr>
        <w:pStyle w:val="BodyText"/>
      </w:pPr>
      <w:r>
        <w:rPr>
          <w:bCs/>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numPr>
          <w:ilvl w:val="0"/>
          <w:numId w:val="1009"/>
        </w:numPr>
        <w:pStyle w:val="Compact"/>
      </w:pPr>
      <w:r>
        <w:t xml:space="preserve">„Podle jeho umístění v mezinárodním systému na:</w:t>
      </w:r>
    </w:p>
    <w:p>
      <w:pPr>
        <w:numPr>
          <w:ilvl w:val="1"/>
          <w:numId w:val="1010"/>
        </w:numPr>
        <w:pStyle w:val="Compact"/>
      </w:pPr>
    </w:p>
    <w:p>
      <w:pPr>
        <w:numPr>
          <w:ilvl w:val="2"/>
          <w:numId w:val="1011"/>
        </w:numPr>
        <w:pStyle w:val="Compact"/>
      </w:pPr>
      <w:r>
        <w:t xml:space="preserve">vnitrostátní konflikt (nevládní či opoziční skupina se staví proti oficiální vládě v daném státě)</w:t>
      </w:r>
    </w:p>
    <w:p>
      <w:pPr>
        <w:numPr>
          <w:ilvl w:val="1"/>
          <w:numId w:val="1010"/>
        </w:numPr>
        <w:pStyle w:val="Compact"/>
      </w:pPr>
    </w:p>
    <w:p>
      <w:pPr>
        <w:numPr>
          <w:ilvl w:val="2"/>
          <w:numId w:val="1012"/>
        </w:numPr>
        <w:pStyle w:val="Compact"/>
      </w:pPr>
      <w:r>
        <w:t xml:space="preserve">vnitrostátní konflikt pod vnějším tlakem (zapojují se do něj ekonomicky či politicky jiné státy)</w:t>
      </w:r>
    </w:p>
    <w:p>
      <w:pPr>
        <w:numPr>
          <w:ilvl w:val="1"/>
          <w:numId w:val="1010"/>
        </w:numPr>
        <w:pStyle w:val="Compact"/>
      </w:pPr>
    </w:p>
    <w:p>
      <w:pPr>
        <w:numPr>
          <w:ilvl w:val="2"/>
          <w:numId w:val="1013"/>
        </w:numPr>
        <w:pStyle w:val="Compact"/>
      </w:pPr>
      <w:r>
        <w:t xml:space="preserve">konflikty mezinárodní (do konfliktu je zapojeno dva či více států a odehrávají se v mezinárodním systému)</w:t>
      </w:r>
    </w:p>
    <w:p>
      <w:pPr>
        <w:numPr>
          <w:ilvl w:val="0"/>
          <w:numId w:val="1009"/>
        </w:numPr>
        <w:pStyle w:val="Compact"/>
      </w:pPr>
      <w:r>
        <w:t xml:space="preserve">Podle prostředků, které se v konfliktu využívají na:</w:t>
      </w:r>
    </w:p>
    <w:p>
      <w:pPr>
        <w:numPr>
          <w:ilvl w:val="1"/>
          <w:numId w:val="1014"/>
        </w:numPr>
        <w:pStyle w:val="Compact"/>
      </w:pPr>
    </w:p>
    <w:p>
      <w:pPr>
        <w:numPr>
          <w:ilvl w:val="2"/>
          <w:numId w:val="1015"/>
        </w:numPr>
        <w:pStyle w:val="Compact"/>
      </w:pPr>
      <w:r>
        <w:t xml:space="preserve">násilné</w:t>
      </w:r>
    </w:p>
    <w:p>
      <w:pPr>
        <w:numPr>
          <w:ilvl w:val="1"/>
          <w:numId w:val="1014"/>
        </w:numPr>
        <w:pStyle w:val="Compact"/>
      </w:pPr>
    </w:p>
    <w:p>
      <w:pPr>
        <w:numPr>
          <w:ilvl w:val="2"/>
          <w:numId w:val="1016"/>
        </w:numPr>
        <w:pStyle w:val="Compact"/>
      </w:pPr>
      <w:r>
        <w:t xml:space="preserve">nenásilné</w:t>
      </w:r>
    </w:p>
    <w:p>
      <w:pPr>
        <w:numPr>
          <w:ilvl w:val="0"/>
          <w:numId w:val="1009"/>
        </w:numPr>
        <w:pStyle w:val="Compact"/>
      </w:pPr>
      <w:r>
        <w:t xml:space="preserve">Podle druhů zájmů jednotlivých aktérů konfliktu na:</w:t>
      </w:r>
    </w:p>
    <w:p>
      <w:pPr>
        <w:numPr>
          <w:ilvl w:val="1"/>
          <w:numId w:val="1017"/>
        </w:numPr>
        <w:pStyle w:val="Compact"/>
      </w:pPr>
    </w:p>
    <w:p>
      <w:pPr>
        <w:numPr>
          <w:ilvl w:val="2"/>
          <w:numId w:val="1018"/>
        </w:numPr>
        <w:pStyle w:val="Compact"/>
      </w:pPr>
      <w:r>
        <w:t xml:space="preserve">konflikty teritoriální (jedná se o územní spory)</w:t>
      </w:r>
    </w:p>
    <w:p>
      <w:pPr>
        <w:numPr>
          <w:ilvl w:val="1"/>
          <w:numId w:val="1017"/>
        </w:numPr>
        <w:pStyle w:val="Compact"/>
      </w:pPr>
    </w:p>
    <w:p>
      <w:pPr>
        <w:numPr>
          <w:ilvl w:val="2"/>
          <w:numId w:val="1019"/>
        </w:numPr>
        <w:pStyle w:val="Compact"/>
      </w:pPr>
      <w:r>
        <w:t xml:space="preserve">konflikty mocensko-politické (získání a udržení moci)</w:t>
      </w:r>
    </w:p>
    <w:p>
      <w:pPr>
        <w:numPr>
          <w:ilvl w:val="1"/>
          <w:numId w:val="1017"/>
        </w:numPr>
        <w:pStyle w:val="Compact"/>
      </w:pPr>
    </w:p>
    <w:p>
      <w:pPr>
        <w:numPr>
          <w:ilvl w:val="2"/>
          <w:numId w:val="1020"/>
        </w:numPr>
        <w:pStyle w:val="Compact"/>
      </w:pPr>
      <w:r>
        <w:t xml:space="preserve">konflikty ideologické (vznikají na ideologickém základě)</w:t>
      </w:r>
    </w:p>
    <w:p>
      <w:pPr>
        <w:numPr>
          <w:ilvl w:val="1"/>
          <w:numId w:val="1017"/>
        </w:numPr>
        <w:pStyle w:val="Compact"/>
      </w:pPr>
    </w:p>
    <w:p>
      <w:pPr>
        <w:numPr>
          <w:ilvl w:val="2"/>
          <w:numId w:val="1021"/>
        </w:numPr>
        <w:pStyle w:val="Compact"/>
      </w:pPr>
      <w:r>
        <w:t xml:space="preserve">konflikty ekonomické (konflikty o zdroje).“</w:t>
      </w:r>
    </w:p>
    <w:bookmarkEnd w:id="25"/>
    <w:bookmarkStart w:id="27" w:name="otázka-č.-3"/>
    <w:p>
      <w:pPr>
        <w:pStyle w:val="Heading2"/>
      </w:pPr>
      <w:r>
        <w:t xml:space="preserve">Otázka č. 3</w:t>
      </w:r>
    </w:p>
    <w:p>
      <w:pPr>
        <w:pStyle w:val="FirstParagraph"/>
      </w:pPr>
      <w:r>
        <w:t xml:space="preserve">Součásti, příčiny a následky konfliktů:</w:t>
      </w:r>
      <w:r>
        <w:t xml:space="preserve"> </w:t>
      </w:r>
      <w:hyperlink r:id="rId26">
        <w:r>
          <w:rPr>
            <w:rStyle w:val="Hyperlink"/>
          </w:rPr>
          <w:t xml:space="preserve">https://www.businessmanagementideas.com/notes/management-notes/conflict-management/conflict-features-causes-and-consequences-organisation/5009</w:t>
        </w:r>
      </w:hyperlink>
    </w:p>
    <w:p>
      <w:pPr>
        <w:pStyle w:val="BodyText"/>
      </w:pPr>
      <w:r>
        <w:rPr>
          <w:bCs/>
          <w:b/>
        </w:rPr>
        <w:t xml:space="preserve">Další Causes:</w:t>
      </w:r>
    </w:p>
    <w:p>
      <w:pPr>
        <w:pStyle w:val="BodyText"/>
      </w:pPr>
      <w:r>
        <w:t xml:space="preserve">International Conflict Behavior (as defined in Table 4.4) is caused by:</w:t>
      </w:r>
    </w:p>
    <w:p>
      <w:pPr>
        <w:numPr>
          <w:ilvl w:val="0"/>
          <w:numId w:val="1022"/>
        </w:numPr>
        <w:pStyle w:val="Compact"/>
      </w:pPr>
      <w:r>
        <w:t xml:space="preserve">opposing interests and capabilities (specific sociocultural differences and similarities between the parties),</w:t>
      </w:r>
    </w:p>
    <w:p>
      <w:pPr>
        <w:numPr>
          <w:ilvl w:val="0"/>
          <w:numId w:val="1022"/>
        </w:numPr>
        <w:pStyle w:val="Compact"/>
      </w:pPr>
      <w:r>
        <w:t xml:space="preserve">contact and salience (awareness),</w:t>
      </w:r>
    </w:p>
    <w:p>
      <w:pPr>
        <w:numPr>
          <w:ilvl w:val="0"/>
          <w:numId w:val="1022"/>
        </w:numPr>
        <w:pStyle w:val="Compact"/>
      </w:pPr>
      <w:r>
        <w:t xml:space="preserve">significant change in the balance of powers,</w:t>
      </w:r>
    </w:p>
    <w:p>
      <w:pPr>
        <w:numPr>
          <w:ilvl w:val="0"/>
          <w:numId w:val="1022"/>
        </w:numPr>
        <w:pStyle w:val="Compact"/>
      </w:pPr>
      <w:r>
        <w:t xml:space="preserve">individual perceptions and expectations,</w:t>
      </w:r>
    </w:p>
    <w:p>
      <w:pPr>
        <w:numPr>
          <w:ilvl w:val="0"/>
          <w:numId w:val="1022"/>
        </w:numPr>
        <w:pStyle w:val="Compact"/>
      </w:pPr>
      <w:r>
        <w:t xml:space="preserve">a disrupted structure of expectations,</w:t>
      </w:r>
    </w:p>
    <w:p>
      <w:pPr>
        <w:numPr>
          <w:ilvl w:val="0"/>
          <w:numId w:val="1022"/>
        </w:numPr>
        <w:pStyle w:val="Compact"/>
      </w:pPr>
      <w:r>
        <w:t xml:space="preserve">a will-to-conflict.</w:t>
      </w:r>
    </w:p>
    <w:p>
      <w:pPr>
        <w:pStyle w:val="FirstParagraph"/>
      </w:pPr>
      <w:r>
        <w:t xml:space="preserve">It is aggravated by:</w:t>
      </w:r>
    </w:p>
    <w:p>
      <w:pPr>
        <w:numPr>
          <w:ilvl w:val="0"/>
          <w:numId w:val="1023"/>
        </w:numPr>
        <w:pStyle w:val="Compact"/>
      </w:pPr>
      <w:r>
        <w:t xml:space="preserve">sociocultural dissimilarity,</w:t>
      </w:r>
    </w:p>
    <w:p>
      <w:pPr>
        <w:numPr>
          <w:ilvl w:val="0"/>
          <w:numId w:val="1023"/>
        </w:numPr>
        <w:pStyle w:val="Compact"/>
      </w:pPr>
      <w:r>
        <w:t xml:space="preserve">cognitive imbalance,</w:t>
      </w:r>
    </w:p>
    <w:p>
      <w:pPr>
        <w:numPr>
          <w:ilvl w:val="0"/>
          <w:numId w:val="1023"/>
        </w:numPr>
        <w:pStyle w:val="Compact"/>
      </w:pPr>
      <w:r>
        <w:t xml:space="preserve">status difference,</w:t>
      </w:r>
    </w:p>
    <w:p>
      <w:pPr>
        <w:numPr>
          <w:ilvl w:val="0"/>
          <w:numId w:val="1023"/>
        </w:numPr>
        <w:pStyle w:val="Compact"/>
      </w:pPr>
      <w:r>
        <w:t xml:space="preserve">coercive state power.</w:t>
      </w:r>
    </w:p>
    <w:p>
      <w:pPr>
        <w:pStyle w:val="FirstParagraph"/>
      </w:pPr>
      <w:r>
        <w:t xml:space="preserve">It is inhibited by:</w:t>
      </w:r>
    </w:p>
    <w:p>
      <w:pPr>
        <w:numPr>
          <w:ilvl w:val="0"/>
          <w:numId w:val="1024"/>
        </w:numPr>
        <w:pStyle w:val="Compact"/>
      </w:pPr>
      <w:r>
        <w:t xml:space="preserve">sociocultural similarity,</w:t>
      </w:r>
    </w:p>
    <w:p>
      <w:pPr>
        <w:numPr>
          <w:ilvl w:val="0"/>
          <w:numId w:val="1024"/>
        </w:numPr>
        <w:pStyle w:val="Compact"/>
      </w:pPr>
      <w:r>
        <w:t xml:space="preserve">decentralized or weak, coercive state power.</w:t>
      </w:r>
    </w:p>
    <w:p>
      <w:pPr>
        <w:pStyle w:val="FirstParagraph"/>
      </w:pPr>
      <w:r>
        <w:t xml:space="preserve">It is triggered by:</w:t>
      </w:r>
    </w:p>
    <w:p>
      <w:pPr>
        <w:numPr>
          <w:ilvl w:val="0"/>
          <w:numId w:val="1025"/>
        </w:numPr>
        <w:pStyle w:val="Compact"/>
      </w:pPr>
      <w:r>
        <w:t xml:space="preserve">perception of opportunity, threat, or injustice,</w:t>
      </w:r>
    </w:p>
    <w:p>
      <w:pPr>
        <w:numPr>
          <w:ilvl w:val="0"/>
          <w:numId w:val="1025"/>
        </w:numPr>
        <w:pStyle w:val="Compact"/>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r>
      <w:r>
        <w:t xml:space="preserve">They are inhibited by:</w:t>
      </w:r>
    </w:p>
    <w:p>
      <w:pPr>
        <w:pStyle w:val="BodyText"/>
      </w:pPr>
      <w:r>
        <w:t xml:space="preserve">system polarity (centralization of coercive power),</w:t>
      </w:r>
      <w:r>
        <w:br/>
      </w:r>
      <w:r>
        <w:t xml:space="preserve">a stable status quo.</w:t>
      </w:r>
      <w:r>
        <w:br/>
      </w:r>
      <w:r>
        <w:t xml:space="preserve">In addition to the general causes of Conflict Behavior, violence (including war) is caused by:</w:t>
      </w:r>
    </w:p>
    <w:p>
      <w:pPr>
        <w:pStyle w:val="BodyText"/>
      </w:pPr>
      <w:r>
        <w:t xml:space="preserve">at least one party having an authoritarian or totalitarian regime ,</w:t>
      </w:r>
      <w:r>
        <w:br/>
      </w:r>
      <w:r>
        <w:t xml:space="preserve">status quo disruption,</w:t>
      </w:r>
      <w:r>
        <w:br/>
      </w:r>
      <w:r>
        <w:t xml:space="preserve">confidence in success.</w:t>
      </w:r>
      <w:r>
        <w:br/>
      </w:r>
      <w:r>
        <w:t xml:space="preserve">It is aggravated by:</w:t>
      </w:r>
    </w:p>
    <w:p>
      <w:pPr>
        <w:pStyle w:val="BodyText"/>
      </w:pPr>
      <w:r>
        <w:t xml:space="preserve">system polarity (centralization of coercive power),</w:t>
      </w:r>
      <w:r>
        <w:br/>
      </w:r>
      <w:r>
        <w:t xml:space="preserve">Big Power intervention,</w:t>
      </w:r>
      <w:r>
        <w:br/>
      </w:r>
      <w:r>
        <w:t xml:space="preserve">weakness of the status quo Power,</w:t>
      </w:r>
      <w:r>
        <w:br/>
      </w:r>
      <w:r>
        <w:t xml:space="preserve">credibility at stake,</w:t>
      </w:r>
      <w:r>
        <w:br/>
      </w:r>
      <w:r>
        <w:t xml:space="preserve">honor at stake.</w:t>
      </w:r>
      <w:r>
        <w:br/>
      </w:r>
      <w:r>
        <w:t xml:space="preserve">It is inhibited by:</w:t>
      </w:r>
    </w:p>
    <w:p>
      <w:pPr>
        <w:pStyle w:val="BodyText"/>
      </w:pPr>
      <w:r>
        <w:t xml:space="preserve">cross-pressures,</w:t>
      </w:r>
      <w:r>
        <w:br/>
      </w:r>
      <w:r>
        <w:t xml:space="preserve">internal freedom,</w:t>
      </w:r>
      <w:r>
        <w:br/>
      </w:r>
      <w:r>
        <w:t xml:space="preserve">strength of the status quo Power,</w:t>
      </w:r>
      <w:r>
        <w:br/>
      </w:r>
      <w:r>
        <w:t xml:space="preserve">world opinion.</w:t>
      </w:r>
      <w:r>
        <w:br/>
      </w:r>
      <w:r>
        <w:t xml:space="preserve">War is a particular type of intense violence and what generally causes, aggravates, and inhibits violence so affects war. In addition, war is uniquely aggravated by:</w:t>
      </w:r>
    </w:p>
    <w:p>
      <w:pPr>
        <w:pStyle w:val="BodyText"/>
      </w:pPr>
      <w:r>
        <w:t xml:space="preserve">power parity,</w:t>
      </w:r>
      <w:r>
        <w:br/>
      </w:r>
      <w:r>
        <w:t xml:space="preserve">class conflict.</w:t>
      </w:r>
      <w:r>
        <w:br/>
      </w:r>
      <w:r>
        <w:t xml:space="preserve">It is inhibited by:</w:t>
      </w:r>
    </w:p>
    <w:p>
      <w:pPr>
        <w:pStyle w:val="BodyText"/>
      </w:pPr>
      <w:r>
        <w:t xml:space="preserve">power disparity.</w:t>
      </w:r>
      <w:r>
        <w:br/>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Cs/>
          <w:b/>
        </w:rPr>
        <w:t xml:space="preserve">Content:</w:t>
      </w:r>
    </w:p>
    <w:p>
      <w:pPr>
        <w:numPr>
          <w:ilvl w:val="0"/>
          <w:numId w:val="1026"/>
        </w:numPr>
        <w:pStyle w:val="Compact"/>
      </w:pPr>
      <w:r>
        <w:t xml:space="preserve">Causes of Conflicts</w:t>
      </w:r>
    </w:p>
    <w:p>
      <w:pPr>
        <w:numPr>
          <w:ilvl w:val="0"/>
          <w:numId w:val="1026"/>
        </w:numPr>
        <w:pStyle w:val="Compact"/>
      </w:pPr>
      <w:r>
        <w:t xml:space="preserve">Effects of conflict on the society</w:t>
      </w:r>
    </w:p>
    <w:p>
      <w:pPr>
        <w:numPr>
          <w:ilvl w:val="0"/>
          <w:numId w:val="1026"/>
        </w:numPr>
        <w:pStyle w:val="Compact"/>
      </w:pPr>
      <w:r>
        <w:t xml:space="preserve">Conflict management and resolution</w:t>
      </w:r>
    </w:p>
    <w:p>
      <w:pPr>
        <w:pStyle w:val="FirstParagraph"/>
      </w:pPr>
      <w:r>
        <w:rPr>
          <w:bCs/>
          <w:b/>
        </w:rPr>
        <w:t xml:space="preserve">Causes of Conflicts:</w:t>
      </w:r>
    </w:p>
    <w:p>
      <w:pPr>
        <w:pStyle w:val="BodyText"/>
      </w:pPr>
      <w:r>
        <w:rPr>
          <w:bCs/>
          <w:b/>
        </w:rPr>
        <w:t xml:space="preserve">The following points below are the causes of conflicts</w:t>
      </w:r>
      <w:r>
        <w:t xml:space="preserve"> </w:t>
      </w:r>
      <w:r>
        <w:t xml:space="preserve">-</w:t>
      </w:r>
    </w:p>
    <w:p>
      <w:pPr>
        <w:numPr>
          <w:ilvl w:val="0"/>
          <w:numId w:val="1027"/>
        </w:numPr>
        <w:pStyle w:val="Compact"/>
      </w:pPr>
      <w:r>
        <w:t xml:space="preserve">Conflict can arise when someone or group or a group ofpeople neglect their roles or duties</w:t>
      </w:r>
    </w:p>
    <w:p>
      <w:pPr>
        <w:numPr>
          <w:ilvl w:val="0"/>
          <w:numId w:val="1027"/>
        </w:numPr>
        <w:pStyle w:val="Compact"/>
      </w:pPr>
      <w:r>
        <w:t xml:space="preserve">When the funds of the community or the people aremismanaged by leaders, there is bound to be conflict</w:t>
      </w:r>
    </w:p>
    <w:p>
      <w:pPr>
        <w:numPr>
          <w:ilvl w:val="0"/>
          <w:numId w:val="1027"/>
        </w:numPr>
        <w:pStyle w:val="Compact"/>
      </w:pPr>
      <w:r>
        <w:t xml:space="preserve">Conflicts can arise when people struggle to get somethingthat other people are also interested in.</w:t>
      </w:r>
    </w:p>
    <w:p>
      <w:pPr>
        <w:numPr>
          <w:ilvl w:val="0"/>
          <w:numId w:val="1027"/>
        </w:numPr>
        <w:pStyle w:val="Compact"/>
      </w:pPr>
      <w:r>
        <w:t xml:space="preserve">Conflicts also occur in groups, associations and betweengroups as a result of difference in opinions</w:t>
      </w:r>
    </w:p>
    <w:p>
      <w:pPr>
        <w:numPr>
          <w:ilvl w:val="0"/>
          <w:numId w:val="1027"/>
        </w:numPr>
        <w:pStyle w:val="Compact"/>
      </w:pPr>
      <w:r>
        <w:t xml:space="preserve">Differences in in the interpretation of the aims orobjectives of a group or association</w:t>
      </w:r>
    </w:p>
    <w:p>
      <w:pPr>
        <w:numPr>
          <w:ilvl w:val="0"/>
          <w:numId w:val="1027"/>
        </w:numPr>
        <w:pStyle w:val="Compact"/>
      </w:pPr>
      <w:r>
        <w:t xml:space="preserve">Absence of mutual trust and understanding amongst peoplebrings about conflict</w:t>
      </w:r>
    </w:p>
    <w:p>
      <w:pPr>
        <w:numPr>
          <w:ilvl w:val="0"/>
          <w:numId w:val="1027"/>
        </w:numPr>
        <w:pStyle w:val="Compact"/>
      </w:pPr>
      <w:r>
        <w:t xml:space="preserve">It occurs when someone is domination other members of agroup</w:t>
      </w:r>
    </w:p>
    <w:p>
      <w:pPr>
        <w:numPr>
          <w:ilvl w:val="0"/>
          <w:numId w:val="1027"/>
        </w:numPr>
        <w:pStyle w:val="Compact"/>
      </w:pPr>
      <w:r>
        <w:t xml:space="preserve">Rudeness/stubbornness may cause conflict.</w:t>
      </w:r>
    </w:p>
    <w:p>
      <w:pPr>
        <w:pStyle w:val="FirstParagraph"/>
      </w:pPr>
      <w:r>
        <w:rPr>
          <w:bCs/>
          <w:b/>
        </w:rPr>
        <w:t xml:space="preserve">Effects/Consequences of Conflicts on theSociety:</w:t>
      </w:r>
    </w:p>
    <w:p>
      <w:pPr>
        <w:pStyle w:val="BodyText"/>
      </w:pPr>
      <w:r>
        <w:rPr>
          <w:bCs/>
          <w:b/>
        </w:rPr>
        <w:t xml:space="preserve">The following are the effects of conflicts on the society</w:t>
      </w:r>
      <w:r>
        <w:t xml:space="preserve">.</w:t>
      </w:r>
    </w:p>
    <w:p>
      <w:pPr>
        <w:numPr>
          <w:ilvl w:val="0"/>
          <w:numId w:val="1028"/>
        </w:numPr>
        <w:pStyle w:val="Compact"/>
      </w:pPr>
      <w:r>
        <w:t xml:space="preserve">Conflicts result into the break down of law and order</w:t>
      </w:r>
    </w:p>
    <w:p>
      <w:pPr>
        <w:numPr>
          <w:ilvl w:val="0"/>
          <w:numId w:val="1028"/>
        </w:numPr>
        <w:pStyle w:val="Compact"/>
      </w:pPr>
      <w:r>
        <w:t xml:space="preserve">It makes it difficult for people to achieve common goalsand objectives</w:t>
      </w:r>
    </w:p>
    <w:p>
      <w:pPr>
        <w:numPr>
          <w:ilvl w:val="0"/>
          <w:numId w:val="1028"/>
        </w:numPr>
        <w:pStyle w:val="Compact"/>
      </w:pPr>
      <w:r>
        <w:t xml:space="preserve">Conflicts bring about disunity</w:t>
      </w:r>
    </w:p>
    <w:p>
      <w:pPr>
        <w:numPr>
          <w:ilvl w:val="0"/>
          <w:numId w:val="1028"/>
        </w:numPr>
        <w:pStyle w:val="Compact"/>
      </w:pPr>
      <w:r>
        <w:t xml:space="preserve">It brings about hatred and disaffection among members ofa group or association</w:t>
      </w:r>
    </w:p>
    <w:p>
      <w:pPr>
        <w:numPr>
          <w:ilvl w:val="0"/>
          <w:numId w:val="1028"/>
        </w:numPr>
        <w:pStyle w:val="Compact"/>
      </w:pPr>
      <w:r>
        <w:t xml:space="preserve">It leads to confusion, insecurity, anxiety and unhappiness</w:t>
      </w:r>
    </w:p>
    <w:p>
      <w:pPr>
        <w:numPr>
          <w:ilvl w:val="0"/>
          <w:numId w:val="1028"/>
        </w:numPr>
        <w:pStyle w:val="Compact"/>
      </w:pPr>
      <w:r>
        <w:t xml:space="preserve">It leads to unhealthy political rivalry</w:t>
      </w:r>
    </w:p>
    <w:p>
      <w:pPr>
        <w:numPr>
          <w:ilvl w:val="0"/>
          <w:numId w:val="1028"/>
        </w:numPr>
        <w:pStyle w:val="Compact"/>
      </w:pPr>
      <w:r>
        <w:t xml:space="preserve">Withdrawal and miscommunication or non-communication</w:t>
      </w:r>
    </w:p>
    <w:p>
      <w:pPr>
        <w:numPr>
          <w:ilvl w:val="0"/>
          <w:numId w:val="1028"/>
        </w:numPr>
        <w:pStyle w:val="Compact"/>
      </w:pPr>
      <w:r>
        <w:t xml:space="preserve">Complaints and blaming</w:t>
      </w:r>
    </w:p>
    <w:p>
      <w:pPr>
        <w:numPr>
          <w:ilvl w:val="0"/>
          <w:numId w:val="1028"/>
        </w:numPr>
        <w:pStyle w:val="Compact"/>
      </w:pPr>
      <w:r>
        <w:t xml:space="preserve">Lowered motivation and Decreased morale</w:t>
      </w:r>
    </w:p>
    <w:p>
      <w:pPr>
        <w:numPr>
          <w:ilvl w:val="0"/>
          <w:numId w:val="1028"/>
        </w:numPr>
        <w:pStyle w:val="Compact"/>
      </w:pPr>
      <w:r>
        <w:t xml:space="preserve">It leads to inefficiency and laziness</w:t>
      </w:r>
    </w:p>
    <w:p>
      <w:pPr>
        <w:numPr>
          <w:ilvl w:val="0"/>
          <w:numId w:val="1028"/>
        </w:numPr>
        <w:pStyle w:val="Compact"/>
      </w:pPr>
      <w:r>
        <w:t xml:space="preserve">It leads to division and separation</w:t>
      </w:r>
    </w:p>
    <w:p>
      <w:pPr>
        <w:numPr>
          <w:ilvl w:val="0"/>
          <w:numId w:val="1028"/>
        </w:numPr>
        <w:pStyle w:val="Compact"/>
      </w:pPr>
      <w:r>
        <w:t xml:space="preserve">Poor decision-making</w:t>
      </w:r>
    </w:p>
    <w:p>
      <w:pPr>
        <w:numPr>
          <w:ilvl w:val="0"/>
          <w:numId w:val="1028"/>
        </w:numPr>
        <w:pStyle w:val="Compact"/>
      </w:pPr>
      <w:r>
        <w:t xml:space="preserve">It causes mental and emotional disturbances</w:t>
      </w:r>
    </w:p>
    <w:p>
      <w:pPr>
        <w:numPr>
          <w:ilvl w:val="0"/>
          <w:numId w:val="1028"/>
        </w:numPr>
        <w:pStyle w:val="Compact"/>
      </w:pPr>
      <w:r>
        <w:t xml:space="preserve">It leads to a decrease in productivity and economicdepression</w:t>
      </w:r>
    </w:p>
    <w:p>
      <w:pPr>
        <w:numPr>
          <w:ilvl w:val="0"/>
          <w:numId w:val="1028"/>
        </w:numPr>
        <w:pStyle w:val="Compact"/>
      </w:pPr>
      <w:r>
        <w:t xml:space="preserve">It leads to loss of lives and properties</w:t>
      </w:r>
    </w:p>
    <w:p>
      <w:pPr>
        <w:numPr>
          <w:ilvl w:val="0"/>
          <w:numId w:val="1028"/>
        </w:numPr>
        <w:pStyle w:val="Compact"/>
      </w:pPr>
      <w:r>
        <w:t xml:space="preserve">It brings lack of peace and harmony</w:t>
      </w:r>
    </w:p>
    <w:p>
      <w:pPr>
        <w:numPr>
          <w:ilvl w:val="0"/>
          <w:numId w:val="1028"/>
        </w:numPr>
        <w:pStyle w:val="Compact"/>
      </w:pPr>
      <w:r>
        <w:t xml:space="preserve">Increased costs (time, money) devoted to dealing with theconflict</w:t>
      </w:r>
    </w:p>
    <w:p>
      <w:pPr>
        <w:numPr>
          <w:ilvl w:val="0"/>
          <w:numId w:val="1028"/>
        </w:numPr>
        <w:pStyle w:val="Compact"/>
      </w:pPr>
      <w:r>
        <w:t xml:space="preserve">Wasted resources and energy spent dealing with theconflict</w:t>
      </w:r>
    </w:p>
    <w:p>
      <w:pPr>
        <w:numPr>
          <w:ilvl w:val="0"/>
          <w:numId w:val="1028"/>
        </w:numPr>
        <w:pStyle w:val="Compact"/>
      </w:pPr>
      <w:r>
        <w:t xml:space="preserve">Decreased productivity</w:t>
      </w:r>
    </w:p>
    <w:p>
      <w:pPr>
        <w:numPr>
          <w:ilvl w:val="0"/>
          <w:numId w:val="1028"/>
        </w:numPr>
        <w:pStyle w:val="Compact"/>
      </w:pPr>
      <w:r>
        <w:t xml:space="preserve">Backstabbing and gossip</w:t>
      </w:r>
    </w:p>
    <w:p>
      <w:pPr>
        <w:numPr>
          <w:ilvl w:val="0"/>
          <w:numId w:val="1028"/>
        </w:numPr>
        <w:pStyle w:val="Compact"/>
      </w:pPr>
      <w:r>
        <w:t xml:space="preserve">Attitudes of distrust and hostility (that may influence allfuture interactions</w:t>
      </w:r>
    </w:p>
    <w:p>
      <w:pPr>
        <w:numPr>
          <w:ilvl w:val="0"/>
          <w:numId w:val="1028"/>
        </w:numPr>
        <w:pStyle w:val="Compact"/>
      </w:pPr>
      <w:r>
        <w:t xml:space="preserve">(Permanent) erosion to personal, work, and communityrelationship</w:t>
      </w:r>
    </w:p>
    <w:p>
      <w:pPr>
        <w:numPr>
          <w:ilvl w:val="0"/>
          <w:numId w:val="1028"/>
        </w:numPr>
        <w:pStyle w:val="Compact"/>
      </w:pPr>
      <w:r>
        <w:t xml:space="preserve">Damaged emotional and psychological well-being of thoseinvolved in the conflict</w:t>
      </w:r>
    </w:p>
    <w:p>
      <w:pPr>
        <w:numPr>
          <w:ilvl w:val="0"/>
          <w:numId w:val="1028"/>
        </w:numPr>
        <w:pStyle w:val="Compact"/>
      </w:pPr>
      <w:r>
        <w:t xml:space="preserve">Dissatisfaction and stress</w:t>
      </w:r>
    </w:p>
    <w:p>
      <w:pPr>
        <w:pStyle w:val="FirstParagraph"/>
      </w:pPr>
      <w:r>
        <w:rPr>
          <w:bCs/>
          <w:b/>
        </w:rPr>
        <w:t xml:space="preserve">Conflict Management and Resolution:</w:t>
      </w:r>
    </w:p>
    <w:p>
      <w:pPr>
        <w:pStyle w:val="BodyText"/>
      </w:pPr>
      <w:r>
        <w:rPr>
          <w:bCs/>
          <w:b/>
        </w:rPr>
        <w:t xml:space="preserve">Conflict management can be defined in two ways</w:t>
      </w:r>
      <w:r>
        <w:t xml:space="preserve">.</w:t>
      </w:r>
    </w:p>
    <w:p>
      <w:pPr>
        <w:numPr>
          <w:ilvl w:val="0"/>
          <w:numId w:val="1029"/>
        </w:numPr>
        <w:pStyle w:val="Compact"/>
      </w:pPr>
      <w:r>
        <w:t xml:space="preserve">It can be referred to as the effort made to stop the conflict from arising</w:t>
      </w:r>
    </w:p>
    <w:p>
      <w:pPr>
        <w:numPr>
          <w:ilvl w:val="0"/>
          <w:numId w:val="1029"/>
        </w:numPr>
        <w:pStyle w:val="Compact"/>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bookmarkEnd w:id="27"/>
    <w:bookmarkStart w:id="29" w:name="otázka-č.-4"/>
    <w:p>
      <w:pPr>
        <w:pStyle w:val="Heading2"/>
      </w:pPr>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28">
        <w:r>
          <w:rPr>
            <w:rStyle w:val="Hyperlink"/>
          </w:rPr>
          <w:t xml:space="preserve">https://www.uni-bielefeld.de/cias/wiki/g_Geopolitics.html</w:t>
        </w:r>
      </w:hyperlink>
    </w:p>
    <w:bookmarkEnd w:id="29"/>
    <w:bookmarkStart w:id="31" w:name="otázka-č.-5"/>
    <w:p>
      <w:pPr>
        <w:pStyle w:val="Heading2"/>
      </w:pPr>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0">
        <w:r>
          <w:rPr>
            <w:rStyle w:val="Hyperlink"/>
          </w:rPr>
          <w:t xml:space="preserve">http://hexagon-series.org/pdf/HGB_SecurityChallenge.pdf</w:t>
        </w:r>
      </w:hyperlink>
    </w:p>
    <w:bookmarkEnd w:id="31"/>
    <w:bookmarkStart w:id="33" w:name="otázka-č.-6"/>
    <w:p>
      <w:pPr>
        <w:pStyle w:val="Heading2"/>
      </w:pPr>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2"/>
      </w:r>
      <w:r>
        <w:t xml:space="preserve">.</w:t>
      </w:r>
    </w:p>
    <w:bookmarkEnd w:id="33"/>
    <w:bookmarkStart w:id="36" w:name="otázka-č.-7"/>
    <w:p>
      <w:pPr>
        <w:pStyle w:val="Heading2"/>
      </w:pPr>
      <w:r>
        <w:t xml:space="preserve">Otázka č. 7</w:t>
      </w:r>
    </w:p>
    <w:p>
      <w:pPr>
        <w:pStyle w:val="FirstParagraph"/>
      </w:pPr>
      <w:r>
        <w:t xml:space="preserve">Z pohledu MVČR máme následující hrozby</w:t>
      </w:r>
      <w:r>
        <w:rPr>
          <w:rStyle w:val="FootnoteReference"/>
        </w:rPr>
        <w:footnoteReference w:id="34"/>
      </w:r>
      <w:r>
        <w:t xml:space="preserve">:</w:t>
      </w:r>
    </w:p>
    <w:p>
      <w:pPr>
        <w:pStyle w:val="BodyText"/>
      </w:pPr>
      <w:r>
        <w:rPr>
          <w:bCs/>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Cs/>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Cs/>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Cs/>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Cs/>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Cs/>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Cs/>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5"/>
      </w:r>
      <w:r>
        <w:t xml:space="preserve">.</w:t>
      </w:r>
    </w:p>
    <w:p>
      <w:pPr>
        <w:pStyle w:val="BodyText"/>
      </w:pPr>
      <w:r>
        <w:rPr>
          <w:bCs/>
          <w:b/>
        </w:rPr>
        <w:t xml:space="preserve">Čína:</w:t>
      </w:r>
    </w:p>
    <w:p>
      <w:pPr>
        <w:pStyle w:val="BodyText"/>
      </w:pPr>
      <w:r>
        <w:t xml:space="preserve">Kombinace výše zmíněných faktorů.</w:t>
      </w:r>
    </w:p>
    <w:bookmarkEnd w:id="36"/>
    <w:bookmarkStart w:id="40" w:name="otázka-č.-8"/>
    <w:p>
      <w:pPr>
        <w:pStyle w:val="Heading2"/>
      </w:pPr>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37"/>
                    <a:stretch>
                      <a:fillRect/>
                    </a:stretch>
                  </pic:blipFill>
                  <pic:spPr bwMode="auto">
                    <a:xfrm>
                      <a:off x="0" y="0"/>
                      <a:ext cx="5334000" cy="4923005"/>
                    </a:xfrm>
                    <a:prstGeom prst="rect">
                      <a:avLst/>
                    </a:prstGeom>
                    <a:noFill/>
                    <a:ln w="9525">
                      <a:noFill/>
                      <a:headEnd/>
                      <a:tailEnd/>
                    </a:ln>
                  </pic:spPr>
                </pic:pic>
              </a:graphicData>
            </a:graphic>
          </wp:inline>
        </w:drawing>
      </w:r>
      <w:r>
        <w:br/>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38"/>
                    <a:stretch>
                      <a:fillRect/>
                    </a:stretch>
                  </pic:blipFill>
                  <pic:spPr bwMode="auto">
                    <a:xfrm>
                      <a:off x="0" y="0"/>
                      <a:ext cx="5334000" cy="2872857"/>
                    </a:xfrm>
                    <a:prstGeom prst="rect">
                      <a:avLst/>
                    </a:prstGeom>
                    <a:noFill/>
                    <a:ln w="9525">
                      <a:noFill/>
                      <a:headEnd/>
                      <a:tailEnd/>
                    </a:ln>
                  </pic:spPr>
                </pic:pic>
              </a:graphicData>
            </a:graphic>
          </wp:inline>
        </w:drawing>
      </w:r>
      <w:r>
        <w:br/>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39"/>
                    <a:stretch>
                      <a:fillRect/>
                    </a:stretch>
                  </pic:blipFill>
                  <pic:spPr bwMode="auto">
                    <a:xfrm>
                      <a:off x="0" y="0"/>
                      <a:ext cx="5179468" cy="7545398"/>
                    </a:xfrm>
                    <a:prstGeom prst="rect">
                      <a:avLst/>
                    </a:prstGeom>
                    <a:noFill/>
                    <a:ln w="9525">
                      <a:noFill/>
                      <a:headEnd/>
                      <a:tailEnd/>
                    </a:ln>
                  </pic:spPr>
                </pic:pic>
              </a:graphicData>
            </a:graphic>
          </wp:inline>
        </w:drawing>
      </w:r>
    </w:p>
    <w:bookmarkEnd w:id="40"/>
    <w:bookmarkStart w:id="43" w:name="otázka-č.-9"/>
    <w:p>
      <w:pPr>
        <w:pStyle w:val="Heading2"/>
      </w:pPr>
      <w:r>
        <w:t xml:space="preserve">Otázka č. 9</w:t>
      </w:r>
    </w:p>
    <w:p>
      <w:pPr>
        <w:pStyle w:val="FirstParagraph"/>
      </w:pPr>
      <w:r>
        <w:rPr>
          <w:bCs/>
          <w:b/>
        </w:rPr>
        <w:t xml:space="preserve">Typy:</w:t>
      </w:r>
    </w:p>
    <w:p>
      <w:pPr>
        <w:numPr>
          <w:ilvl w:val="0"/>
          <w:numId w:val="1030"/>
        </w:numPr>
        <w:pStyle w:val="Compact"/>
      </w:pPr>
      <w:r>
        <w:t xml:space="preserve">Bezpečnostní sbor</w:t>
      </w:r>
    </w:p>
    <w:p>
      <w:pPr>
        <w:numPr>
          <w:ilvl w:val="0"/>
          <w:numId w:val="1030"/>
        </w:numPr>
        <w:pStyle w:val="Compact"/>
      </w:pPr>
      <w:r>
        <w:t xml:space="preserve">Ozbrojené síly Čr</w:t>
      </w:r>
    </w:p>
    <w:p>
      <w:pPr>
        <w:pStyle w:val="FirstParagraph"/>
      </w:pPr>
      <w:r>
        <w:rPr>
          <w:bCs/>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1"/>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
        <w:tblW w:type="pct" w:w="5000.0"/>
        <w:tblLook w:firstRow="1" w:lastRow="0" w:firstColumn="0" w:lastColumn="0" w:noHBand="0" w:noVBand="0"/>
      </w:tblPr>
      <w:tblGrid>
        <w:gridCol w:w="6660"/>
        <w:gridCol w:w="126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Cs/>
          <w:b/>
        </w:rPr>
        <w:t xml:space="preserve">Ozbrojené síly Čr:</w:t>
      </w:r>
    </w:p>
    <w:p>
      <w:pPr>
        <w:pStyle w:val="BodyText"/>
      </w:pPr>
      <w:r>
        <w:rPr>
          <w:bCs/>
          <w:b/>
        </w:rPr>
        <w:t xml:space="preserve">Armáda České republiky</w:t>
      </w:r>
      <w:r>
        <w:br/>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Cs/>
          <w:b/>
        </w:rPr>
        <w:t xml:space="preserve">Vojenská kancelář prezidenta republiky</w:t>
      </w:r>
      <w:r>
        <w:br/>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Cs/>
          <w:b/>
        </w:rPr>
        <w:t xml:space="preserve">Hradní stráž</w:t>
      </w:r>
      <w:r>
        <w:br/>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2"/>
      </w:r>
      <w:r>
        <w:t xml:space="preserve">.</w:t>
      </w:r>
    </w:p>
    <w:bookmarkEnd w:id="43"/>
    <w:bookmarkStart w:id="44" w:name="otázka-č.-10"/>
    <w:p>
      <w:pPr>
        <w:pStyle w:val="Heading2"/>
      </w:pPr>
      <w:r>
        <w:t xml:space="preserve">Otázka č. 10</w:t>
      </w:r>
    </w:p>
    <w:p>
      <w:pPr>
        <w:pStyle w:val="FirstParagraph"/>
      </w:pPr>
      <w:r>
        <w:rPr>
          <w:bCs/>
          <w:b/>
        </w:rPr>
        <w:t xml:space="preserve">NATO:</w:t>
      </w:r>
    </w:p>
    <w:p>
      <w:pPr>
        <w:pStyle w:val="BodyText"/>
      </w:pPr>
      <w:r>
        <w:rPr>
          <w:bCs/>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w:t>
      </w:r>
      <w:r>
        <w:t xml:space="preserve"> </w:t>
      </w:r>
      <w:r>
        <w:t xml:space="preserve">“</w:t>
      </w:r>
      <w:r>
        <w:t xml:space="preserve">Private international law</w:t>
      </w:r>
      <w:r>
        <w:t xml:space="preserve">”</w:t>
      </w:r>
      <w:r>
        <w:t xml:space="preserve"> </w:t>
      </w:r>
      <w:r>
        <w:t xml:space="preserve">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w:t>
      </w:r>
      <w:r>
        <w:t xml:space="preserve">Public international law</w:t>
      </w:r>
      <w:r>
        <w:t xml:space="preserve">”</w:t>
      </w:r>
      <w:r>
        <w:t xml:space="preserve"> </w:t>
      </w:r>
      <w:r>
        <w:t xml:space="preserve">concerns the relationships between nations. These include standards of international behavior, the laws of the sea, economic law, diplomatic law, environmental law, human rights law, and humanitarian law. Some principles of public international law are written, or</w:t>
      </w:r>
      <w:r>
        <w:t xml:space="preserve"> </w:t>
      </w:r>
      <w:r>
        <w:t xml:space="preserve">“</w:t>
      </w:r>
      <w:r>
        <w:t xml:space="preserve">codified</w:t>
      </w:r>
      <w:r>
        <w:t xml:space="preserve">”</w:t>
      </w:r>
      <w:r>
        <w:t xml:space="preserve"> </w:t>
      </w:r>
      <w:r>
        <w:t xml:space="preserve">in a series of treaties, but others are not written down anywhere. These are known as</w:t>
      </w:r>
      <w:r>
        <w:t xml:space="preserve"> </w:t>
      </w:r>
      <w:r>
        <w:t xml:space="preserve">“</w:t>
      </w:r>
      <w:r>
        <w:t xml:space="preserve">customary</w:t>
      </w:r>
      <w:r>
        <w:t xml:space="preserve">”</w:t>
      </w:r>
      <w:r>
        <w:t xml:space="preserve"> </w:t>
      </w:r>
      <w:r>
        <w:t xml:space="preserve">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Cs/>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r>
      <w:r>
        <w:t xml:space="preserve">Cultural, linguistic, ethnic, religious, or historical organizations</w:t>
      </w:r>
      <w:r>
        <w:br/>
      </w:r>
      <w:r>
        <w:t xml:space="preserve">Economic organizations</w:t>
      </w:r>
      <w:r>
        <w:br/>
      </w:r>
      <w:r>
        <w:t xml:space="preserve">Educational organizations</w:t>
      </w:r>
      <w:r>
        <w:br/>
      </w:r>
      <w:r>
        <w:t xml:space="preserve">Health and Population Organizations</w:t>
      </w:r>
      <w:r>
        <w:br/>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bookmarkEnd w:id="44"/>
    <w:bookmarkStart w:id="46" w:name="otázka-č.-11-a-12"/>
    <w:p>
      <w:pPr>
        <w:pStyle w:val="Heading2"/>
      </w:pPr>
      <w:r>
        <w:t xml:space="preserve">Otázka č. 11 a 12</w:t>
      </w:r>
    </w:p>
    <w:p>
      <w:pPr>
        <w:pStyle w:val="FirstParagraph"/>
      </w:pPr>
      <w:r>
        <w:rPr>
          <w:bCs/>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5"/>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Cs/>
          <w:b/>
        </w:rPr>
        <w:t xml:space="preserve">Proliferace zbraní:</w:t>
      </w:r>
    </w:p>
    <w:p>
      <w:pPr>
        <w:pStyle w:val="BodyText"/>
      </w:pPr>
      <w:r>
        <w:rPr>
          <w:bCs/>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ilvl w:val="0"/>
          <w:numId w:val="1031"/>
        </w:numPr>
      </w:pPr>
      <w:r>
        <w:t xml:space="preserve">proliferaci malých a lehkých zbraní</w:t>
      </w:r>
    </w:p>
    <w:p>
      <w:pPr>
        <w:numPr>
          <w:ilvl w:val="0"/>
          <w:numId w:val="1031"/>
        </w:numPr>
      </w:pPr>
      <w:r>
        <w:t xml:space="preserve">proliferaci těžkých zbraní</w:t>
      </w:r>
    </w:p>
    <w:p>
      <w:pPr>
        <w:numPr>
          <w:ilvl w:val="0"/>
          <w:numId w:val="1031"/>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Cs/>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http://www.cevro.cz/web_files/soubory/ctrnacni-deniky/2014/14denik_19_2014.pdf</w:t>
      </w:r>
    </w:p>
  </w:footnote>
  <w:footnote w:id="22">
    <w:p>
      <w:pPr>
        <w:pStyle w:val="FootnoteText"/>
      </w:pPr>
      <w:r>
        <w:rPr>
          <w:rStyle w:val="FootnoteReference"/>
        </w:rPr>
        <w:footnoteRef/>
      </w:r>
      <w:r>
        <w:t xml:space="preserve"> </w:t>
      </w:r>
      <w:r>
        <w:t xml:space="preserve">https://www.mvcr.cz/clanek/bezpecnostni-hrozby-337414.aspx</w:t>
      </w:r>
    </w:p>
  </w:footnote>
  <w:footnote w:id="23">
    <w:p>
      <w:pPr>
        <w:pStyle w:val="FootnoteText"/>
      </w:pPr>
      <w:r>
        <w:rPr>
          <w:rStyle w:val="FootnoteReference"/>
        </w:rPr>
        <w:footnoteRef/>
      </w:r>
      <w:r>
        <w:t xml:space="preserve"> </w:t>
      </w:r>
      <w:r>
        <w:t xml:space="preserve">http://ochab.ezin.cz/O-a-B_2017_B/2017_OaB_B_01_kommova.pdf</w:t>
      </w:r>
    </w:p>
  </w:footnote>
  <w:footnote w:id="32">
    <w:p>
      <w:pPr>
        <w:pStyle w:val="FootnoteText"/>
      </w:pPr>
      <w:r>
        <w:rPr>
          <w:rStyle w:val="FootnoteReference"/>
        </w:rPr>
        <w:footnoteRef/>
      </w:r>
      <w:r>
        <w:t xml:space="preserve"> </w:t>
      </w:r>
      <w:r>
        <w:t xml:space="preserve">https://is.muni.cz/th/16735/fss_d/disertace_frank.pdf</w:t>
      </w:r>
    </w:p>
  </w:footnote>
  <w:footnote w:id="34">
    <w:p>
      <w:pPr>
        <w:pStyle w:val="FootnoteText"/>
      </w:pPr>
      <w:r>
        <w:rPr>
          <w:rStyle w:val="FootnoteReference"/>
        </w:rPr>
        <w:footnoteRef/>
      </w:r>
      <w:r>
        <w:t xml:space="preserve"> </w:t>
      </w:r>
      <w:r>
        <w:t xml:space="preserve">https://www.mvcr.cz/clanek/bezpecnostni-hrozby-337414.aspx?q=Y2hudW09Mg%3d%3d</w:t>
      </w:r>
    </w:p>
  </w:footnote>
  <w:footnote w:id="35">
    <w:p>
      <w:pPr>
        <w:pStyle w:val="FootnoteText"/>
      </w:pPr>
      <w:r>
        <w:rPr>
          <w:rStyle w:val="FootnoteReference"/>
        </w:rPr>
        <w:footnoteRef/>
      </w:r>
      <w:r>
        <w:t xml:space="preserve"> </w:t>
      </w:r>
      <w:r>
        <w:t xml:space="preserve">https://cs.wikipedia.org/wiki/%C5%A0pion%C3%A1%C5%BE</w:t>
      </w:r>
    </w:p>
  </w:footnote>
  <w:footnote w:id="41">
    <w:p>
      <w:pPr>
        <w:pStyle w:val="FootnoteText"/>
      </w:pPr>
      <w:r>
        <w:rPr>
          <w:rStyle w:val="FootnoteReference"/>
        </w:rPr>
        <w:footnoteRef/>
      </w:r>
      <w:r>
        <w:t xml:space="preserve"> </w:t>
      </w:r>
      <w:r>
        <w:t xml:space="preserve">https://cs.wikipedia.org/wiki/Bezpe%C4%8Dnostn%C3%AD_sbor_(%C4%8Cesko)</w:t>
      </w:r>
    </w:p>
  </w:footnote>
  <w:footnote w:id="42">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b3cbbdee"/>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4fbe019a"/>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91a27d85"/>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615f1ed2"/>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30" Target="http://hexagon-series.org/pdf/HGB_SecurityChallenge.pdf" TargetMode="External" /><Relationship Type="http://schemas.openxmlformats.org/officeDocument/2006/relationships/hyperlink" Id="rId26" Target="https://www.businessmanagementideas.com/notes/management-notes/conflict-management/conflict-features-causes-and-consequences-organisation/5009" TargetMode="External" /><Relationship Type="http://schemas.openxmlformats.org/officeDocument/2006/relationships/hyperlink" Id="rId28"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0" Target="http://hexagon-series.org/pdf/HGB_SecurityChallenge.pdf" TargetMode="External" /><Relationship Type="http://schemas.openxmlformats.org/officeDocument/2006/relationships/hyperlink" Id="rId26" Target="https://www.businessmanagementideas.com/notes/management-notes/conflict-management/conflict-features-causes-and-consequences-organisation/5009" TargetMode="External" /><Relationship Type="http://schemas.openxmlformats.org/officeDocument/2006/relationships/hyperlink" Id="rId28"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subject>Bezpečnostní hrozby</dc:subject>
  <cp:keywords/>
  <dcterms:created xsi:type="dcterms:W3CDTF">2022-01-19T18:45:42Z</dcterms:created>
  <dcterms:modified xsi:type="dcterms:W3CDTF">2022-01-19T18:45:42Z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Dominik Balint (using pandoc)</vt:lpwstr>
  </property>
  <property fmtid="{D5CDD505-2E9C-101B-9397-08002B2CF9AE}" pid="3" name="date-meta">
    <vt:lpwstr>20/01/2021</vt:lpwstr>
  </property>
  <property fmtid="{D5CDD505-2E9C-101B-9397-08002B2CF9AE}" pid="4" name="geometry">
    <vt:lpwstr>margin=2cm</vt:lpwstr>
  </property>
  <property fmtid="{D5CDD505-2E9C-101B-9397-08002B2CF9AE}" pid="5" name="title-meta">
    <vt:lpwstr>Informace ke zkoušce z bezpečnostních hrozeb</vt:lpwstr>
  </property>
</Properties>
</file>