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bezpečnostní-hrozby"/>
    <w:p>
      <w:pPr>
        <w:pStyle w:val="Heading1"/>
      </w:pPr>
      <w:r>
        <w:t xml:space="preserve">Bezpečnostní hrozby</w:t>
      </w:r>
    </w:p>
    <w:bookmarkStart w:id="26" w:name="přednáška-1---sebevražedný-terorismus"/>
    <w:p>
      <w:pPr>
        <w:pStyle w:val="Heading2"/>
      </w:pPr>
      <w:r>
        <w:t xml:space="preserve">Přednáška 1 - Sebevražedný terorismus</w:t>
      </w:r>
    </w:p>
    <w:bookmarkStart w:id="25" w:name="základní-vymezení-definice-a-příklady"/>
    <w:p>
      <w:pPr>
        <w:pStyle w:val="Heading3"/>
      </w:pPr>
      <w:r>
        <w:t xml:space="preserve">Základní Vymezení, definice a příklady</w:t>
      </w:r>
    </w:p>
    <w:bookmarkStart w:id="20" w:name="příklady-zemí"/>
    <w:p>
      <w:pPr>
        <w:pStyle w:val="Heading4"/>
      </w:pPr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numPr>
          <w:ilvl w:val="0"/>
          <w:numId w:val="1001"/>
        </w:numPr>
        <w:pStyle w:val="Compact"/>
      </w:pPr>
      <w:r>
        <w:t xml:space="preserve">Afghánistán (od r. 2001, systematičtěji od 2004) - Defakto propojeno s Pákistánem</w:t>
      </w:r>
    </w:p>
    <w:p>
      <w:pPr>
        <w:numPr>
          <w:ilvl w:val="0"/>
          <w:numId w:val="1001"/>
        </w:numPr>
        <w:pStyle w:val="Compact"/>
      </w:pPr>
      <w:r>
        <w:t xml:space="preserve">Írák (od r. 2003)</w:t>
      </w:r>
    </w:p>
    <w:p>
      <w:pPr>
        <w:numPr>
          <w:ilvl w:val="0"/>
          <w:numId w:val="1001"/>
        </w:numPr>
        <w:pStyle w:val="Compact"/>
      </w:pPr>
      <w:r>
        <w:t xml:space="preserve">Izrael (Hamás) (od r. 1994)</w:t>
      </w:r>
    </w:p>
    <w:p>
      <w:pPr>
        <w:numPr>
          <w:ilvl w:val="0"/>
          <w:numId w:val="1001"/>
        </w:numPr>
        <w:pStyle w:val="Compact"/>
      </w:pPr>
      <w:r>
        <w:t xml:space="preserve">Libanon (Hisbaláh) (od r. 1981)</w:t>
      </w:r>
    </w:p>
    <w:p>
      <w:pPr>
        <w:numPr>
          <w:ilvl w:val="0"/>
          <w:numId w:val="1001"/>
        </w:numPr>
        <w:pStyle w:val="Compact"/>
      </w:pPr>
      <w:r>
        <w:t xml:space="preserve">Pákistán (od r. 2003)</w:t>
      </w:r>
    </w:p>
    <w:p>
      <w:pPr>
        <w:numPr>
          <w:ilvl w:val="0"/>
          <w:numId w:val="1001"/>
        </w:numPr>
        <w:pStyle w:val="Compact"/>
      </w:pPr>
      <w:r>
        <w:t xml:space="preserve">Rusko (od r. 2000) - Kavkaz</w:t>
      </w:r>
    </w:p>
    <w:p>
      <w:pPr>
        <w:numPr>
          <w:ilvl w:val="0"/>
          <w:numId w:val="1001"/>
        </w:numPr>
        <w:pStyle w:val="Compact"/>
      </w:pPr>
      <w:r>
        <w:t xml:space="preserve">Srí Lanka (od r. 1987) - Budhistický a Hinduistický ostrov (Ceilon) - V rámci občanské války až do roku 2009</w:t>
      </w:r>
    </w:p>
    <w:bookmarkEnd w:id="20"/>
    <w:bookmarkStart w:id="21" w:name="nástražný-výbušný-systém"/>
    <w:p>
      <w:pPr>
        <w:pStyle w:val="Heading4"/>
      </w:pPr>
      <w:r>
        <w:t xml:space="preserve">Nástražný výbušný systém</w:t>
      </w:r>
    </w:p>
    <w:p>
      <w:pPr>
        <w:pStyle w:val="FirstParagraph"/>
      </w:pPr>
      <w:r>
        <w:t xml:space="preserve">IED (V angličtině</w:t>
      </w:r>
      <w:r>
        <w:t xml:space="preserve"> </w:t>
      </w:r>
      <w:r>
        <w:t xml:space="preserve">“</w:t>
      </w:r>
      <w:r>
        <w:t xml:space="preserve">Improvized explosive device</w:t>
      </w:r>
      <w:r>
        <w:t xml:space="preserve">”</w:t>
      </w:r>
      <w:r>
        <w:t xml:space="preserve">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Cs/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Cs/>
          <w:b/>
        </w:rPr>
        <w:t xml:space="preserve">Další podkategorie</w:t>
      </w:r>
    </w:p>
    <w:p>
      <w:pPr>
        <w:numPr>
          <w:ilvl w:val="0"/>
          <w:numId w:val="1002"/>
        </w:numPr>
        <w:pStyle w:val="Compact"/>
      </w:pPr>
      <w:r>
        <w:t xml:space="preserve">Dále jsou další podkategorie</w:t>
      </w:r>
    </w:p>
    <w:p>
      <w:pPr>
        <w:numPr>
          <w:ilvl w:val="1"/>
          <w:numId w:val="1003"/>
        </w:numPr>
        <w:pStyle w:val="Compact"/>
      </w:pPr>
      <w:r>
        <w:t xml:space="preserve">Například IED v motorovém vozidle (</w:t>
      </w:r>
      <w:r>
        <w:rPr>
          <w:bCs/>
          <w:b/>
        </w:rPr>
        <w:t xml:space="preserve">VBIED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Dále například IED na těle zvířete (</w:t>
      </w:r>
      <w:r>
        <w:rPr>
          <w:bCs/>
          <w:b/>
        </w:rPr>
        <w:t xml:space="preserve">ABIED</w:t>
      </w:r>
      <w:r>
        <w:t xml:space="preserve">)</w:t>
      </w:r>
    </w:p>
    <w:p>
      <w:pPr>
        <w:numPr>
          <w:ilvl w:val="2"/>
          <w:numId w:val="1004"/>
        </w:numPr>
        <w:pStyle w:val="Compact"/>
      </w:pPr>
      <w:r>
        <w:t xml:space="preserve">Tyto se dělí na podkategorie dle jednotlivých zvířat</w:t>
      </w:r>
    </w:p>
    <w:p>
      <w:pPr>
        <w:pStyle w:val="FirstParagraph"/>
      </w:pPr>
      <w:r>
        <w:rPr>
          <w:bCs/>
          <w:b/>
        </w:rPr>
        <w:t xml:space="preserve">Používané výbušniny</w:t>
      </w:r>
    </w:p>
    <w:p>
      <w:pPr>
        <w:numPr>
          <w:ilvl w:val="0"/>
          <w:numId w:val="1005"/>
        </w:numPr>
        <w:pStyle w:val="Compact"/>
      </w:pPr>
      <w:r>
        <w:t xml:space="preserve">Používány jsou jak:</w:t>
      </w:r>
    </w:p>
    <w:p>
      <w:pPr>
        <w:numPr>
          <w:ilvl w:val="1"/>
          <w:numId w:val="1006"/>
        </w:numPr>
        <w:pStyle w:val="Compact"/>
      </w:pPr>
      <w:r>
        <w:t xml:space="preserve">Průmyslové trhaviny,</w:t>
      </w:r>
    </w:p>
    <w:p>
      <w:pPr>
        <w:numPr>
          <w:ilvl w:val="1"/>
          <w:numId w:val="1006"/>
        </w:numPr>
        <w:pStyle w:val="Compact"/>
      </w:pPr>
      <w:r>
        <w:t xml:space="preserve">Vojenské trhaviny,</w:t>
      </w:r>
    </w:p>
    <w:p>
      <w:pPr>
        <w:numPr>
          <w:ilvl w:val="1"/>
          <w:numId w:val="1006"/>
        </w:numPr>
        <w:pStyle w:val="Compact"/>
      </w:pPr>
      <w:r>
        <w:t xml:space="preserve">Různá vojenská munice.</w:t>
      </w:r>
    </w:p>
    <w:p>
      <w:pPr>
        <w:numPr>
          <w:ilvl w:val="1"/>
          <w:numId w:val="1006"/>
        </w:numPr>
        <w:pStyle w:val="Compact"/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Cs/>
          <w:b/>
        </w:rPr>
        <w:t xml:space="preserve">Využití IED</w:t>
      </w:r>
    </w:p>
    <w:p>
      <w:pPr>
        <w:numPr>
          <w:ilvl w:val="0"/>
          <w:numId w:val="1007"/>
        </w:numPr>
        <w:pStyle w:val="Compact"/>
      </w:pPr>
      <w:r>
        <w:t xml:space="preserve">Samozřejmě tyto systémy jsou využívány jako pro sebevražedné, tak i pro jiné útoky.</w:t>
      </w:r>
    </w:p>
    <w:p>
      <w:pPr>
        <w:numPr>
          <w:ilvl w:val="0"/>
          <w:numId w:val="1007"/>
        </w:numPr>
        <w:pStyle w:val="Compact"/>
      </w:pPr>
      <w:r>
        <w:t xml:space="preserve">Pro sebevražedné útoky -</w:t>
      </w:r>
      <w:r>
        <w:t xml:space="preserve"> </w:t>
      </w:r>
      <w:r>
        <w:rPr>
          <w:bCs/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numPr>
          <w:ilvl w:val="1"/>
          <w:numId w:val="1008"/>
        </w:numPr>
        <w:pStyle w:val="Compact"/>
      </w:pPr>
      <w:r>
        <w:t xml:space="preserve">Pro sebevražedné útoky se začalo na začátku pomocí</w:t>
      </w:r>
      <w:r>
        <w:t xml:space="preserve"> </w:t>
      </w:r>
      <w:r>
        <w:rPr>
          <w:bCs/>
          <w:b/>
        </w:rPr>
        <w:t xml:space="preserve">VBIED</w:t>
      </w:r>
    </w:p>
    <w:bookmarkEnd w:id="21"/>
    <w:bookmarkStart w:id="22" w:name="frekvence-sebevražedných-útoků"/>
    <w:p>
      <w:pPr>
        <w:pStyle w:val="Heading4"/>
      </w:pPr>
      <w:r>
        <w:t xml:space="preserve">Frekvence sebevražedných útoků</w:t>
      </w:r>
    </w:p>
    <w:p>
      <w:pPr>
        <w:numPr>
          <w:ilvl w:val="0"/>
          <w:numId w:val="1009"/>
        </w:numPr>
        <w:pStyle w:val="Compact"/>
      </w:pPr>
      <w:r>
        <w:t xml:space="preserve">Od roku 1981 neustále rostou</w:t>
      </w:r>
    </w:p>
    <w:p>
      <w:pPr>
        <w:numPr>
          <w:ilvl w:val="0"/>
          <w:numId w:val="1009"/>
        </w:numPr>
        <w:pStyle w:val="Compact"/>
      </w:pPr>
      <w:r>
        <w:t xml:space="preserve">Ve 21. století rost téměř exponenciálně</w:t>
      </w:r>
    </w:p>
    <w:p>
      <w:pPr>
        <w:pStyle w:val="FirstParagraph"/>
      </w:pPr>
      <w:r>
        <w:rPr>
          <w:bCs/>
          <w:b/>
        </w:rPr>
        <w:t xml:space="preserve">Statistické údaje pro jednotlivé roky</w:t>
      </w:r>
      <w:r>
        <w:br/>
      </w:r>
      <w:r>
        <w:t xml:space="preserve">Několik sebevražedných útoků na sebe hned navazujících v krátkém čase - je považováno za jeden sebevražedný útok.</w:t>
      </w:r>
    </w:p>
    <w:p>
      <w:pPr>
        <w:numPr>
          <w:ilvl w:val="0"/>
          <w:numId w:val="1010"/>
        </w:numPr>
        <w:pStyle w:val="Compact"/>
      </w:pPr>
      <w:r>
        <w:t xml:space="preserve">2019 - 149 útoků (cca 1850 obětí (oběti v tomto smyslu - pouze mrtví) vs. 236 útočníků, z toho 22 žen)</w:t>
      </w:r>
    </w:p>
    <w:p>
      <w:pPr>
        <w:numPr>
          <w:ilvl w:val="0"/>
          <w:numId w:val="1010"/>
        </w:numPr>
        <w:pStyle w:val="Compact"/>
      </w:pPr>
      <w:r>
        <w:t xml:space="preserve">2018 - 293 útoků (cca 2845 obětí vs. 505 útočníků, z toho 84 žen)</w:t>
      </w:r>
    </w:p>
    <w:p>
      <w:pPr>
        <w:numPr>
          <w:ilvl w:val="0"/>
          <w:numId w:val="1010"/>
        </w:numPr>
        <w:pStyle w:val="Compact"/>
      </w:pPr>
      <w:r>
        <w:t xml:space="preserve">2017 - 349 útoků (cca 4370 obětí vs. 623 útočníků, z toho min. 137 žen)</w:t>
      </w:r>
    </w:p>
    <w:p>
      <w:pPr>
        <w:numPr>
          <w:ilvl w:val="0"/>
          <w:numId w:val="1010"/>
        </w:numPr>
        <w:pStyle w:val="Compact"/>
      </w:pPr>
      <w:r>
        <w:t xml:space="preserve">2016 - 469 útoků (cca 5650 obětí vs. 800 útočníků) - sebevražedné útoky proběhly v nejvíce zemí - celkově ve 26 zemích</w:t>
      </w:r>
    </w:p>
    <w:p>
      <w:pPr>
        <w:numPr>
          <w:ilvl w:val="0"/>
          <w:numId w:val="1010"/>
        </w:numPr>
        <w:pStyle w:val="Compact"/>
      </w:pPr>
      <w:r>
        <w:t xml:space="preserve">2015 - 452 útoků (cca 4370 obětí vs. 735 útočníků - 115 Irák, 69 Afghánistán, 24 Pákistán, 13 Jemen, 39 Sýrie, 12 Evropa, 122 Afrika, především Nigérie, Nigérie - Boko Haram)</w:t>
      </w:r>
    </w:p>
    <w:p>
      <w:pPr>
        <w:numPr>
          <w:ilvl w:val="0"/>
          <w:numId w:val="1010"/>
        </w:numPr>
        <w:pStyle w:val="Compact"/>
      </w:pPr>
      <w:r>
        <w:t xml:space="preserve">2014 - 592 útoků (cca 4400 obětí vs 937 útočníků)</w:t>
      </w:r>
    </w:p>
    <w:p>
      <w:pPr>
        <w:numPr>
          <w:ilvl w:val="0"/>
          <w:numId w:val="1010"/>
        </w:numPr>
        <w:pStyle w:val="Compact"/>
      </w:pPr>
      <w:r>
        <w:t xml:space="preserve">2013 - 382 útoků</w:t>
      </w:r>
    </w:p>
    <w:bookmarkEnd w:id="22"/>
    <w:bookmarkStart w:id="23" w:name="blíže-k-jednotlivím-zemím"/>
    <w:p>
      <w:pPr>
        <w:pStyle w:val="Heading4"/>
      </w:pPr>
      <w:r>
        <w:t xml:space="preserve">Blíže k jednotlivím zemím</w:t>
      </w:r>
    </w:p>
    <w:p>
      <w:pPr>
        <w:pStyle w:val="FirstParagraph"/>
      </w:pPr>
      <w:r>
        <w:rPr>
          <w:bCs/>
          <w:b/>
        </w:rPr>
        <w:t xml:space="preserve">Příklad</w:t>
      </w:r>
    </w:p>
    <w:p>
      <w:pPr>
        <w:pStyle w:val="BodyText"/>
      </w:pPr>
      <w:r>
        <w:rPr>
          <w:bCs/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numPr>
          <w:ilvl w:val="0"/>
          <w:numId w:val="1011"/>
        </w:numPr>
        <w:pStyle w:val="Compact"/>
      </w:pPr>
      <w:r>
        <w:t xml:space="preserve">V rámci roku 1983 do roku 2009 - okolo 330 útoků.</w:t>
      </w:r>
    </w:p>
    <w:p>
      <w:pPr>
        <w:numPr>
          <w:ilvl w:val="0"/>
          <w:numId w:val="1011"/>
        </w:numPr>
        <w:pStyle w:val="Compact"/>
      </w:pPr>
      <w:r>
        <w:t xml:space="preserve">Zajímavé je, že s použitím</w:t>
      </w:r>
      <w:r>
        <w:t xml:space="preserve"> </w:t>
      </w:r>
      <w:r>
        <w:rPr>
          <w:bCs/>
          <w:b/>
        </w:rPr>
        <w:t xml:space="preserve">suicide belt</w:t>
      </w:r>
      <w:r>
        <w:t xml:space="preserve">/</w:t>
      </w:r>
      <w:r>
        <w:rPr>
          <w:bCs/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numPr>
          <w:ilvl w:val="1"/>
          <w:numId w:val="1012"/>
        </w:numPr>
        <w:pStyle w:val="Compact"/>
      </w:pPr>
      <w:r>
        <w:t xml:space="preserve">Co se</w:t>
      </w:r>
      <w:r>
        <w:t xml:space="preserve"> </w:t>
      </w:r>
      <w:r>
        <w:rPr>
          <w:bCs/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Cs/>
          <w:b/>
        </w:rPr>
        <w:t xml:space="preserve">šrapnely</w:t>
      </w:r>
    </w:p>
    <w:p>
      <w:pPr>
        <w:pStyle w:val="FirstParagraph"/>
      </w:pPr>
      <w:r>
        <w:rPr>
          <w:bCs/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Cs/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Hisbaláh</w:t>
      </w:r>
    </w:p>
    <w:p>
      <w:pPr>
        <w:pStyle w:val="BodyText"/>
      </w:pPr>
      <w:r>
        <w:rPr>
          <w:bCs/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Cs/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bookmarkEnd w:id="23"/>
    <w:bookmarkStart w:id="24" w:name="proxy-suicide-attack"/>
    <w:p>
      <w:pPr>
        <w:pStyle w:val="Heading4"/>
      </w:pPr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bookmarkEnd w:id="24"/>
    <w:bookmarkEnd w:id="25"/>
    <w:bookmarkEnd w:id="26"/>
    <w:bookmarkStart w:id="34" w:name="přednáška-2---ozbrojené-konflikty"/>
    <w:p>
      <w:pPr>
        <w:pStyle w:val="Heading2"/>
      </w:pPr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Cs/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Cs/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bezpečnostního</w:t>
      </w:r>
      <w:r>
        <w:t xml:space="preserve"> </w:t>
      </w:r>
      <w:r>
        <w:t xml:space="preserve">hlediska.</w:t>
      </w:r>
    </w:p>
    <w:bookmarkStart w:id="27" w:name="X5f68eebaea617c9a4a4461c7404e28d1822cec5"/>
    <w:p>
      <w:pPr>
        <w:pStyle w:val="Heading5"/>
      </w:pPr>
      <w:r>
        <w:t xml:space="preserve">Abychom mohli nazvat nějakou situaci konfliktem, musí splňovat několik podmínek:</w:t>
      </w:r>
    </w:p>
    <w:p>
      <w:pPr>
        <w:numPr>
          <w:ilvl w:val="0"/>
          <w:numId w:val="1013"/>
        </w:numPr>
        <w:pStyle w:val="Compact"/>
      </w:pPr>
      <w:r>
        <w:t xml:space="preserve">musí mít</w:t>
      </w:r>
      <w:r>
        <w:t xml:space="preserve"> </w:t>
      </w:r>
      <w:r>
        <w:rPr>
          <w:bCs/>
          <w:b/>
        </w:rPr>
        <w:t xml:space="preserve">aktéry</w:t>
      </w:r>
      <w:r>
        <w:t xml:space="preserve">,</w:t>
      </w:r>
    </w:p>
    <w:p>
      <w:pPr>
        <w:numPr>
          <w:ilvl w:val="0"/>
          <w:numId w:val="1013"/>
        </w:numPr>
        <w:pStyle w:val="Compact"/>
      </w:pPr>
      <w:r>
        <w:t xml:space="preserve">musí tám být nějaká neslučitelnost</w:t>
      </w:r>
      <w:r>
        <w:t xml:space="preserve"> </w:t>
      </w:r>
      <w:r>
        <w:rPr>
          <w:bCs/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numPr>
          <w:ilvl w:val="0"/>
          <w:numId w:val="1013"/>
        </w:numPr>
        <w:pStyle w:val="Compact"/>
      </w:pPr>
      <w:r>
        <w:t xml:space="preserve">musí být přítomno</w:t>
      </w:r>
      <w:r>
        <w:t xml:space="preserve"> </w:t>
      </w:r>
      <w:r>
        <w:rPr>
          <w:bCs/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Cs/>
          <w:b/>
        </w:rPr>
        <w:t xml:space="preserve">latentním</w:t>
      </w:r>
    </w:p>
    <w:p>
      <w:pPr>
        <w:numPr>
          <w:ilvl w:val="0"/>
          <w:numId w:val="1013"/>
        </w:numPr>
        <w:pStyle w:val="Compact"/>
      </w:pPr>
      <w:r>
        <w:t xml:space="preserve">je tam přítomno</w:t>
      </w:r>
      <w:r>
        <w:t xml:space="preserve"> </w:t>
      </w:r>
      <w:r>
        <w:rPr>
          <w:bCs/>
          <w:b/>
        </w:rPr>
        <w:t xml:space="preserve">jednání</w:t>
      </w:r>
      <w:r>
        <w:t xml:space="preserve">, opatření, kroky realizované jednotlivými stranami konfliktu</w:t>
      </w:r>
    </w:p>
    <w:bookmarkEnd w:id="27"/>
    <w:bookmarkStart w:id="28" w:name="druhů-konfliktů-je-samozřejmě-mnoho"/>
    <w:p>
      <w:pPr>
        <w:pStyle w:val="Heading5"/>
      </w:pPr>
      <w:r>
        <w:t xml:space="preserve">Druhů konfliktů je samozřejmě mnoho:</w:t>
      </w:r>
    </w:p>
    <w:p>
      <w:pPr>
        <w:numPr>
          <w:ilvl w:val="0"/>
          <w:numId w:val="1014"/>
        </w:numPr>
        <w:pStyle w:val="Compact"/>
      </w:pPr>
      <w:r>
        <w:t xml:space="preserve">interpersonální (například schyzofrenie)</w:t>
      </w:r>
    </w:p>
    <w:p>
      <w:pPr>
        <w:numPr>
          <w:ilvl w:val="0"/>
          <w:numId w:val="1014"/>
        </w:numPr>
        <w:pStyle w:val="Compact"/>
      </w:pPr>
      <w:r>
        <w:t xml:space="preserve">osobní (například sousedské)</w:t>
      </w:r>
    </w:p>
    <w:p>
      <w:pPr>
        <w:numPr>
          <w:ilvl w:val="0"/>
          <w:numId w:val="1014"/>
        </w:numPr>
        <w:pStyle w:val="Compact"/>
      </w:pPr>
      <w:r>
        <w:t xml:space="preserve">více osobnostní (tzn. konflikt mezi stranami - tedy například mezi skupinami, či státy)</w:t>
      </w:r>
    </w:p>
    <w:bookmarkEnd w:id="28"/>
    <w:bookmarkStart w:id="29" w:name="další-rozlišování"/>
    <w:p>
      <w:pPr>
        <w:pStyle w:val="Heading5"/>
      </w:pPr>
      <w:r>
        <w:t xml:space="preserve">Další rozlišování</w:t>
      </w:r>
    </w:p>
    <w:p>
      <w:pPr>
        <w:numPr>
          <w:ilvl w:val="0"/>
          <w:numId w:val="1015"/>
        </w:numPr>
        <w:pStyle w:val="Compact"/>
      </w:pPr>
      <w:r>
        <w:t xml:space="preserve">násilné/nenásilné konflikty</w:t>
      </w:r>
    </w:p>
    <w:p>
      <w:pPr>
        <w:numPr>
          <w:ilvl w:val="0"/>
          <w:numId w:val="1015"/>
        </w:numPr>
        <w:pStyle w:val="Compact"/>
      </w:pPr>
      <w:r>
        <w:t xml:space="preserve">ozbrojené/neozbrojené konflikty - spočívá vyloženě ve vojenské technice, planých zbraních etc., tzn. konflikty fotbalových fanoušků nejsou ozbrojeným konfliktem</w:t>
      </w:r>
    </w:p>
    <w:bookmarkEnd w:id="29"/>
    <w:bookmarkStart w:id="30" w:name="co-se-týče-místního-rozlišení"/>
    <w:p>
      <w:pPr>
        <w:pStyle w:val="Heading5"/>
      </w:pPr>
      <w:r>
        <w:t xml:space="preserve">Co se týče místního rozlišení</w:t>
      </w:r>
    </w:p>
    <w:p>
      <w:pPr>
        <w:numPr>
          <w:ilvl w:val="0"/>
          <w:numId w:val="1016"/>
        </w:numPr>
        <w:pStyle w:val="Compact"/>
      </w:pPr>
      <w:r>
        <w:t xml:space="preserve">především mezistátní konflikty -</w:t>
      </w:r>
      <w:r>
        <w:t xml:space="preserve"> </w:t>
      </w:r>
      <w:r>
        <w:rPr>
          <w:bCs/>
          <w:b/>
        </w:rPr>
        <w:t xml:space="preserve">konflikt STÁT X STÁT</w:t>
      </w:r>
    </w:p>
    <w:p>
      <w:pPr>
        <w:numPr>
          <w:ilvl w:val="0"/>
          <w:numId w:val="1016"/>
        </w:numPr>
        <w:pStyle w:val="Compact"/>
      </w:pPr>
      <w:r>
        <w:t xml:space="preserve">transnacionální -</w:t>
      </w:r>
      <w:r>
        <w:t xml:space="preserve"> </w:t>
      </w:r>
      <w:r>
        <w:rPr>
          <w:bCs/>
          <w:b/>
        </w:rPr>
        <w:t xml:space="preserve">konflikt několik STRAN X několik STRAN</w:t>
      </w:r>
    </w:p>
    <w:p>
      <w:pPr>
        <w:numPr>
          <w:ilvl w:val="0"/>
          <w:numId w:val="1016"/>
        </w:numPr>
        <w:pStyle w:val="Compact"/>
      </w:pPr>
      <w:r>
        <w:t xml:space="preserve">vnitrostátní - v rámci jednoho státu -</w:t>
      </w:r>
      <w:r>
        <w:t xml:space="preserve"> </w:t>
      </w:r>
      <w:r>
        <w:rPr>
          <w:bCs/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Cs/>
          <w:b/>
        </w:rPr>
        <w:t xml:space="preserve">etnické konflikty</w:t>
      </w:r>
    </w:p>
    <w:p>
      <w:pPr>
        <w:numPr>
          <w:ilvl w:val="0"/>
          <w:numId w:val="1016"/>
        </w:numPr>
        <w:pStyle w:val="Compact"/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bookmarkEnd w:id="30"/>
    <w:bookmarkStart w:id="31" w:name="druhy-řešení-konfliktů"/>
    <w:p>
      <w:pPr>
        <w:pStyle w:val="Heading5"/>
      </w:pPr>
      <w:r>
        <w:t xml:space="preserve">Druhy řešení konfliktů</w:t>
      </w:r>
    </w:p>
    <w:p>
      <w:pPr>
        <w:numPr>
          <w:ilvl w:val="0"/>
          <w:numId w:val="1017"/>
        </w:numPr>
        <w:pStyle w:val="Compact"/>
      </w:pPr>
      <w:r>
        <w:t xml:space="preserve">diplomatické</w:t>
      </w:r>
    </w:p>
    <w:p>
      <w:pPr>
        <w:numPr>
          <w:ilvl w:val="0"/>
          <w:numId w:val="1017"/>
        </w:numPr>
        <w:pStyle w:val="Compact"/>
      </w:pPr>
      <w:r>
        <w:t xml:space="preserve">ozbrojené (přímo a nepřímo) -</w:t>
      </w:r>
      <w:r>
        <w:t xml:space="preserve"> </w:t>
      </w:r>
      <w:r>
        <w:rPr>
          <w:bCs/>
          <w:b/>
        </w:rPr>
        <w:t xml:space="preserve">válka</w:t>
      </w:r>
    </w:p>
    <w:p>
      <w:pPr>
        <w:numPr>
          <w:ilvl w:val="1"/>
          <w:numId w:val="1018"/>
        </w:numPr>
        <w:pStyle w:val="Compact"/>
      </w:pPr>
      <w:r>
        <w:t xml:space="preserve">přímo mezi státy</w:t>
      </w:r>
    </w:p>
    <w:p>
      <w:pPr>
        <w:numPr>
          <w:ilvl w:val="1"/>
          <w:numId w:val="1018"/>
        </w:numPr>
        <w:pStyle w:val="Compact"/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Cs/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Cs/>
          <w:b/>
        </w:rPr>
        <w:t xml:space="preserve">válku</w:t>
      </w:r>
      <w:r>
        <w:t xml:space="preserve">.</w:t>
      </w:r>
    </w:p>
    <w:bookmarkEnd w:id="31"/>
    <w:bookmarkStart w:id="32" w:name="války-od-skončení-studené-války"/>
    <w:p>
      <w:pPr>
        <w:pStyle w:val="Heading5"/>
      </w:pPr>
      <w:r>
        <w:t xml:space="preserve">Války od skončení studené války</w:t>
      </w:r>
    </w:p>
    <w:p>
      <w:pPr>
        <w:numPr>
          <w:ilvl w:val="0"/>
          <w:numId w:val="1019"/>
        </w:numPr>
        <w:pStyle w:val="Compact"/>
      </w:pPr>
      <w:r>
        <w:t xml:space="preserve">Kuwait</w:t>
      </w:r>
    </w:p>
    <w:p>
      <w:pPr>
        <w:numPr>
          <w:ilvl w:val="0"/>
          <w:numId w:val="1019"/>
        </w:numPr>
        <w:pStyle w:val="Compact"/>
      </w:pPr>
      <w:r>
        <w:t xml:space="preserve">Indie, Pákistán</w:t>
      </w:r>
    </w:p>
    <w:p>
      <w:pPr>
        <w:numPr>
          <w:ilvl w:val="0"/>
          <w:numId w:val="1019"/>
        </w:numPr>
        <w:pStyle w:val="Compact"/>
      </w:pPr>
      <w:r>
        <w:t xml:space="preserve">Etiopie, Eritrea</w:t>
      </w:r>
    </w:p>
    <w:p>
      <w:pPr>
        <w:numPr>
          <w:ilvl w:val="0"/>
          <w:numId w:val="1019"/>
        </w:numPr>
        <w:pStyle w:val="Compact"/>
      </w:pPr>
      <w:r>
        <w:t xml:space="preserve">Náhorní Karabach</w:t>
      </w:r>
    </w:p>
    <w:p>
      <w:pPr>
        <w:numPr>
          <w:ilvl w:val="0"/>
          <w:numId w:val="1019"/>
        </w:numPr>
        <w:pStyle w:val="Compact"/>
      </w:pPr>
      <w:r>
        <w:t xml:space="preserve">Rusko, Gruzie</w:t>
      </w:r>
    </w:p>
    <w:bookmarkEnd w:id="32"/>
    <w:bookmarkStart w:id="33" w:name="Xaab326492256010c7b65ca28878c0c9cfcfbee2"/>
    <w:p>
      <w:pPr>
        <w:pStyle w:val="Heading5"/>
      </w:pPr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numPr>
          <w:ilvl w:val="0"/>
          <w:numId w:val="1020"/>
        </w:numPr>
        <w:pStyle w:val="Compact"/>
      </w:pPr>
      <w:r>
        <w:t xml:space="preserve">Jeden z aktérů je stát</w:t>
      </w:r>
    </w:p>
    <w:p>
      <w:pPr>
        <w:numPr>
          <w:ilvl w:val="0"/>
          <w:numId w:val="1020"/>
        </w:numPr>
        <w:pStyle w:val="Compact"/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numPr>
          <w:ilvl w:val="0"/>
          <w:numId w:val="1020"/>
        </w:numPr>
        <w:pStyle w:val="Compact"/>
      </w:pPr>
      <w:r>
        <w:t xml:space="preserve">Pokud není jeden z aktérů stát, musí mít jistá kvantitativní kritérie</w:t>
      </w:r>
    </w:p>
    <w:p>
      <w:pPr>
        <w:numPr>
          <w:ilvl w:val="1"/>
          <w:numId w:val="1021"/>
        </w:numPr>
        <w:pStyle w:val="Compact"/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Cs/>
          <w:b/>
        </w:rPr>
        <w:t xml:space="preserve">Drogová válka</w:t>
      </w:r>
      <w:r>
        <w:t xml:space="preserve"> </w:t>
      </w:r>
      <w:r>
        <w:t xml:space="preserve">v Mexiku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2022-01-19T18:45:42Z</dcterms:created>
  <dcterms:modified xsi:type="dcterms:W3CDTF">2022-01-19T18:45:42Z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