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75246826"/>
        <w:docPartObj>
          <w:docPartGallery w:val="Table of Contents"/>
          <w:docPartUnique/>
        </w:docPartObj>
      </w:sdtPr>
      <w:sdtEndPr/>
      <w:sdtContent>
        <w:p w14:paraId="3CDA3D43" w14:textId="77777777" w:rsidR="00B154D7" w:rsidRDefault="00AD2186">
          <w:pPr>
            <w:pStyle w:val="TOCHeading"/>
          </w:pPr>
          <w:r>
            <w:t>Table of Contents</w:t>
          </w:r>
        </w:p>
        <w:p w14:paraId="04D02E24" w14:textId="5AE4F429" w:rsidR="009C12D5" w:rsidRDefault="00AD21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C12D5">
            <w:fldChar w:fldCharType="separate"/>
          </w:r>
          <w:hyperlink w:anchor="_Toc62488288" w:history="1">
            <w:r w:rsidR="009C12D5" w:rsidRPr="00F1747C">
              <w:rPr>
                <w:rStyle w:val="Hyperlink"/>
                <w:noProof/>
              </w:rPr>
              <w:t>Bezpečnostní hrozby</w:t>
            </w:r>
            <w:r w:rsidR="009C12D5">
              <w:rPr>
                <w:noProof/>
                <w:webHidden/>
              </w:rPr>
              <w:tab/>
            </w:r>
            <w:r w:rsidR="009C12D5">
              <w:rPr>
                <w:noProof/>
                <w:webHidden/>
              </w:rPr>
              <w:fldChar w:fldCharType="begin"/>
            </w:r>
            <w:r w:rsidR="009C12D5">
              <w:rPr>
                <w:noProof/>
                <w:webHidden/>
              </w:rPr>
              <w:instrText xml:space="preserve"> PAGEREF _Toc62488288 \h </w:instrText>
            </w:r>
            <w:r w:rsidR="009C12D5">
              <w:rPr>
                <w:noProof/>
                <w:webHidden/>
              </w:rPr>
            </w:r>
            <w:r w:rsidR="009C12D5">
              <w:rPr>
                <w:noProof/>
                <w:webHidden/>
              </w:rPr>
              <w:fldChar w:fldCharType="separate"/>
            </w:r>
            <w:r w:rsidR="009C12D5">
              <w:rPr>
                <w:noProof/>
                <w:webHidden/>
              </w:rPr>
              <w:t>1</w:t>
            </w:r>
            <w:r w:rsidR="009C12D5">
              <w:rPr>
                <w:noProof/>
                <w:webHidden/>
              </w:rPr>
              <w:fldChar w:fldCharType="end"/>
            </w:r>
          </w:hyperlink>
        </w:p>
        <w:p w14:paraId="4186BF92" w14:textId="452CD7E3" w:rsidR="009C12D5" w:rsidRDefault="009C12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488289" w:history="1">
            <w:r w:rsidRPr="00F1747C">
              <w:rPr>
                <w:rStyle w:val="Hyperlink"/>
                <w:noProof/>
              </w:rPr>
              <w:t>Přednáška 1 - Sebevražedný terorismus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091F" w14:textId="0480FCCE" w:rsidR="009C12D5" w:rsidRDefault="009C12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488290" w:history="1">
            <w:r w:rsidRPr="00F1747C">
              <w:rPr>
                <w:rStyle w:val="Hyperlink"/>
                <w:noProof/>
              </w:rPr>
              <w:t>Základní Vymezení, definice a příklady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D63D" w14:textId="7E5FE4C4" w:rsidR="009C12D5" w:rsidRDefault="009C12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488291" w:history="1">
            <w:r w:rsidRPr="00F1747C">
              <w:rPr>
                <w:rStyle w:val="Hyperlink"/>
                <w:noProof/>
              </w:rPr>
              <w:t>Přednáška 2 - Ozbrojené konflikty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3D44" w14:textId="42998BD2" w:rsidR="00B154D7" w:rsidRDefault="00AD2186">
          <w:r>
            <w:fldChar w:fldCharType="end"/>
          </w:r>
        </w:p>
      </w:sdtContent>
    </w:sdt>
    <w:p w14:paraId="3CDA3D45" w14:textId="77777777" w:rsidR="00B154D7" w:rsidRDefault="00AD2186">
      <w:pPr>
        <w:pStyle w:val="Heading1"/>
      </w:pPr>
      <w:bookmarkStart w:id="0" w:name="bezpečnostní-hrozby"/>
      <w:bookmarkStart w:id="1" w:name="_Toc62488288"/>
      <w:r>
        <w:t>Bezpečnostní hrozby</w:t>
      </w:r>
      <w:bookmarkEnd w:id="1"/>
    </w:p>
    <w:p w14:paraId="3CDA3D46" w14:textId="77777777" w:rsidR="00B154D7" w:rsidRDefault="00AD2186">
      <w:pPr>
        <w:pStyle w:val="Heading2"/>
      </w:pPr>
      <w:bookmarkStart w:id="2" w:name="přednáška-1---sebevražedný-terorismus"/>
      <w:bookmarkStart w:id="3" w:name="_Toc62488289"/>
      <w:r>
        <w:t>Přednáška 1 - Sebevražedný terorismus</w:t>
      </w:r>
      <w:bookmarkEnd w:id="3"/>
    </w:p>
    <w:p w14:paraId="3CDA3D47" w14:textId="77777777" w:rsidR="00B154D7" w:rsidRDefault="00AD2186">
      <w:pPr>
        <w:pStyle w:val="Heading3"/>
      </w:pPr>
      <w:bookmarkStart w:id="4" w:name="základní-vymezení-definice-a-příklady"/>
      <w:bookmarkStart w:id="5" w:name="_Toc62488290"/>
      <w:r>
        <w:t>Základní Vymezení, definice a příklady</w:t>
      </w:r>
      <w:bookmarkEnd w:id="5"/>
    </w:p>
    <w:p w14:paraId="3CDA3D48" w14:textId="77777777" w:rsidR="00B154D7" w:rsidRDefault="00AD2186">
      <w:pPr>
        <w:pStyle w:val="Heading4"/>
      </w:pPr>
      <w:bookmarkStart w:id="6" w:name="příklady-zemí"/>
      <w:r>
        <w:t>Příklady zemí</w:t>
      </w:r>
    </w:p>
    <w:p w14:paraId="3CDA3D49" w14:textId="77777777" w:rsidR="00B154D7" w:rsidRDefault="00AD2186">
      <w:pPr>
        <w:pStyle w:val="FirstParagraph"/>
      </w:pPr>
      <w:r>
        <w:t>Jedná se o CCA 50 zemí, kde k těmto útoků došlo (výročí 40 let od započatí sebevražedného terorismu) - v Libanonu před ambasádou.</w:t>
      </w:r>
    </w:p>
    <w:p w14:paraId="3CDA3D4A" w14:textId="77777777" w:rsidR="00B154D7" w:rsidRDefault="00AD2186">
      <w:pPr>
        <w:pStyle w:val="BodyText"/>
      </w:pPr>
      <w:r>
        <w:t xml:space="preserve">Zajímavé je zmínit sebevražedný útok na ruského cara Alexandra II. v roce 1981 - ten by se potenciálně dal považovat za první </w:t>
      </w:r>
      <w:r>
        <w:t>sebevražedný atentát.</w:t>
      </w:r>
    </w:p>
    <w:p w14:paraId="3CDA3D4B" w14:textId="77777777" w:rsidR="00B154D7" w:rsidRDefault="00AD2186">
      <w:pPr>
        <w:pStyle w:val="BodyText"/>
      </w:pPr>
      <w:r>
        <w:t>Jedná se pak například o:</w:t>
      </w:r>
    </w:p>
    <w:p w14:paraId="3CDA3D4C" w14:textId="77777777" w:rsidR="00B154D7" w:rsidRDefault="00AD2186">
      <w:pPr>
        <w:pStyle w:val="Compact"/>
        <w:numPr>
          <w:ilvl w:val="0"/>
          <w:numId w:val="2"/>
        </w:numPr>
      </w:pPr>
      <w:r>
        <w:t>Afghánistán (od r. 2001, systematičtěji od 2004) - Defakto propojeno s Pákistánem</w:t>
      </w:r>
    </w:p>
    <w:p w14:paraId="3CDA3D4D" w14:textId="77777777" w:rsidR="00B154D7" w:rsidRDefault="00AD2186">
      <w:pPr>
        <w:pStyle w:val="Compact"/>
        <w:numPr>
          <w:ilvl w:val="0"/>
          <w:numId w:val="2"/>
        </w:numPr>
      </w:pPr>
      <w:r>
        <w:t>Írák (od r. 2003)</w:t>
      </w:r>
    </w:p>
    <w:p w14:paraId="3CDA3D4E" w14:textId="77777777" w:rsidR="00B154D7" w:rsidRDefault="00AD2186">
      <w:pPr>
        <w:pStyle w:val="Compact"/>
        <w:numPr>
          <w:ilvl w:val="0"/>
          <w:numId w:val="2"/>
        </w:numPr>
      </w:pPr>
      <w:r>
        <w:t>Izrael (Hamás) (od r. 1994)</w:t>
      </w:r>
    </w:p>
    <w:p w14:paraId="3CDA3D4F" w14:textId="77777777" w:rsidR="00B154D7" w:rsidRDefault="00AD2186">
      <w:pPr>
        <w:pStyle w:val="Compact"/>
        <w:numPr>
          <w:ilvl w:val="0"/>
          <w:numId w:val="2"/>
        </w:numPr>
      </w:pPr>
      <w:r>
        <w:t>Libanon (Hisbaláh) (od r. 1981)</w:t>
      </w:r>
    </w:p>
    <w:p w14:paraId="3CDA3D50" w14:textId="77777777" w:rsidR="00B154D7" w:rsidRDefault="00AD2186">
      <w:pPr>
        <w:pStyle w:val="Compact"/>
        <w:numPr>
          <w:ilvl w:val="0"/>
          <w:numId w:val="2"/>
        </w:numPr>
      </w:pPr>
      <w:r>
        <w:t>Pákistán (od r. 2003)</w:t>
      </w:r>
    </w:p>
    <w:p w14:paraId="3CDA3D51" w14:textId="77777777" w:rsidR="00B154D7" w:rsidRDefault="00AD2186">
      <w:pPr>
        <w:pStyle w:val="Compact"/>
        <w:numPr>
          <w:ilvl w:val="0"/>
          <w:numId w:val="2"/>
        </w:numPr>
      </w:pPr>
      <w:r>
        <w:t>Rusko (od r. 2000) - Kavka</w:t>
      </w:r>
      <w:r>
        <w:t>z</w:t>
      </w:r>
    </w:p>
    <w:p w14:paraId="3CDA3D52" w14:textId="77777777" w:rsidR="00B154D7" w:rsidRDefault="00AD2186">
      <w:pPr>
        <w:pStyle w:val="Compact"/>
        <w:numPr>
          <w:ilvl w:val="0"/>
          <w:numId w:val="2"/>
        </w:numPr>
      </w:pPr>
      <w:r>
        <w:t>Srí Lanka (od r. 1987) - Budhistický a Hinduistický ostrov (Ceilon) - V rámci občanské války až do roku 2009</w:t>
      </w:r>
    </w:p>
    <w:p w14:paraId="3CDA3D53" w14:textId="77777777" w:rsidR="00B154D7" w:rsidRDefault="00AD2186">
      <w:pPr>
        <w:pStyle w:val="Heading4"/>
      </w:pPr>
      <w:bookmarkStart w:id="7" w:name="nástražný-výbušný-systém"/>
      <w:bookmarkEnd w:id="6"/>
      <w:r>
        <w:t>Nástražný výbušný systém</w:t>
      </w:r>
    </w:p>
    <w:p w14:paraId="3CDA3D54" w14:textId="77777777" w:rsidR="00B154D7" w:rsidRDefault="00AD2186">
      <w:pPr>
        <w:pStyle w:val="FirstParagraph"/>
      </w:pPr>
      <w:r>
        <w:t>IED (V angličtině “Improvized explosive device”) - Jedná se o ty samotné výbušniny - ty je možné odpalovat různými způso</w:t>
      </w:r>
      <w:r>
        <w:t>by (na dálku, na blízko etc.).</w:t>
      </w:r>
    </w:p>
    <w:p w14:paraId="3CDA3D55" w14:textId="77777777" w:rsidR="00B154D7" w:rsidRDefault="00AD2186">
      <w:pPr>
        <w:pStyle w:val="BodyText"/>
      </w:pPr>
      <w:r>
        <w:t>To má důsledek například pro samoodpalované sebevražedné útoky - neboť v případě neúspěchu je možné sebevražedné výbušné zařízení odpálit i na dálku někým jiným.</w:t>
      </w:r>
    </w:p>
    <w:p w14:paraId="3CDA3D56" w14:textId="77777777" w:rsidR="00B154D7" w:rsidRDefault="00AD2186">
      <w:pPr>
        <w:pStyle w:val="BodyText"/>
      </w:pPr>
      <w:r>
        <w:t>Pro toto téma je to důležité z toho hlediska, že z odborné term</w:t>
      </w:r>
      <w:r>
        <w:t xml:space="preserve">inologie je termín </w:t>
      </w:r>
      <w:r>
        <w:rPr>
          <w:i/>
          <w:iCs/>
        </w:rPr>
        <w:t>Nástražný výbušný systém</w:t>
      </w:r>
      <w:r>
        <w:t xml:space="preserve"> používán rovněž ve spojení se sebevražednými útoky.</w:t>
      </w:r>
    </w:p>
    <w:p w14:paraId="3CDA3D57" w14:textId="77777777" w:rsidR="00B154D7" w:rsidRDefault="00AD2186">
      <w:pPr>
        <w:pStyle w:val="BodyText"/>
      </w:pPr>
      <w:r>
        <w:rPr>
          <w:b/>
          <w:bCs/>
        </w:rPr>
        <w:t>Další podkategorie</w:t>
      </w:r>
    </w:p>
    <w:p w14:paraId="3CDA3D58" w14:textId="77777777" w:rsidR="00B154D7" w:rsidRDefault="00AD2186">
      <w:pPr>
        <w:pStyle w:val="Compact"/>
        <w:numPr>
          <w:ilvl w:val="0"/>
          <w:numId w:val="3"/>
        </w:numPr>
      </w:pPr>
      <w:r>
        <w:lastRenderedPageBreak/>
        <w:t>Dále jsou další podkategorie</w:t>
      </w:r>
    </w:p>
    <w:p w14:paraId="3CDA3D59" w14:textId="77777777" w:rsidR="00B154D7" w:rsidRDefault="00AD2186">
      <w:pPr>
        <w:pStyle w:val="Compact"/>
        <w:numPr>
          <w:ilvl w:val="1"/>
          <w:numId w:val="4"/>
        </w:numPr>
      </w:pPr>
      <w:r>
        <w:t>Například IED v motorovém vozidle (</w:t>
      </w:r>
      <w:r>
        <w:rPr>
          <w:b/>
          <w:bCs/>
        </w:rPr>
        <w:t>VBIED</w:t>
      </w:r>
      <w:r>
        <w:t>)</w:t>
      </w:r>
    </w:p>
    <w:p w14:paraId="3CDA3D5A" w14:textId="77777777" w:rsidR="00B154D7" w:rsidRDefault="00AD2186">
      <w:pPr>
        <w:pStyle w:val="Compact"/>
        <w:numPr>
          <w:ilvl w:val="1"/>
          <w:numId w:val="4"/>
        </w:numPr>
      </w:pPr>
      <w:r>
        <w:t>Dále například IED na těle zvířete (</w:t>
      </w:r>
      <w:r>
        <w:rPr>
          <w:b/>
          <w:bCs/>
        </w:rPr>
        <w:t>ABIED</w:t>
      </w:r>
      <w:r>
        <w:t>)</w:t>
      </w:r>
    </w:p>
    <w:p w14:paraId="3CDA3D5B" w14:textId="77777777" w:rsidR="00B154D7" w:rsidRDefault="00AD2186">
      <w:pPr>
        <w:pStyle w:val="Compact"/>
        <w:numPr>
          <w:ilvl w:val="2"/>
          <w:numId w:val="5"/>
        </w:numPr>
      </w:pPr>
      <w:r>
        <w:t>Tyto se dělí na podkategori</w:t>
      </w:r>
      <w:r>
        <w:t>e dle jednotlivých zvířat</w:t>
      </w:r>
    </w:p>
    <w:p w14:paraId="3CDA3D5C" w14:textId="77777777" w:rsidR="00B154D7" w:rsidRDefault="00AD2186">
      <w:pPr>
        <w:pStyle w:val="FirstParagraph"/>
      </w:pPr>
      <w:r>
        <w:rPr>
          <w:b/>
          <w:bCs/>
        </w:rPr>
        <w:t>Používané výbušniny</w:t>
      </w:r>
    </w:p>
    <w:p w14:paraId="3CDA3D5D" w14:textId="77777777" w:rsidR="00B154D7" w:rsidRDefault="00AD2186">
      <w:pPr>
        <w:pStyle w:val="Compact"/>
        <w:numPr>
          <w:ilvl w:val="0"/>
          <w:numId w:val="6"/>
        </w:numPr>
      </w:pPr>
      <w:r>
        <w:t>Používány jsou jak:</w:t>
      </w:r>
    </w:p>
    <w:p w14:paraId="3CDA3D5E" w14:textId="77777777" w:rsidR="00B154D7" w:rsidRDefault="00AD2186">
      <w:pPr>
        <w:pStyle w:val="Compact"/>
        <w:numPr>
          <w:ilvl w:val="1"/>
          <w:numId w:val="7"/>
        </w:numPr>
      </w:pPr>
      <w:r>
        <w:t>Průmyslové trhaviny,</w:t>
      </w:r>
    </w:p>
    <w:p w14:paraId="3CDA3D5F" w14:textId="77777777" w:rsidR="00B154D7" w:rsidRDefault="00AD2186">
      <w:pPr>
        <w:pStyle w:val="Compact"/>
        <w:numPr>
          <w:ilvl w:val="1"/>
          <w:numId w:val="7"/>
        </w:numPr>
      </w:pPr>
      <w:r>
        <w:t>Vojenské trhaviny,</w:t>
      </w:r>
    </w:p>
    <w:p w14:paraId="3CDA3D60" w14:textId="77777777" w:rsidR="00B154D7" w:rsidRDefault="00AD2186">
      <w:pPr>
        <w:pStyle w:val="Compact"/>
        <w:numPr>
          <w:ilvl w:val="1"/>
          <w:numId w:val="7"/>
        </w:numPr>
      </w:pPr>
      <w:r>
        <w:t>Různá vojenská munice.</w:t>
      </w:r>
    </w:p>
    <w:p w14:paraId="3CDA3D61" w14:textId="77777777" w:rsidR="00B154D7" w:rsidRDefault="00AD2186">
      <w:pPr>
        <w:pStyle w:val="Compact"/>
        <w:numPr>
          <w:ilvl w:val="1"/>
          <w:numId w:val="7"/>
        </w:numPr>
      </w:pPr>
      <w:r>
        <w:t>A další improvizované výbušniny (i například samotný střelný prach)</w:t>
      </w:r>
    </w:p>
    <w:p w14:paraId="3CDA3D62" w14:textId="77777777" w:rsidR="00B154D7" w:rsidRDefault="00AD2186">
      <w:pPr>
        <w:pStyle w:val="FirstParagraph"/>
      </w:pPr>
      <w:r>
        <w:rPr>
          <w:b/>
          <w:bCs/>
        </w:rPr>
        <w:t>Využití IED</w:t>
      </w:r>
    </w:p>
    <w:p w14:paraId="3CDA3D63" w14:textId="77777777" w:rsidR="00B154D7" w:rsidRDefault="00AD2186">
      <w:pPr>
        <w:pStyle w:val="Compact"/>
        <w:numPr>
          <w:ilvl w:val="0"/>
          <w:numId w:val="8"/>
        </w:numPr>
      </w:pPr>
      <w:r>
        <w:t>Samozřejmě tyto systémy jsou využívány jako pro sebevražedné, tak i pro jiné útoky.</w:t>
      </w:r>
    </w:p>
    <w:p w14:paraId="3CDA3D64" w14:textId="77777777" w:rsidR="00B154D7" w:rsidRDefault="00AD2186">
      <w:pPr>
        <w:pStyle w:val="Compact"/>
        <w:numPr>
          <w:ilvl w:val="0"/>
          <w:numId w:val="8"/>
        </w:numPr>
      </w:pPr>
      <w:r>
        <w:t xml:space="preserve">Pro sebevražedné útoky - </w:t>
      </w:r>
      <w:r>
        <w:rPr>
          <w:b/>
          <w:bCs/>
        </w:rPr>
        <w:t>PBIED</w:t>
      </w:r>
      <w:r>
        <w:t xml:space="preserve"> (Person born IED)</w:t>
      </w:r>
    </w:p>
    <w:p w14:paraId="3CDA3D65" w14:textId="77777777" w:rsidR="00B154D7" w:rsidRDefault="00AD2186">
      <w:pPr>
        <w:pStyle w:val="Compact"/>
        <w:numPr>
          <w:ilvl w:val="1"/>
          <w:numId w:val="9"/>
        </w:numPr>
      </w:pPr>
      <w:r>
        <w:t>Pro sebevražedné útoky se začalo na začátku</w:t>
      </w:r>
      <w:r>
        <w:t xml:space="preserve"> pomocí </w:t>
      </w:r>
      <w:r>
        <w:rPr>
          <w:b/>
          <w:bCs/>
        </w:rPr>
        <w:t>VBIED</w:t>
      </w:r>
    </w:p>
    <w:p w14:paraId="3CDA3D66" w14:textId="77777777" w:rsidR="00B154D7" w:rsidRDefault="00AD2186">
      <w:pPr>
        <w:pStyle w:val="Heading4"/>
      </w:pPr>
      <w:bookmarkStart w:id="8" w:name="frekvence-sebevražedných-útoků"/>
      <w:bookmarkEnd w:id="7"/>
      <w:r>
        <w:t>Frekvence sebevražedných útoků</w:t>
      </w:r>
    </w:p>
    <w:p w14:paraId="3CDA3D67" w14:textId="77777777" w:rsidR="00B154D7" w:rsidRDefault="00AD2186">
      <w:pPr>
        <w:pStyle w:val="Compact"/>
        <w:numPr>
          <w:ilvl w:val="0"/>
          <w:numId w:val="10"/>
        </w:numPr>
      </w:pPr>
      <w:r>
        <w:t>Od roku 1981 neustále rostou</w:t>
      </w:r>
    </w:p>
    <w:p w14:paraId="3CDA3D68" w14:textId="77777777" w:rsidR="00B154D7" w:rsidRDefault="00AD2186">
      <w:pPr>
        <w:pStyle w:val="Compact"/>
        <w:numPr>
          <w:ilvl w:val="0"/>
          <w:numId w:val="10"/>
        </w:numPr>
      </w:pPr>
      <w:r>
        <w:t>Ve 21. století rost téměř exponenciálně</w:t>
      </w:r>
    </w:p>
    <w:p w14:paraId="3CDA3D69" w14:textId="77777777" w:rsidR="00B154D7" w:rsidRDefault="00AD2186">
      <w:pPr>
        <w:pStyle w:val="FirstParagraph"/>
      </w:pPr>
      <w:r>
        <w:rPr>
          <w:b/>
          <w:bCs/>
        </w:rPr>
        <w:t>Statistické údaje pro jednotlivé roky</w:t>
      </w:r>
      <w:r>
        <w:br/>
      </w:r>
      <w:r>
        <w:t>Několik sebevražedných útoků na sebe hned navazujících v krátkém čase - je považováno za jeden sebevražedný útok.</w:t>
      </w:r>
    </w:p>
    <w:p w14:paraId="3CDA3D6A" w14:textId="77777777" w:rsidR="00B154D7" w:rsidRDefault="00AD2186">
      <w:pPr>
        <w:pStyle w:val="Compact"/>
        <w:numPr>
          <w:ilvl w:val="0"/>
          <w:numId w:val="11"/>
        </w:numPr>
      </w:pPr>
      <w:r>
        <w:t>2019 - 149 útoků (cca 1850 obětí (oběti v tomto smyslu - pouze mrtví) vs. 236 útočníků, z toho 22 žen)</w:t>
      </w:r>
    </w:p>
    <w:p w14:paraId="3CDA3D6B" w14:textId="77777777" w:rsidR="00B154D7" w:rsidRDefault="00AD2186">
      <w:pPr>
        <w:pStyle w:val="Compact"/>
        <w:numPr>
          <w:ilvl w:val="0"/>
          <w:numId w:val="11"/>
        </w:numPr>
      </w:pPr>
      <w:r>
        <w:t>2018 - 293 útoků (cca 2845 obětí vs. 50</w:t>
      </w:r>
      <w:r>
        <w:t>5 útočníků, z toho 84 žen)</w:t>
      </w:r>
    </w:p>
    <w:p w14:paraId="3CDA3D6C" w14:textId="77777777" w:rsidR="00B154D7" w:rsidRDefault="00AD2186">
      <w:pPr>
        <w:pStyle w:val="Compact"/>
        <w:numPr>
          <w:ilvl w:val="0"/>
          <w:numId w:val="11"/>
        </w:numPr>
      </w:pPr>
      <w:r>
        <w:t>2017 - 349 útoků (cca 4370 obětí vs. 623 útočníků, z toho min. 137 žen)</w:t>
      </w:r>
    </w:p>
    <w:p w14:paraId="3CDA3D6D" w14:textId="77777777" w:rsidR="00B154D7" w:rsidRDefault="00AD2186">
      <w:pPr>
        <w:pStyle w:val="Compact"/>
        <w:numPr>
          <w:ilvl w:val="0"/>
          <w:numId w:val="11"/>
        </w:numPr>
      </w:pPr>
      <w:r>
        <w:t>2016 - 469 útoků (cca 5650 obětí vs. 800 útočníků) - sebevražedné útoky proběhly v nejvíce zemí - celkově ve 26 zemích</w:t>
      </w:r>
    </w:p>
    <w:p w14:paraId="3CDA3D6E" w14:textId="77777777" w:rsidR="00B154D7" w:rsidRDefault="00AD2186">
      <w:pPr>
        <w:pStyle w:val="Compact"/>
        <w:numPr>
          <w:ilvl w:val="0"/>
          <w:numId w:val="11"/>
        </w:numPr>
      </w:pPr>
      <w:r>
        <w:t>2015 - 452 útoků (cca 4370 obětí vs. 7</w:t>
      </w:r>
      <w:r>
        <w:t>35 útočníků - 115 Irák, 69 Afghánistán, 24 Pákistán, 13 Jemen, 39 Sýrie, 12 Evropa, 122 Afrika, především Nigérie, Nigérie - Boko Haram)</w:t>
      </w:r>
    </w:p>
    <w:p w14:paraId="3CDA3D6F" w14:textId="77777777" w:rsidR="00B154D7" w:rsidRDefault="00AD2186">
      <w:pPr>
        <w:pStyle w:val="Compact"/>
        <w:numPr>
          <w:ilvl w:val="0"/>
          <w:numId w:val="11"/>
        </w:numPr>
      </w:pPr>
      <w:r>
        <w:t>2014 - 592 útoků (cca 4400 obětí vs 937 útočníků)</w:t>
      </w:r>
    </w:p>
    <w:p w14:paraId="3CDA3D70" w14:textId="77777777" w:rsidR="00B154D7" w:rsidRDefault="00AD2186">
      <w:pPr>
        <w:pStyle w:val="Compact"/>
        <w:numPr>
          <w:ilvl w:val="0"/>
          <w:numId w:val="11"/>
        </w:numPr>
      </w:pPr>
      <w:r>
        <w:t>2013 - 382 útoků</w:t>
      </w:r>
    </w:p>
    <w:p w14:paraId="3CDA3D71" w14:textId="77777777" w:rsidR="00B154D7" w:rsidRDefault="00AD2186">
      <w:pPr>
        <w:pStyle w:val="Heading4"/>
      </w:pPr>
      <w:bookmarkStart w:id="9" w:name="blíže-k-jednotlivím-zemím"/>
      <w:bookmarkEnd w:id="8"/>
      <w:r>
        <w:t>Blíže k jednotlivím zemím</w:t>
      </w:r>
    </w:p>
    <w:p w14:paraId="3CDA3D72" w14:textId="77777777" w:rsidR="00B154D7" w:rsidRDefault="00AD2186">
      <w:pPr>
        <w:pStyle w:val="FirstParagraph"/>
      </w:pPr>
      <w:r>
        <w:rPr>
          <w:b/>
          <w:bCs/>
        </w:rPr>
        <w:t>Příklad</w:t>
      </w:r>
    </w:p>
    <w:p w14:paraId="3CDA3D73" w14:textId="77777777" w:rsidR="00B154D7" w:rsidRDefault="00AD2186">
      <w:pPr>
        <w:pStyle w:val="BodyText"/>
      </w:pPr>
      <w:r>
        <w:rPr>
          <w:b/>
          <w:bCs/>
        </w:rPr>
        <w:t>Srí Lanka</w:t>
      </w:r>
      <w:r>
        <w:t xml:space="preserve"> - </w:t>
      </w:r>
      <w:r>
        <w:rPr>
          <w:b/>
          <w:bCs/>
        </w:rPr>
        <w:t>LTTE</w:t>
      </w:r>
      <w:r>
        <w:t xml:space="preserve"> -</w:t>
      </w:r>
      <w:r>
        <w:t xml:space="preserve"> od roku 1983 do roku 2009</w:t>
      </w:r>
    </w:p>
    <w:p w14:paraId="3CDA3D74" w14:textId="77777777" w:rsidR="00B154D7" w:rsidRDefault="00AD2186">
      <w:pPr>
        <w:pStyle w:val="Compact"/>
        <w:numPr>
          <w:ilvl w:val="0"/>
          <w:numId w:val="12"/>
        </w:numPr>
      </w:pPr>
      <w:r>
        <w:t>V rámci roku 1983 do roku 2009 - okolo 330 útoků.</w:t>
      </w:r>
    </w:p>
    <w:p w14:paraId="3CDA3D75" w14:textId="77777777" w:rsidR="00B154D7" w:rsidRDefault="00AD2186">
      <w:pPr>
        <w:pStyle w:val="Compact"/>
        <w:numPr>
          <w:ilvl w:val="0"/>
          <w:numId w:val="12"/>
        </w:numPr>
      </w:pPr>
      <w:r>
        <w:lastRenderedPageBreak/>
        <w:t xml:space="preserve">Zajímavé je, že s použitím </w:t>
      </w:r>
      <w:r>
        <w:rPr>
          <w:b/>
          <w:bCs/>
        </w:rPr>
        <w:t>suicide belt</w:t>
      </w:r>
      <w:r>
        <w:t>/</w:t>
      </w:r>
      <w:r>
        <w:rPr>
          <w:b/>
          <w:bCs/>
        </w:rPr>
        <w:t>suicide vest</w:t>
      </w:r>
      <w:r>
        <w:t xml:space="preserve"> začali systematicky právě LTTE na Srí Lance</w:t>
      </w:r>
    </w:p>
    <w:p w14:paraId="3CDA3D76" w14:textId="77777777" w:rsidR="00B154D7" w:rsidRDefault="00AD2186">
      <w:pPr>
        <w:pStyle w:val="Compact"/>
        <w:numPr>
          <w:ilvl w:val="1"/>
          <w:numId w:val="13"/>
        </w:numPr>
      </w:pPr>
      <w:r>
        <w:t xml:space="preserve">Co se </w:t>
      </w:r>
      <w:r>
        <w:rPr>
          <w:b/>
          <w:bCs/>
        </w:rPr>
        <w:t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 </w:t>
      </w:r>
      <w:r>
        <w:rPr>
          <w:b/>
          <w:bCs/>
        </w:rPr>
        <w:t>šrapnely</w:t>
      </w:r>
    </w:p>
    <w:p w14:paraId="3CDA3D77" w14:textId="77777777" w:rsidR="00B154D7" w:rsidRDefault="00AD2186">
      <w:pPr>
        <w:pStyle w:val="FirstParagraph"/>
      </w:pPr>
      <w:r>
        <w:rPr>
          <w:b/>
          <w:bCs/>
        </w:rPr>
        <w:t>Příklady důležitých osobností a organizací v konfliktech, ve kterých docházelo k sebevražedným útokům.</w:t>
      </w:r>
    </w:p>
    <w:p w14:paraId="3CDA3D78" w14:textId="77777777" w:rsidR="00B154D7" w:rsidRDefault="00AD2186">
      <w:pPr>
        <w:pStyle w:val="BodyText"/>
      </w:pPr>
      <w:r>
        <w:rPr>
          <w:b/>
          <w:bCs/>
        </w:rPr>
        <w:t>Libanon</w:t>
      </w:r>
      <w:r>
        <w:t xml:space="preserve"> - </w:t>
      </w:r>
      <w:r>
        <w:rPr>
          <w:b/>
          <w:bCs/>
        </w:rPr>
        <w:t>Hisbaláh</w:t>
      </w:r>
    </w:p>
    <w:p w14:paraId="3CDA3D79" w14:textId="77777777" w:rsidR="00B154D7" w:rsidRDefault="00AD2186">
      <w:pPr>
        <w:pStyle w:val="BodyText"/>
      </w:pPr>
      <w:r>
        <w:rPr>
          <w:b/>
          <w:bCs/>
        </w:rPr>
        <w:t>Írán, Írák</w:t>
      </w:r>
      <w:r>
        <w:t xml:space="preserve"> - Ayatollah Khomeini</w:t>
      </w:r>
    </w:p>
    <w:p w14:paraId="3CDA3D7A" w14:textId="77777777" w:rsidR="00B154D7" w:rsidRDefault="00AD2186">
      <w:pPr>
        <w:pStyle w:val="BodyText"/>
      </w:pPr>
      <w:r>
        <w:rPr>
          <w:b/>
          <w:bCs/>
        </w:rPr>
        <w:t>Izraelsko Palestinský konflikt</w:t>
      </w:r>
      <w:r>
        <w:t xml:space="preserve"> - Sheikh Ahmed Ismail Hassan Yassin</w:t>
      </w:r>
    </w:p>
    <w:p w14:paraId="3CDA3D7B" w14:textId="77777777" w:rsidR="00B154D7" w:rsidRDefault="00AD2186">
      <w:pPr>
        <w:pStyle w:val="Heading4"/>
      </w:pPr>
      <w:bookmarkStart w:id="10" w:name="proxy-suicide-attack"/>
      <w:bookmarkEnd w:id="9"/>
      <w:r>
        <w:t>Proxy suicide attack</w:t>
      </w:r>
    </w:p>
    <w:p w14:paraId="3CDA3D7C" w14:textId="77777777" w:rsidR="00B154D7" w:rsidRDefault="00AD2186">
      <w:pPr>
        <w:pStyle w:val="FirstParagraph"/>
      </w:pPr>
      <w:r>
        <w:t>Jedná se o zástupný sebevražedný útok.</w:t>
      </w:r>
    </w:p>
    <w:p w14:paraId="3CDA3D7D" w14:textId="77777777" w:rsidR="00B154D7" w:rsidRDefault="00AD2186">
      <w:pPr>
        <w:pStyle w:val="BodyText"/>
      </w:pPr>
      <w:r>
        <w:t>Je to tedy odplata na jiném území (například útoky proti velvyslanectví v jiný</w:t>
      </w:r>
      <w:r>
        <w:t>ch zemích).</w:t>
      </w:r>
    </w:p>
    <w:p w14:paraId="3CDA3D7E" w14:textId="77777777" w:rsidR="00B154D7" w:rsidRDefault="00AD2186">
      <w:pPr>
        <w:pStyle w:val="Heading2"/>
      </w:pPr>
      <w:bookmarkStart w:id="11" w:name="přednáška-2---ozbrojené-konflikty"/>
      <w:bookmarkStart w:id="12" w:name="_Toc62488291"/>
      <w:bookmarkEnd w:id="2"/>
      <w:bookmarkEnd w:id="4"/>
      <w:bookmarkEnd w:id="10"/>
      <w:r>
        <w:t>Přednáška 2 - Ozbrojené konflikty</w:t>
      </w:r>
      <w:bookmarkEnd w:id="12"/>
    </w:p>
    <w:p w14:paraId="3CDA3D7F" w14:textId="77777777" w:rsidR="00B154D7" w:rsidRDefault="00AD2186">
      <w:pPr>
        <w:pStyle w:val="FirstParagraph"/>
      </w:pPr>
      <w:r>
        <w:t xml:space="preserve">Termín </w:t>
      </w:r>
      <w:r>
        <w:rPr>
          <w:b/>
          <w:bCs/>
        </w:rPr>
        <w:t>konflikt</w:t>
      </w:r>
      <w:r>
        <w:t xml:space="preserve"> - důležitý v rámci sociologie, ekonomoie, psychologie, fylozofie, v rámci této přednášky se budeme zabývat konfliktem z </w:t>
      </w:r>
      <w:r>
        <w:rPr>
          <w:b/>
          <w:bCs/>
        </w:rPr>
        <w:t>politologického</w:t>
      </w:r>
      <w:r>
        <w:t xml:space="preserve"> a </w:t>
      </w:r>
      <w:r>
        <w:rPr>
          <w:b/>
          <w:bCs/>
        </w:rPr>
        <w:t>bezpečnostního</w:t>
      </w:r>
      <w:r>
        <w:t xml:space="preserve"> hlediska.</w:t>
      </w:r>
    </w:p>
    <w:p w14:paraId="3CDA3D80" w14:textId="77777777" w:rsidR="00B154D7" w:rsidRDefault="00AD2186">
      <w:pPr>
        <w:pStyle w:val="Heading5"/>
      </w:pPr>
      <w:bookmarkStart w:id="13" w:name="X5f68eebaea617c9a4a4461c7404e28d1822cec5"/>
      <w:r>
        <w:t>Abychom mohli nazvat nějakou si</w:t>
      </w:r>
      <w:r>
        <w:t>tuaci konfliktem, musí splňovat několik podmínek:</w:t>
      </w:r>
    </w:p>
    <w:p w14:paraId="3CDA3D81" w14:textId="77777777" w:rsidR="00B154D7" w:rsidRDefault="00AD2186">
      <w:pPr>
        <w:pStyle w:val="Compact"/>
        <w:numPr>
          <w:ilvl w:val="0"/>
          <w:numId w:val="14"/>
        </w:numPr>
      </w:pPr>
      <w:r>
        <w:t xml:space="preserve">musí mít </w:t>
      </w:r>
      <w:r>
        <w:rPr>
          <w:b/>
          <w:bCs/>
        </w:rPr>
        <w:t>aktéry</w:t>
      </w:r>
      <w:r>
        <w:t>,</w:t>
      </w:r>
    </w:p>
    <w:p w14:paraId="3CDA3D82" w14:textId="77777777" w:rsidR="00B154D7" w:rsidRDefault="00AD2186">
      <w:pPr>
        <w:pStyle w:val="Compact"/>
        <w:numPr>
          <w:ilvl w:val="0"/>
          <w:numId w:val="14"/>
        </w:numPr>
      </w:pPr>
      <w:r>
        <w:t xml:space="preserve">musí tám být nějaká neslučitelnost </w:t>
      </w:r>
      <w:r>
        <w:rPr>
          <w:b/>
          <w:bCs/>
        </w:rPr>
        <w:t>cílů</w:t>
      </w:r>
      <w:r>
        <w:t>, hodnot, pozic, prostě nějaký střed (jedná se o příčiny konfliktu)</w:t>
      </w:r>
    </w:p>
    <w:p w14:paraId="3CDA3D83" w14:textId="77777777" w:rsidR="00B154D7" w:rsidRDefault="00AD2186">
      <w:pPr>
        <w:pStyle w:val="Compact"/>
        <w:numPr>
          <w:ilvl w:val="0"/>
          <w:numId w:val="14"/>
        </w:numPr>
      </w:pPr>
      <w:r>
        <w:t xml:space="preserve">musí být přítomno </w:t>
      </w:r>
      <w:r>
        <w:rPr>
          <w:b/>
          <w:bCs/>
        </w:rPr>
        <w:t>napětí</w:t>
      </w:r>
      <w:r>
        <w:t xml:space="preserve">, pokud nění napětí - můžeme nazývat konflikt </w:t>
      </w:r>
      <w:r>
        <w:rPr>
          <w:b/>
          <w:bCs/>
        </w:rPr>
        <w:t>latentním</w:t>
      </w:r>
    </w:p>
    <w:p w14:paraId="3CDA3D84" w14:textId="77777777" w:rsidR="00B154D7" w:rsidRDefault="00AD2186">
      <w:pPr>
        <w:pStyle w:val="Compact"/>
        <w:numPr>
          <w:ilvl w:val="0"/>
          <w:numId w:val="14"/>
        </w:numPr>
      </w:pPr>
      <w:r>
        <w:t>je</w:t>
      </w:r>
      <w:r>
        <w:t xml:space="preserve"> tam přítomno </w:t>
      </w:r>
      <w:r>
        <w:rPr>
          <w:b/>
          <w:bCs/>
        </w:rPr>
        <w:t>jednání</w:t>
      </w:r>
      <w:r>
        <w:t>, opatření, kroky realizované jednotlivými stranami konfliktu</w:t>
      </w:r>
    </w:p>
    <w:p w14:paraId="3CDA3D85" w14:textId="77777777" w:rsidR="00B154D7" w:rsidRDefault="00AD2186">
      <w:pPr>
        <w:pStyle w:val="Heading5"/>
      </w:pPr>
      <w:bookmarkStart w:id="14" w:name="druhů-konfliktů-je-samozřejmě-mnoho"/>
      <w:bookmarkEnd w:id="13"/>
      <w:r>
        <w:t>Druhů konfliktů je samozřejmě mnoho:</w:t>
      </w:r>
    </w:p>
    <w:p w14:paraId="3CDA3D86" w14:textId="77777777" w:rsidR="00B154D7" w:rsidRDefault="00AD2186">
      <w:pPr>
        <w:pStyle w:val="Compact"/>
        <w:numPr>
          <w:ilvl w:val="0"/>
          <w:numId w:val="15"/>
        </w:numPr>
      </w:pPr>
      <w:r>
        <w:t>interpersonální (například schyzofrenie)</w:t>
      </w:r>
    </w:p>
    <w:p w14:paraId="3CDA3D87" w14:textId="77777777" w:rsidR="00B154D7" w:rsidRDefault="00AD2186">
      <w:pPr>
        <w:pStyle w:val="Compact"/>
        <w:numPr>
          <w:ilvl w:val="0"/>
          <w:numId w:val="15"/>
        </w:numPr>
      </w:pPr>
      <w:r>
        <w:t>osobní (například sousedské)</w:t>
      </w:r>
    </w:p>
    <w:p w14:paraId="3CDA3D88" w14:textId="77777777" w:rsidR="00B154D7" w:rsidRDefault="00AD2186">
      <w:pPr>
        <w:pStyle w:val="Compact"/>
        <w:numPr>
          <w:ilvl w:val="0"/>
          <w:numId w:val="15"/>
        </w:numPr>
      </w:pPr>
      <w:r>
        <w:t>více osobnostní (tzn. konflikt mezi stranami - tedy například mezi skupinami, či státy)</w:t>
      </w:r>
    </w:p>
    <w:p w14:paraId="3CDA3D89" w14:textId="77777777" w:rsidR="00B154D7" w:rsidRDefault="00AD2186">
      <w:pPr>
        <w:pStyle w:val="Heading5"/>
      </w:pPr>
      <w:bookmarkStart w:id="15" w:name="další-rozlišování"/>
      <w:bookmarkEnd w:id="14"/>
      <w:r>
        <w:t>Další rozlišování</w:t>
      </w:r>
    </w:p>
    <w:p w14:paraId="3CDA3D8A" w14:textId="77777777" w:rsidR="00B154D7" w:rsidRDefault="00AD2186">
      <w:pPr>
        <w:pStyle w:val="Compact"/>
        <w:numPr>
          <w:ilvl w:val="0"/>
          <w:numId w:val="16"/>
        </w:numPr>
      </w:pPr>
      <w:r>
        <w:t>násilné/nenásilné konflikty</w:t>
      </w:r>
    </w:p>
    <w:p w14:paraId="3CDA3D8B" w14:textId="77777777" w:rsidR="00B154D7" w:rsidRDefault="00AD2186">
      <w:pPr>
        <w:pStyle w:val="Compact"/>
        <w:numPr>
          <w:ilvl w:val="0"/>
          <w:numId w:val="16"/>
        </w:numPr>
      </w:pPr>
      <w:r>
        <w:t>ozbrojené/neozbrojené konflikty - spočívá vyloženě ve vojenské technice, planých zbraních etc., tzn. konflikty fotbalových</w:t>
      </w:r>
      <w:r>
        <w:t xml:space="preserve"> fanoušků nejsou ozbrojeným konfliktem</w:t>
      </w:r>
    </w:p>
    <w:p w14:paraId="3CDA3D8C" w14:textId="77777777" w:rsidR="00B154D7" w:rsidRDefault="00AD2186">
      <w:pPr>
        <w:pStyle w:val="Heading5"/>
      </w:pPr>
      <w:bookmarkStart w:id="16" w:name="co-se-týče-místního-rozlišení"/>
      <w:bookmarkEnd w:id="15"/>
      <w:r>
        <w:t>Co se týče místního rozlišení</w:t>
      </w:r>
    </w:p>
    <w:p w14:paraId="3CDA3D8D" w14:textId="77777777" w:rsidR="00B154D7" w:rsidRDefault="00AD2186">
      <w:pPr>
        <w:pStyle w:val="Compact"/>
        <w:numPr>
          <w:ilvl w:val="0"/>
          <w:numId w:val="17"/>
        </w:numPr>
      </w:pPr>
      <w:r>
        <w:t xml:space="preserve">především mezistátní konflikty - </w:t>
      </w:r>
      <w:r>
        <w:rPr>
          <w:b/>
          <w:bCs/>
        </w:rPr>
        <w:t>konflikt STÁT X STÁT</w:t>
      </w:r>
    </w:p>
    <w:p w14:paraId="3CDA3D8E" w14:textId="77777777" w:rsidR="00B154D7" w:rsidRDefault="00AD2186">
      <w:pPr>
        <w:pStyle w:val="Compact"/>
        <w:numPr>
          <w:ilvl w:val="0"/>
          <w:numId w:val="17"/>
        </w:numPr>
      </w:pPr>
      <w:r>
        <w:lastRenderedPageBreak/>
        <w:t xml:space="preserve">transnacionální - </w:t>
      </w:r>
      <w:r>
        <w:rPr>
          <w:b/>
          <w:bCs/>
        </w:rPr>
        <w:t>konflikt několik STRAN X několik STRAN</w:t>
      </w:r>
    </w:p>
    <w:p w14:paraId="3CDA3D8F" w14:textId="77777777" w:rsidR="00B154D7" w:rsidRDefault="00AD2186">
      <w:pPr>
        <w:pStyle w:val="Compact"/>
        <w:numPr>
          <w:ilvl w:val="0"/>
          <w:numId w:val="17"/>
        </w:numPr>
      </w:pPr>
      <w:r>
        <w:t xml:space="preserve">vnitrostátní - v rámci jednoho státu - </w:t>
      </w:r>
      <w:r>
        <w:rPr>
          <w:b/>
          <w:bCs/>
        </w:rPr>
        <w:t>typicky STÁT X OZBROJENÁ SKUPINA</w:t>
      </w:r>
      <w:r>
        <w:t xml:space="preserve"> -&gt; ten často přelůstá do transnacionálních/internacionální vnitrostátních konfliktů (popřípadě regionální konflikty) - tzn. začátek je v jednom státu, ale konflikt je tímto zažehnut i v jiných státech - často se může jednat</w:t>
      </w:r>
      <w:r>
        <w:t xml:space="preserve"> o </w:t>
      </w:r>
      <w:r>
        <w:rPr>
          <w:b/>
          <w:bCs/>
        </w:rPr>
        <w:t>etnické konflikty</w:t>
      </w:r>
    </w:p>
    <w:p w14:paraId="3CDA3D90" w14:textId="77777777" w:rsidR="00B154D7" w:rsidRDefault="00AD2186">
      <w:pPr>
        <w:pStyle w:val="Compact"/>
        <w:numPr>
          <w:ilvl w:val="0"/>
          <w:numId w:val="17"/>
        </w:numPr>
      </w:pPr>
      <w:r>
        <w:t>konflikty mezilidské - tady se jedná spíše o kriminologii než o bezpečnostní hrozby</w:t>
      </w:r>
    </w:p>
    <w:p w14:paraId="3CDA3D91" w14:textId="77777777" w:rsidR="00B154D7" w:rsidRDefault="00AD2186">
      <w:pPr>
        <w:pStyle w:val="FirstParagraph"/>
      </w:pPr>
      <w:r>
        <w:t>První tři příklady jsou obsahem, jímž se zabívají bezpečnostní studia</w:t>
      </w:r>
    </w:p>
    <w:p w14:paraId="3CDA3D92" w14:textId="77777777" w:rsidR="00B154D7" w:rsidRDefault="00AD2186">
      <w:pPr>
        <w:pStyle w:val="Heading5"/>
      </w:pPr>
      <w:bookmarkStart w:id="17" w:name="druhy-řešení-konfliktů"/>
      <w:bookmarkEnd w:id="16"/>
      <w:r>
        <w:t>Druhy řešení konfliktů</w:t>
      </w:r>
    </w:p>
    <w:p w14:paraId="3CDA3D93" w14:textId="77777777" w:rsidR="00B154D7" w:rsidRDefault="00AD2186">
      <w:pPr>
        <w:pStyle w:val="Compact"/>
        <w:numPr>
          <w:ilvl w:val="0"/>
          <w:numId w:val="18"/>
        </w:numPr>
      </w:pPr>
      <w:r>
        <w:t>diplomatické</w:t>
      </w:r>
    </w:p>
    <w:p w14:paraId="3CDA3D94" w14:textId="77777777" w:rsidR="00B154D7" w:rsidRDefault="00AD2186">
      <w:pPr>
        <w:pStyle w:val="Compact"/>
        <w:numPr>
          <w:ilvl w:val="0"/>
          <w:numId w:val="18"/>
        </w:numPr>
      </w:pPr>
      <w:r>
        <w:t xml:space="preserve">ozbrojené (přímo a nepřímo) - </w:t>
      </w:r>
      <w:r>
        <w:rPr>
          <w:b/>
          <w:bCs/>
        </w:rPr>
        <w:t>válka</w:t>
      </w:r>
    </w:p>
    <w:p w14:paraId="3CDA3D95" w14:textId="77777777" w:rsidR="00B154D7" w:rsidRDefault="00AD2186">
      <w:pPr>
        <w:pStyle w:val="Compact"/>
        <w:numPr>
          <w:ilvl w:val="1"/>
          <w:numId w:val="19"/>
        </w:numPr>
      </w:pPr>
      <w:r>
        <w:t>přímo mez</w:t>
      </w:r>
      <w:r>
        <w:t>i státy</w:t>
      </w:r>
    </w:p>
    <w:p w14:paraId="3CDA3D96" w14:textId="77777777" w:rsidR="00B154D7" w:rsidRDefault="00AD2186">
      <w:pPr>
        <w:pStyle w:val="Compact"/>
        <w:numPr>
          <w:ilvl w:val="1"/>
          <w:numId w:val="19"/>
        </w:numPr>
      </w:pPr>
      <w:r>
        <w:t>proxy válka na území jiných států, podpora stran</w:t>
      </w:r>
    </w:p>
    <w:p w14:paraId="3CDA3D97" w14:textId="77777777" w:rsidR="00B154D7" w:rsidRDefault="00AD2186">
      <w:pPr>
        <w:pStyle w:val="FirstParagraph"/>
      </w:pPr>
      <w:r>
        <w:t xml:space="preserve">Původně válku definoval </w:t>
      </w:r>
      <w:r>
        <w:rPr>
          <w:b/>
          <w:bCs/>
        </w:rPr>
        <w:t>Carl von Clausewitz</w:t>
      </w:r>
      <w:r>
        <w:t xml:space="preserve"> jako konflikt, kdy je válka vyhlášena - moderní definice se však posunula k tomu, že ozbrojený konflikt se nerovná válce.</w:t>
      </w:r>
    </w:p>
    <w:p w14:paraId="3CDA3D98" w14:textId="77777777" w:rsidR="00B154D7" w:rsidRDefault="00AD2186">
      <w:pPr>
        <w:pStyle w:val="BodyText"/>
      </w:pPr>
      <w:r>
        <w:t>Původní definice války - snaha st</w:t>
      </w:r>
      <w:r>
        <w:t>átu něčeho dokázat, zastupuje ve svém cíli svůj národ a ten národ je zastoupen nějakými ozbrojenými složkami (armádou) - takovýchto válek je však méně a méně.</w:t>
      </w:r>
    </w:p>
    <w:p w14:paraId="3CDA3D99" w14:textId="77777777" w:rsidR="00B154D7" w:rsidRDefault="00AD2186">
      <w:pPr>
        <w:pStyle w:val="BodyText"/>
      </w:pPr>
      <w:r>
        <w:t>Je zde předpokládáná jednota, strany, věcí a vojsk - tato jednota byla patrna při zavedení všeobe</w:t>
      </w:r>
      <w:r>
        <w:t>cné branné povinnosti.</w:t>
      </w:r>
    </w:p>
    <w:p w14:paraId="3CDA3D9A" w14:textId="77777777" w:rsidR="00B154D7" w:rsidRDefault="00AD2186"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 </w:t>
      </w:r>
      <w:r>
        <w:rPr>
          <w:b/>
          <w:bCs/>
        </w:rPr>
        <w:t>válku</w:t>
      </w:r>
      <w:r>
        <w:t>.</w:t>
      </w:r>
    </w:p>
    <w:p w14:paraId="3CDA3D9B" w14:textId="77777777" w:rsidR="00B154D7" w:rsidRDefault="00AD2186">
      <w:pPr>
        <w:pStyle w:val="Heading5"/>
      </w:pPr>
      <w:bookmarkStart w:id="18" w:name="války-od-skončení-studené-války"/>
      <w:bookmarkEnd w:id="17"/>
      <w:r>
        <w:t>Války od skončení studené války</w:t>
      </w:r>
    </w:p>
    <w:p w14:paraId="3CDA3D9C" w14:textId="77777777" w:rsidR="00B154D7" w:rsidRDefault="00AD2186">
      <w:pPr>
        <w:pStyle w:val="Compact"/>
        <w:numPr>
          <w:ilvl w:val="0"/>
          <w:numId w:val="20"/>
        </w:numPr>
      </w:pPr>
      <w:r>
        <w:t>Kuwait</w:t>
      </w:r>
    </w:p>
    <w:p w14:paraId="3CDA3D9D" w14:textId="77777777" w:rsidR="00B154D7" w:rsidRDefault="00AD2186">
      <w:pPr>
        <w:pStyle w:val="Compact"/>
        <w:numPr>
          <w:ilvl w:val="0"/>
          <w:numId w:val="20"/>
        </w:numPr>
      </w:pPr>
      <w:r>
        <w:t>Indie, Pákistán</w:t>
      </w:r>
    </w:p>
    <w:p w14:paraId="3CDA3D9E" w14:textId="77777777" w:rsidR="00B154D7" w:rsidRDefault="00AD2186">
      <w:pPr>
        <w:pStyle w:val="Compact"/>
        <w:numPr>
          <w:ilvl w:val="0"/>
          <w:numId w:val="20"/>
        </w:numPr>
      </w:pPr>
      <w:r>
        <w:t>Etiopie, Eritre</w:t>
      </w:r>
      <w:r>
        <w:t>a</w:t>
      </w:r>
    </w:p>
    <w:p w14:paraId="3CDA3D9F" w14:textId="77777777" w:rsidR="00B154D7" w:rsidRDefault="00AD2186">
      <w:pPr>
        <w:pStyle w:val="Compact"/>
        <w:numPr>
          <w:ilvl w:val="0"/>
          <w:numId w:val="20"/>
        </w:numPr>
      </w:pPr>
      <w:r>
        <w:t>Náhorní Karabach</w:t>
      </w:r>
    </w:p>
    <w:p w14:paraId="3CDA3DA0" w14:textId="77777777" w:rsidR="00B154D7" w:rsidRDefault="00AD2186">
      <w:pPr>
        <w:pStyle w:val="Compact"/>
        <w:numPr>
          <w:ilvl w:val="0"/>
          <w:numId w:val="20"/>
        </w:numPr>
      </w:pPr>
      <w:r>
        <w:t>Rusko, Gruzie</w:t>
      </w:r>
    </w:p>
    <w:p w14:paraId="3CDA3DA1" w14:textId="77777777" w:rsidR="00B154D7" w:rsidRDefault="00AD2186">
      <w:pPr>
        <w:pStyle w:val="Heading5"/>
      </w:pPr>
      <w:bookmarkStart w:id="19" w:name="Xaab326492256010c7b65ca28878c0c9cfcfbee2"/>
      <w:bookmarkEnd w:id="18"/>
      <w:r>
        <w:t>Obecná definice války v rámci bezpečnostních hrozeb</w:t>
      </w:r>
    </w:p>
    <w:p w14:paraId="3CDA3DA2" w14:textId="77777777" w:rsidR="00B154D7" w:rsidRDefault="00AD2186">
      <w:pPr>
        <w:pStyle w:val="FirstParagraph"/>
      </w:pPr>
      <w:r>
        <w:t>Kvantitatifní a kvalitativní kritéria</w:t>
      </w:r>
    </w:p>
    <w:p w14:paraId="3CDA3DA3" w14:textId="77777777" w:rsidR="00B154D7" w:rsidRDefault="00AD2186">
      <w:pPr>
        <w:pStyle w:val="Compact"/>
        <w:numPr>
          <w:ilvl w:val="0"/>
          <w:numId w:val="21"/>
        </w:numPr>
      </w:pPr>
      <w:r>
        <w:t>Jeden z aktérů je stát</w:t>
      </w:r>
    </w:p>
    <w:p w14:paraId="3CDA3DA4" w14:textId="77777777" w:rsidR="00B154D7" w:rsidRDefault="00AD2186">
      <w:pPr>
        <w:pStyle w:val="Compact"/>
        <w:numPr>
          <w:ilvl w:val="0"/>
          <w:numId w:val="21"/>
        </w:numPr>
      </w:pPr>
      <w:r>
        <w:t>Jeden z aktérů je organizovaný (fungují konvenčně z organizačního hlediska) - bojové operace vykazují určité p</w:t>
      </w:r>
      <w:r>
        <w:t>rvky strategické a bojové kontinuity</w:t>
      </w:r>
    </w:p>
    <w:p w14:paraId="3CDA3DA5" w14:textId="77777777" w:rsidR="00B154D7" w:rsidRDefault="00AD2186">
      <w:pPr>
        <w:pStyle w:val="Compact"/>
        <w:numPr>
          <w:ilvl w:val="0"/>
          <w:numId w:val="21"/>
        </w:numPr>
      </w:pPr>
      <w:r>
        <w:t>Pokud není jeden z aktérů stát, musí mít jistá kvantitativní kritérie</w:t>
      </w:r>
    </w:p>
    <w:p w14:paraId="3CDA3DA6" w14:textId="77777777" w:rsidR="00B154D7" w:rsidRDefault="00AD2186">
      <w:pPr>
        <w:pStyle w:val="Compact"/>
        <w:numPr>
          <w:ilvl w:val="1"/>
          <w:numId w:val="22"/>
        </w:numPr>
      </w:pPr>
      <w:r>
        <w:t>Pokud zahyne za kalendářní rok alespoň tisíc lidí (diskuze zna mají být počítání pouze kombatantni, nebo i civilní obyvatelstvo)</w:t>
      </w:r>
    </w:p>
    <w:p w14:paraId="3CDA3DA7" w14:textId="77777777" w:rsidR="00B154D7" w:rsidRDefault="00AD2186">
      <w:pPr>
        <w:pStyle w:val="FirstParagraph"/>
      </w:pPr>
      <w:r>
        <w:lastRenderedPageBreak/>
        <w:t>Pokud je splněn nějaký z těchto kritérií - dá se hovořit o válce - i tedy v případě, kdy tam není asistence, intervence, nebo p</w:t>
      </w:r>
      <w:r>
        <w:t xml:space="preserve">římá účast státu - příklad </w:t>
      </w:r>
      <w:r>
        <w:rPr>
          <w:b/>
          <w:bCs/>
        </w:rPr>
        <w:t>Drogová válka</w:t>
      </w:r>
      <w:r>
        <w:t xml:space="preserve"> v Mexiku</w:t>
      </w:r>
      <w:bookmarkEnd w:id="0"/>
      <w:bookmarkEnd w:id="11"/>
      <w:bookmarkEnd w:id="19"/>
    </w:p>
    <w:sectPr w:rsidR="00B154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61EDC" w14:textId="77777777" w:rsidR="00AD2186" w:rsidRDefault="00AD2186">
      <w:pPr>
        <w:spacing w:after="0"/>
      </w:pPr>
      <w:r>
        <w:separator/>
      </w:r>
    </w:p>
  </w:endnote>
  <w:endnote w:type="continuationSeparator" w:id="0">
    <w:p w14:paraId="24A021F7" w14:textId="77777777" w:rsidR="00AD2186" w:rsidRDefault="00AD2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F16CC" w14:textId="77777777" w:rsidR="00AD2186" w:rsidRDefault="00AD2186">
      <w:r>
        <w:separator/>
      </w:r>
    </w:p>
  </w:footnote>
  <w:footnote w:type="continuationSeparator" w:id="0">
    <w:p w14:paraId="3DA36517" w14:textId="77777777" w:rsidR="00AD2186" w:rsidRDefault="00AD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F4499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6D87C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C12D5"/>
    <w:rsid w:val="00AD2186"/>
    <w:rsid w:val="00B154D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DA3D43"/>
  <w15:docId w15:val="{93518FD9-C42D-A443-9436-150B8814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C12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2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12D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Dominik Bálint</cp:lastModifiedBy>
  <cp:revision>2</cp:revision>
  <dcterms:created xsi:type="dcterms:W3CDTF">2021-01-25T16:24:00Z</dcterms:created>
  <dcterms:modified xsi:type="dcterms:W3CDTF">2021-01-25T16:31:00Z</dcterms:modified>
</cp:coreProperties>
</file>