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eminární-práce"/>
    <w:p>
      <w:pPr>
        <w:pStyle w:val="Heading1"/>
      </w:pPr>
      <w:r>
        <w:t xml:space="preserve">Seminární práce</w:t>
      </w:r>
    </w:p>
    <w:p>
      <w:pPr>
        <w:pStyle w:val="FirstParagraph"/>
      </w:pPr>
      <w:r>
        <w:rPr>
          <w:bCs/>
          <w:b/>
        </w:rPr>
        <w:t xml:space="preserve">z předmětu Kapitálové obchodní korporace a cenné papíry v 1.T 2020/2021</w:t>
      </w:r>
    </w:p>
    <w:p>
      <w:pPr>
        <w:pStyle w:val="BodyText"/>
      </w:pPr>
      <w:r>
        <w:rPr>
          <w:bCs/>
          <w:b/>
        </w:rPr>
        <w:t xml:space="preserve">Jméno a příjmení studenta:</w:t>
      </w:r>
      <w:r>
        <w:t xml:space="preserve"> </w:t>
      </w:r>
      <w:r>
        <w:t xml:space="preserve">Dominik Bálint</w:t>
      </w:r>
    </w:p>
    <w:p>
      <w:pPr>
        <w:pStyle w:val="BodyText"/>
      </w:pPr>
      <w:r>
        <w:rPr>
          <w:bCs/>
          <w:b/>
        </w:rPr>
        <w:t xml:space="preserve">Datum zpracování:</w:t>
      </w:r>
      <w:r>
        <w:t xml:space="preserve"> </w:t>
      </w:r>
      <w:r>
        <w:t xml:space="preserve">01/10/2020</w:t>
      </w:r>
    </w:p>
    <w:p>
      <w:pPr>
        <w:pStyle w:val="BodyText"/>
      </w:pPr>
      <w:r>
        <w:rPr>
          <w:bCs/>
          <w:b/>
        </w:rPr>
        <w:t xml:space="preserve">Řešte případ podle uvedeného zadání. Řešení musí obsahovat jak odpověď na položené otázky, tak odůvodnění odpovědi, včetně příslušných právních ustanovení.</w:t>
      </w:r>
      <w:r>
        <w:br/>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Cs/>
          <w:b/>
        </w:rPr>
        <w:t xml:space="preserve">Posuďte,</w:t>
      </w:r>
    </w:p>
    <w:p>
      <w:pPr>
        <w:numPr>
          <w:ilvl w:val="0"/>
          <w:numId w:val="1001"/>
        </w:numPr>
        <w:pStyle w:val="Compact"/>
      </w:pPr>
    </w:p>
    <w:p>
      <w:pPr>
        <w:numPr>
          <w:ilvl w:val="1"/>
          <w:numId w:val="1002"/>
        </w:numPr>
        <w:pStyle w:val="Compact"/>
      </w:pPr>
      <w:r>
        <w:t xml:space="preserve">zda usnesení valné hromady ze 14. 10. 2019 bylo v souladu s právem a</w:t>
      </w:r>
      <w:r>
        <w:br/>
      </w:r>
    </w:p>
    <w:p>
      <w:pPr>
        <w:numPr>
          <w:ilvl w:val="0"/>
          <w:numId w:val="1001"/>
        </w:numPr>
        <w:pStyle w:val="Compact"/>
      </w:pPr>
    </w:p>
    <w:p>
      <w:pPr>
        <w:numPr>
          <w:ilvl w:val="1"/>
          <w:numId w:val="1003"/>
        </w:numPr>
        <w:pStyle w:val="Compact"/>
      </w:pPr>
      <w:r>
        <w:t xml:space="preserve">zda společnost Alfa, a. s., odmítla poskytnout panu Kamenskému informace v souladu s právem. Své závěry právně odůvodněte. </w:t>
      </w:r>
    </w:p>
    <w:p>
      <w:pPr>
        <w:pStyle w:val="FirstParagraph"/>
      </w:pPr>
      <w:r>
        <w:rPr>
          <w:bCs/>
          <w:b/>
        </w:rPr>
        <w:t xml:space="preserve">Řešení</w:t>
      </w:r>
    </w:p>
    <w:p>
      <w:pPr>
        <w:pStyle w:val="BodyText"/>
      </w:pPr>
      <w:r>
        <w:rPr>
          <w:bCs/>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0"/>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r>
      <w:r>
        <w:t xml:space="preserve">a)</w:t>
      </w:r>
      <w:r>
        <w:t xml:space="preserve"> </w:t>
      </w:r>
      <w:r>
        <w:rPr>
          <w:iCs/>
          <w:i/>
        </w:rPr>
        <w:t xml:space="preserve">by jeho poskytnutí mohlo přivodit společnosti nebo jí ovládaným osobám újmu,</w:t>
      </w:r>
      <w:r>
        <w:t xml:space="preserve"> </w:t>
      </w:r>
      <w:r>
        <w:br/>
      </w:r>
      <w:r>
        <w:t xml:space="preserve">b)</w:t>
      </w:r>
      <w:r>
        <w:t xml:space="preserve"> </w:t>
      </w:r>
      <w:r>
        <w:rPr>
          <w:iCs/>
          <w:i/>
        </w:rPr>
        <w:t xml:space="preserve">jde o vnitřní informaci nebo utajovanou informaci podle jiného právního předpisu, nebo</w:t>
      </w:r>
      <w:r>
        <w:t xml:space="preserve"> </w:t>
      </w:r>
      <w:r>
        <w:br/>
      </w:r>
      <w:r>
        <w:t xml:space="preserve">c)</w:t>
      </w:r>
      <w:r>
        <w:t xml:space="preserve"> </w:t>
      </w:r>
      <w:r>
        <w:rPr>
          <w:iCs/>
          <w:i/>
        </w:rPr>
        <w:t xml:space="preserve">je požadované vysvětlení veřejně dostupné</w:t>
      </w:r>
      <w:r>
        <w:t xml:space="preserve">.</w:t>
      </w:r>
    </w:p>
    <w:p>
      <w:pPr>
        <w:pStyle w:val="BodyText"/>
      </w:pPr>
      <w:r>
        <w:t xml:space="preserve">Neboť usnesení valné hromady ze dne 14. 10. 2019 zní:</w:t>
      </w:r>
      <w:r>
        <w:t xml:space="preserve"> </w:t>
      </w:r>
      <w:r>
        <w:rPr>
          <w:iCs/>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Cs/>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1"/>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2"/>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3"/>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Cs/>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Cs/>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Toto právo mají rovněž dle § 256, odst. 1 ZOK.</w:t>
      </w:r>
    </w:p>
  </w:footnote>
  <w:footnote w:id="21">
    <w:p>
      <w:pPr>
        <w:pStyle w:val="FootnoteText"/>
      </w:pPr>
      <w:r>
        <w:rPr>
          <w:rStyle w:val="FootnoteReference"/>
        </w:rPr>
        <w:footnoteRef/>
      </w:r>
      <w:r>
        <w:t xml:space="preserve"> </w:t>
      </w:r>
      <w:r>
        <w:t xml:space="preserve">Dle § 424, odst. 1 ZOK.</w:t>
      </w:r>
    </w:p>
  </w:footnote>
  <w:footnote w:id="22">
    <w:p>
      <w:pPr>
        <w:pStyle w:val="FootnoteText"/>
      </w:pPr>
      <w:r>
        <w:rPr>
          <w:rStyle w:val="FootnoteReference"/>
        </w:rPr>
        <w:footnoteRef/>
      </w:r>
      <w:r>
        <w:t xml:space="preserve"> </w:t>
      </w:r>
      <w:r>
        <w:t xml:space="preserve">Dle § 588 OZ.</w:t>
      </w:r>
    </w:p>
  </w:footnote>
  <w:footnote w:id="23">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subject>Kapitálové obchodní korporace</dc:subject>
  <cp:keywords/>
  <dcterms:created xsi:type="dcterms:W3CDTF">2021-01-25T16:23:56Z</dcterms:created>
  <dcterms:modified xsi:type="dcterms:W3CDTF">2021-01-25T16:23:56Z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01/10/2020</vt:lpwstr>
  </property>
  <property fmtid="{D5CDD505-2E9C-101B-9397-08002B2CF9AE}" pid="4" name="geometry">
    <vt:lpwstr>margin=2cm</vt:lpwstr>
  </property>
  <property fmtid="{D5CDD505-2E9C-101B-9397-08002B2CF9AE}" pid="5" name="title-meta">
    <vt:lpwstr>Seminární práce z předmětu Kapitálové obchodní korporace</vt:lpwstr>
  </property>
</Properties>
</file>