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w:t>
      </w:r>
    </w:p>
    <w:p>
      <w:pPr>
        <w:pStyle w:val="Compact"/>
        <w:numPr>
          <w:numId w:val="1086"/>
          <w:ilvl w:val="1"/>
        </w:numPr>
      </w:pPr>
      <w:r>
        <w:t xml:space="preserve">zamítne,</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w:t>
      </w:r>
    </w:p>
    <w:p>
      <w:pPr>
        <w:pStyle w:val="Compact"/>
        <w:numPr>
          <w:numId w:val="1125"/>
          <w:ilvl w:val="0"/>
        </w:numPr>
      </w:pPr>
      <w:r>
        <w:t xml:space="preserve">Je možné hlasovat na schůzi věřitelů písemně?</w:t>
      </w:r>
    </w:p>
    <w:p>
      <w:pPr>
        <w:pStyle w:val="Compact"/>
        <w:numPr>
          <w:numId w:val="1125"/>
          <w:ilvl w:val="0"/>
        </w:numPr>
      </w:pPr>
      <w:r>
        <w:t xml:space="preserve">V jakých případech může hlasovat na schůzi věřitelů věřitel, který s dlužníkem tvoří koncern?</w:t>
      </w:r>
    </w:p>
    <w:p>
      <w:pPr>
        <w:pStyle w:val="Compact"/>
        <w:numPr>
          <w:numId w:val="1125"/>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Compact"/>
        <w:numPr>
          <w:numId w:val="1126"/>
          <w:ilvl w:val="0"/>
        </w:numPr>
      </w:pPr>
      <w:r>
        <w:t xml:space="preserve">zák. č. 182/2006 Sb., o úpadku a způsobech jeho řešení (insolvenční zákon)</w:t>
      </w:r>
      <w:r>
        <w:br w:type="textWrapping"/>
      </w:r>
      <w:r>
        <w:t xml:space="preserve">Věřitelské orgány</w:t>
      </w:r>
      <w:r>
        <w:br w:type="textWrapping"/>
      </w:r>
      <w:r>
        <w:t xml:space="preserve">§ 46</w:t>
      </w:r>
      <w:r>
        <w:br w:type="textWrapping"/>
      </w:r>
      <w:r>
        <w:t xml:space="preserve">Schůze věřitelů, věřitelský výbor a zástupce věřitelů</w:t>
      </w:r>
    </w:p>
    <w:p>
      <w:pPr>
        <w:pStyle w:val="Compact"/>
        <w:numPr>
          <w:numId w:val="1127"/>
          <w:ilvl w:val="0"/>
        </w:numPr>
      </w:pPr>
      <w:r>
        <w:t xml:space="preserve">Věřitelskými orgány jsou schůze věřitelů a věřitelský výbor nebo zástupce věřitelů.</w:t>
      </w:r>
    </w:p>
    <w:p>
      <w:pPr>
        <w:pStyle w:val="Compact"/>
        <w:numPr>
          <w:numId w:val="1127"/>
          <w:ilvl w:val="0"/>
        </w:numPr>
      </w:pPr>
      <w:r>
        <w:t xml:space="preserve">Schůzi věřitelů přísluší volba a odvolání členů věřitelského výboru a jeho náhradníků nebo zástupce</w:t>
      </w:r>
      <w:r>
        <w:br w:type="textWrapping"/>
      </w:r>
      <w:r>
        <w:t xml:space="preserve">věřitelů; rozhoduje též o tom, zda ponechá ve funkci prozatímní věřitelský výbor. Schůze věřitelů si</w:t>
      </w:r>
      <w:r>
        <w:br w:type="textWrapping"/>
      </w:r>
      <w:r>
        <w:t xml:space="preserve">může vyhradit cokoli, co patří do působnosti věřitelských orgánů. Usnesení, jímž si schůze věřitelů</w:t>
      </w:r>
      <w:r>
        <w:br w:type="textWrapping"/>
      </w:r>
      <w:r>
        <w:t xml:space="preserve">vyhrazuje působnost jiných věřitelských orgánů, je přijato, jestliže pro ně hlasovala většina tvořená</w:t>
      </w:r>
      <w:r>
        <w:br w:type="textWrapping"/>
      </w:r>
      <w:r>
        <w:t xml:space="preserve">nejméně dvěma třetinami hlasů přítomných nebo řádně zastoupených věřitelů, počítaná podle výše</w:t>
      </w:r>
      <w:r>
        <w:br w:type="textWrapping"/>
      </w:r>
      <w:r>
        <w:t xml:space="preserve">jejich pohledávek. Není-li ustanoven věřitelský výbor ani zástupce věřitelů a není-li v tomto zákoně</w:t>
      </w:r>
      <w:r>
        <w:br w:type="textWrapping"/>
      </w:r>
      <w:r>
        <w:t xml:space="preserve">stanoveno jinak, vykonává schůze věřitelů i jejich působnost.</w:t>
      </w:r>
    </w:p>
    <w:p>
      <w:pPr>
        <w:pStyle w:val="Compact"/>
        <w:numPr>
          <w:numId w:val="1127"/>
          <w:ilvl w:val="0"/>
        </w:numPr>
      </w:pPr>
      <w:r>
        <w:t xml:space="preserve">Věřitelský výbor vykonává působnost věřitelských orgánů s výjimkou věcí, které patří do</w:t>
      </w:r>
      <w:r>
        <w:br w:type="textWrapping"/>
      </w:r>
      <w:r>
        <w:t xml:space="preserve">působnosti schůze věřitelů nebo které si schůze věřitelů vyhradila.</w:t>
      </w:r>
      <w:r>
        <w:br w:type="textWrapping"/>
      </w:r>
      <w:r>
        <w:t xml:space="preserve">§ 210</w:t>
      </w:r>
    </w:p>
    <w:p>
      <w:pPr>
        <w:pStyle w:val="Compact"/>
        <w:numPr>
          <w:numId w:val="1127"/>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27"/>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 nich. Uvedené osoby mají tuto povinnost i v případě, že jejich postavení zaniklo v posledních 3</w:t>
      </w:r>
      <w:r>
        <w:br w:type="textWrapping"/>
      </w:r>
      <w:r>
        <w:t xml:space="preserve">měsících před zahájením insolvenčního řízení.</w:t>
      </w:r>
    </w:p>
    <w:p>
      <w:pPr>
        <w:pStyle w:val="Compact"/>
        <w:numPr>
          <w:numId w:val="1127"/>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27"/>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p>
    <w:p>
      <w:pPr>
        <w:pStyle w:val="Heading1"/>
      </w:pPr>
      <w:bookmarkStart w:id="79" w:name="otázka-5"/>
      <w:bookmarkEnd w:id="7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28"/>
          <w:ilvl w:val="0"/>
        </w:numPr>
      </w:pPr>
      <w:r>
        <w:t xml:space="preserve">V jakém rozsahu je povinen dlužník poskytnout součinnost insolvenčnímu správci?</w:t>
      </w:r>
    </w:p>
    <w:p>
      <w:pPr>
        <w:pStyle w:val="Compact"/>
        <w:numPr>
          <w:numId w:val="1128"/>
          <w:ilvl w:val="0"/>
        </w:numPr>
      </w:pPr>
      <w:r>
        <w:t xml:space="preserve">V jakém rozsahu je povinen insolvenční správce poskytovat součinnost insolvenčnímu soudu v průběhu konkursu?</w:t>
      </w:r>
    </w:p>
    <w:p>
      <w:pPr>
        <w:pStyle w:val="Compact"/>
        <w:numPr>
          <w:numId w:val="1128"/>
          <w:ilvl w:val="0"/>
        </w:numPr>
      </w:pPr>
      <w:r>
        <w:t xml:space="preserve">Jaké následky může mít porušení povinnosti k součinnosti pro orgány dlužníka, resp. jejich členy?</w:t>
      </w:r>
    </w:p>
    <w:p>
      <w:pPr>
        <w:pStyle w:val="Compact"/>
        <w:numPr>
          <w:numId w:val="1128"/>
          <w:ilvl w:val="0"/>
        </w:numPr>
      </w:pPr>
      <w:r>
        <w:t xml:space="preserve">Jaké následky může mít porušení povinnosti k součinnosti pro insolvenčního správce?</w:t>
      </w:r>
    </w:p>
    <w:p>
      <w:pPr>
        <w:pStyle w:val="Compact"/>
        <w:numPr>
          <w:numId w:val="1128"/>
          <w:ilvl w:val="0"/>
        </w:numPr>
      </w:pPr>
      <w:r>
        <w:t xml:space="preserve">Které orgány dlužníka mají povinnost poskytovat součinnost insolvenčnímu správci v průběhu konkursu?</w:t>
      </w:r>
    </w:p>
    <w:p>
      <w:pPr>
        <w:pStyle w:val="Heading2"/>
      </w:pPr>
      <w:bookmarkStart w:id="80" w:name="oprávnění-a-součinnost"/>
      <w:bookmarkEnd w:id="80"/>
      <w:r>
        <w:t xml:space="preserve">Oprávnění a součinnost</w:t>
      </w:r>
    </w:p>
    <w:p>
      <w:pPr>
        <w:pStyle w:val="Compact"/>
        <w:numPr>
          <w:numId w:val="1129"/>
          <w:ilvl w:val="0"/>
        </w:numPr>
      </w:pPr>
      <w:r>
        <w:t xml:space="preserve">zák. č. 182/2006 Sb., o úpadku a způsobech jeho řešení (insolvenční zákon)</w:t>
      </w:r>
      <w:r>
        <w:br w:type="textWrapping"/>
      </w:r>
      <w:r>
        <w:t xml:space="preserve">§ 212</w:t>
      </w:r>
    </w:p>
    <w:p>
      <w:pPr>
        <w:pStyle w:val="Compact"/>
        <w:numPr>
          <w:numId w:val="1130"/>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0"/>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81" w:name="otázka-6"/>
      <w:bookmarkEnd w:id="8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31"/>
          <w:ilvl w:val="0"/>
        </w:numPr>
      </w:pPr>
      <w:r>
        <w:t xml:space="preserve">Jaká oprávnění mají orgány dlužníka v oddlužení a reorganizaci?</w:t>
      </w:r>
    </w:p>
    <w:p>
      <w:pPr>
        <w:pStyle w:val="Compact"/>
        <w:numPr>
          <w:numId w:val="1131"/>
          <w:ilvl w:val="0"/>
        </w:numPr>
      </w:pPr>
      <w:r>
        <w:t xml:space="preserve">V jakém rozsahu mají stanovenou povinnost součinnosti orgány dlužníka v oddlužení a v reorganizaci?</w:t>
      </w:r>
    </w:p>
    <w:p>
      <w:pPr>
        <w:pStyle w:val="Compact"/>
        <w:numPr>
          <w:numId w:val="1131"/>
          <w:ilvl w:val="0"/>
        </w:numPr>
      </w:pPr>
      <w:r>
        <w:t xml:space="preserve">Jaká oprávnění má insolvenční správce v oddlužení a reorganizaci?</w:t>
      </w:r>
    </w:p>
    <w:p>
      <w:pPr>
        <w:pStyle w:val="Compact"/>
        <w:numPr>
          <w:numId w:val="1131"/>
          <w:ilvl w:val="0"/>
        </w:numPr>
      </w:pPr>
      <w:r>
        <w:t xml:space="preserve">V jakém rozsahu má povinnost součinnosti insolvenční správce v oddlužení a reorganizaci?</w:t>
      </w:r>
    </w:p>
    <w:p>
      <w:pPr>
        <w:pStyle w:val="Compact"/>
        <w:numPr>
          <w:numId w:val="1131"/>
          <w:ilvl w:val="0"/>
        </w:numPr>
      </w:pPr>
      <w:r>
        <w:t xml:space="preserve">Jaké následky má porušení povinnosti orgánů dlužníka v průběhu oddlužení a reorganizace?</w:t>
      </w:r>
    </w:p>
    <w:p>
      <w:pPr>
        <w:pStyle w:val="Heading2"/>
      </w:pPr>
      <w:bookmarkStart w:id="82" w:name="oprávnění-a-součinnosti"/>
      <w:bookmarkEnd w:id="82"/>
      <w:r>
        <w:t xml:space="preserve">Oprávnění a součinnosti:</w:t>
      </w:r>
    </w:p>
    <w:p>
      <w:pPr>
        <w:pStyle w:val="Compact"/>
        <w:numPr>
          <w:numId w:val="1132"/>
          <w:ilvl w:val="0"/>
        </w:numPr>
      </w:pPr>
      <w:r>
        <w:t xml:space="preserve">zák. č. 182/2006 Sb., o úpadku a způsobech jeho řešení (insolvenční zákon)</w:t>
      </w:r>
      <w:r>
        <w:br w:type="textWrapping"/>
      </w:r>
      <w:r>
        <w:t xml:space="preserve">§ 210</w:t>
      </w:r>
    </w:p>
    <w:p>
      <w:pPr>
        <w:pStyle w:val="Compact"/>
        <w:numPr>
          <w:numId w:val="1133"/>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33"/>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33"/>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33"/>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33"/>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33"/>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33"/>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33"/>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3"/>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33"/>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33"/>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a7a7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6c97c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13e7a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875be0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524cec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5d3bab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355e40b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3dc7b9d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94d9376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5e9e050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ab44be4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de9c0d1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8a98cf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c3cf56a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bda7bc3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2022-01-19T12:57:10Z</dcterms:created>
  <dcterms:modified xsi:type="dcterms:W3CDTF">2022-01-19T12:57:10Z</dcterms:modified>
</cp:coreProperties>
</file>