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Obsah</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 - Insolvenční soud -</w:t>
      </w:r>
      <w:r>
        <w:t xml:space="preserve"> </w:t>
      </w:r>
      <w:r>
        <w:rPr>
          <w:b/>
        </w:rPr>
        <w:t xml:space="preserve">Zodpovězeno.</w:t>
      </w:r>
    </w:p>
    <w:p>
      <w:pPr>
        <w:pStyle w:val="Compact"/>
        <w:numPr>
          <w:numId w:val="1125"/>
          <w:ilvl w:val="0"/>
        </w:numPr>
      </w:pPr>
      <w:r>
        <w:t xml:space="preserve">Je možné hlasovat na schůzi věřitelů písemně? - Ano -</w:t>
      </w:r>
      <w:r>
        <w:t xml:space="preserve"> </w:t>
      </w:r>
      <w:r>
        <w:rPr>
          <w:b/>
        </w:rPr>
        <w:t xml:space="preserve">Zodpovězeno.</w:t>
      </w:r>
    </w:p>
    <w:p>
      <w:pPr>
        <w:pStyle w:val="Compact"/>
        <w:numPr>
          <w:numId w:val="1125"/>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25"/>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40"/>
          <w:ilvl w:val="0"/>
        </w:numPr>
      </w:pPr>
      <w:r>
        <w:t xml:space="preserve">§ 122 IZ</w:t>
      </w:r>
    </w:p>
    <w:p>
      <w:pPr>
        <w:pStyle w:val="Compact"/>
        <w:numPr>
          <w:numId w:val="1140"/>
          <w:ilvl w:val="0"/>
        </w:numPr>
      </w:pPr>
      <w:r>
        <w:t xml:space="preserve">Nakládání s majetkovou podstatou po dobu trvání moratoria</w:t>
      </w:r>
    </w:p>
    <w:p>
      <w:pPr>
        <w:pStyle w:val="Compact"/>
        <w:numPr>
          <w:numId w:val="1142"/>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44"/>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45"/>
          <w:ilvl w:val="0"/>
        </w:numPr>
      </w:pPr>
      <w:r>
        <w:t xml:space="preserve">Věřitelský výbor</w:t>
      </w:r>
    </w:p>
    <w:p>
      <w:pPr>
        <w:pStyle w:val="Compact"/>
        <w:numPr>
          <w:numId w:val="1145"/>
          <w:ilvl w:val="0"/>
        </w:numPr>
      </w:pPr>
      <w:r>
        <w:t xml:space="preserve">Věřitelský výbor je jedním z věřitelských orgánů, a to „výkonný“ orgán (nejvyšším orgánem je schůze věřitelů).</w:t>
      </w:r>
    </w:p>
    <w:p>
      <w:pPr>
        <w:pStyle w:val="Compact"/>
        <w:numPr>
          <w:numId w:val="1145"/>
          <w:ilvl w:val="0"/>
        </w:numPr>
      </w:pPr>
      <w:r>
        <w:t xml:space="preserve">Věřitelský výbor je volen schůzí věřitelů</w:t>
      </w:r>
    </w:p>
    <w:p>
      <w:pPr>
        <w:pStyle w:val="Compact"/>
        <w:numPr>
          <w:numId w:val="1145"/>
          <w:ilvl w:val="0"/>
        </w:numPr>
      </w:pPr>
      <w:r>
        <w:t xml:space="preserve">Schůze věřitelů</w:t>
      </w:r>
    </w:p>
    <w:p>
      <w:pPr>
        <w:pStyle w:val="Compact"/>
        <w:numPr>
          <w:numId w:val="1145"/>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46"/>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47"/>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9"/>
          <w:ilvl w:val="1"/>
        </w:numPr>
      </w:pPr>
      <w:r>
        <w:t xml:space="preserve">fyzická osoba, která je oprávněna vykonávat činnost insolvenčního správce.</w:t>
      </w:r>
    </w:p>
    <w:p>
      <w:pPr>
        <w:pStyle w:val="Compact"/>
        <w:numPr>
          <w:numId w:val="1150"/>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52"/>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54"/>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6"/>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8"/>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60"/>
          <w:ilvl w:val="1"/>
        </w:numPr>
      </w:pPr>
      <w:r>
        <w:t xml:space="preserve">Přestupky podle ZIS projednává ministerstvo.</w:t>
      </w:r>
    </w:p>
    <w:p>
      <w:pPr>
        <w:pStyle w:val="Compact"/>
        <w:numPr>
          <w:numId w:val="1161"/>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63"/>
          <w:ilvl w:val="1"/>
        </w:numPr>
      </w:pPr>
      <w:r>
        <w:t xml:space="preserve">zák. č. 182/2006 Sb., o úpadku a způsobech jeho řešení (insolvenční zákon)</w:t>
      </w:r>
    </w:p>
    <w:p>
      <w:pPr>
        <w:pStyle w:val="Compact"/>
        <w:numPr>
          <w:numId w:val="1162"/>
          <w:ilvl w:val="0"/>
        </w:numPr>
      </w:pPr>
      <w:r>
        <w:t xml:space="preserve">Věřitelské orgány</w:t>
      </w:r>
    </w:p>
    <w:p>
      <w:pPr>
        <w:pStyle w:val="Compact"/>
        <w:numPr>
          <w:numId w:val="1162"/>
          <w:ilvl w:val="0"/>
        </w:numPr>
      </w:pPr>
      <w:r>
        <w:t xml:space="preserve">§ 46</w:t>
      </w:r>
    </w:p>
    <w:p>
      <w:pPr>
        <w:pStyle w:val="Compact"/>
        <w:numPr>
          <w:numId w:val="1164"/>
          <w:ilvl w:val="1"/>
        </w:numPr>
      </w:pPr>
      <w:r>
        <w:t xml:space="preserve">Schůze věřitelů, věřitelský výbor a zástupce věřitelů</w:t>
      </w:r>
    </w:p>
    <w:p>
      <w:pPr>
        <w:pStyle w:val="Compact"/>
        <w:numPr>
          <w:numId w:val="1165"/>
          <w:ilvl w:val="2"/>
        </w:numPr>
      </w:pPr>
      <w:r>
        <w:t xml:space="preserve">Věřitelskými orgány jsou schůze věřitelů a věřitelský výbor nebo zástupce věřitelů.</w:t>
      </w:r>
    </w:p>
    <w:p>
      <w:pPr>
        <w:pStyle w:val="Compact"/>
        <w:numPr>
          <w:numId w:val="1166"/>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7"/>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62"/>
          <w:ilvl w:val="0"/>
        </w:numPr>
      </w:pPr>
      <w:r>
        <w:t xml:space="preserve">§ 210</w:t>
      </w:r>
    </w:p>
    <w:p>
      <w:pPr>
        <w:pStyle w:val="Compact"/>
        <w:numPr>
          <w:numId w:val="1169"/>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70"/>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71"/>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72"/>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73"/>
          <w:ilvl w:val="0"/>
        </w:numPr>
      </w:pPr>
      <w:r>
        <w:t xml:space="preserve">schůzi svolává a řídí insolvenční soud</w:t>
      </w:r>
    </w:p>
    <w:p>
      <w:pPr>
        <w:pStyle w:val="Compact"/>
        <w:numPr>
          <w:numId w:val="1173"/>
          <w:ilvl w:val="0"/>
        </w:numPr>
      </w:pPr>
      <w:r>
        <w:t xml:space="preserve">svolává ji z vlastní iniciativy, na návrh insolvenčního správce, věřitelského výboru, nebo za zákonem stanovených situací sami věřitelé</w:t>
      </w:r>
    </w:p>
    <w:p>
      <w:pPr>
        <w:pStyle w:val="Compact"/>
        <w:numPr>
          <w:numId w:val="1173"/>
          <w:ilvl w:val="0"/>
        </w:numPr>
      </w:pPr>
      <w:r>
        <w:t xml:space="preserve">svolá ji tak, aby se konala do 30 dnů, co je insolvenční soud požádán o svolání schůze věřitelů</w:t>
      </w:r>
    </w:p>
    <w:p>
      <w:pPr>
        <w:pStyle w:val="Compact"/>
        <w:numPr>
          <w:numId w:val="1173"/>
          <w:ilvl w:val="0"/>
        </w:numPr>
      </w:pPr>
      <w:r>
        <w:t xml:space="preserve">právo účastnit se mají: insolvenční správce, dlužník, věřitelé, státní zastupitelství a odborové organizace dlužníka</w:t>
      </w:r>
    </w:p>
    <w:p>
      <w:pPr>
        <w:pStyle w:val="Compact"/>
        <w:numPr>
          <w:numId w:val="1173"/>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73"/>
          <w:ilvl w:val="0"/>
        </w:numPr>
      </w:pPr>
      <w:r>
        <w:t xml:space="preserve">K platnosti hlasování se vyžaduje, pokud zákon nestanoví jinak, prostá většina hlasů (každá koruna pohledávky má hodnotu jednoho hlasu)</w:t>
      </w:r>
    </w:p>
    <w:p>
      <w:pPr>
        <w:pStyle w:val="Compact"/>
        <w:numPr>
          <w:numId w:val="1173"/>
          <w:ilvl w:val="0"/>
        </w:numPr>
      </w:pPr>
      <w:r>
        <w:t xml:space="preserve">Věřitelé mohou hlasovat písemně pomocí listiny s názvem hlasovací lístek, musí být úředně ověřený podpis</w:t>
      </w:r>
    </w:p>
    <w:p>
      <w:pPr>
        <w:pStyle w:val="Compact"/>
        <w:numPr>
          <w:numId w:val="1173"/>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73"/>
          <w:ilvl w:val="0"/>
        </w:numPr>
      </w:pPr>
      <w:r>
        <w:t xml:space="preserve">Věřitel nesmí hlasovat ve věcech, kterých se účastní nebo kterých je nebo má být stranou, které se týkají zákonem stanovených věcí.</w:t>
      </w:r>
    </w:p>
    <w:p>
      <w:pPr>
        <w:pStyle w:val="Compact"/>
        <w:numPr>
          <w:numId w:val="1173"/>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74"/>
          <w:ilvl w:val="0"/>
        </w:numPr>
      </w:pPr>
      <w:r>
        <w:t xml:space="preserve">Je-li přihlášených věřitelů více než 50</w:t>
      </w:r>
    </w:p>
    <w:p>
      <w:pPr>
        <w:pStyle w:val="Compact"/>
        <w:numPr>
          <w:numId w:val="1174"/>
          <w:ilvl w:val="0"/>
        </w:numPr>
      </w:pPr>
      <w:r>
        <w:t xml:space="preserve">Nejméně 3, nejvýše 7 členů (je možné jmenovat zástupce)</w:t>
      </w:r>
    </w:p>
    <w:p>
      <w:pPr>
        <w:pStyle w:val="Compact"/>
        <w:numPr>
          <w:numId w:val="1174"/>
          <w:ilvl w:val="0"/>
        </w:numPr>
      </w:pPr>
      <w:r>
        <w:t xml:space="preserve">Je-li způsobem řešení úpadku nepatrný konkurs nebo oddlužení, není volba věřitelského výboru povinná</w:t>
      </w:r>
    </w:p>
    <w:p>
      <w:pPr>
        <w:pStyle w:val="Compact"/>
        <w:numPr>
          <w:numId w:val="1174"/>
          <w:ilvl w:val="0"/>
        </w:numPr>
      </w:pPr>
      <w:r>
        <w:t xml:space="preserve">Ve věřitelském výboru mají být zastoupeni zajištění i nezajištění věřitelé</w:t>
      </w:r>
    </w:p>
    <w:p>
      <w:pPr>
        <w:pStyle w:val="Compact"/>
        <w:numPr>
          <w:numId w:val="1174"/>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74"/>
          <w:ilvl w:val="0"/>
        </w:numPr>
      </w:pPr>
      <w:r>
        <w:t xml:space="preserve">Volí předsedu - svolává a řídí schůze</w:t>
      </w:r>
    </w:p>
    <w:p>
      <w:pPr>
        <w:pStyle w:val="Compact"/>
        <w:numPr>
          <w:numId w:val="1174"/>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74"/>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74"/>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74"/>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75"/>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76"/>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76"/>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76"/>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76"/>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76"/>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78"/>
          <w:ilvl w:val="1"/>
        </w:numPr>
      </w:pPr>
      <w:r>
        <w:t xml:space="preserve">mají právo na poskytnutí součinnosti a</w:t>
      </w:r>
    </w:p>
    <w:p>
      <w:pPr>
        <w:pStyle w:val="Compact"/>
        <w:numPr>
          <w:numId w:val="1179"/>
          <w:ilvl w:val="1"/>
        </w:numPr>
      </w:pPr>
      <w:r>
        <w:t xml:space="preserve">mají povinnost poskytnout součinnost.</w:t>
      </w:r>
    </w:p>
    <w:p>
      <w:pPr>
        <w:pStyle w:val="FirstParagraph"/>
      </w:pPr>
      <w:r>
        <w:t xml:space="preserve">Povinnost součinnosti má:</w:t>
      </w:r>
    </w:p>
    <w:p>
      <w:pPr>
        <w:pStyle w:val="Compact"/>
        <w:numPr>
          <w:numId w:val="1181"/>
          <w:ilvl w:val="1"/>
        </w:numPr>
      </w:pPr>
      <w:r>
        <w:t xml:space="preserve">Dlužník</w:t>
      </w:r>
    </w:p>
    <w:p>
      <w:pPr>
        <w:pStyle w:val="Compact"/>
        <w:numPr>
          <w:numId w:val="1182"/>
          <w:ilvl w:val="1"/>
        </w:numPr>
      </w:pPr>
      <w:r>
        <w:t xml:space="preserve">Předběžný správce vůči insolvenčnímu správci</w:t>
      </w:r>
    </w:p>
    <w:p>
      <w:pPr>
        <w:pStyle w:val="Compact"/>
        <w:numPr>
          <w:numId w:val="1183"/>
          <w:ilvl w:val="1"/>
        </w:numPr>
      </w:pPr>
      <w:r>
        <w:t xml:space="preserve">Insolvenční správce</w:t>
      </w:r>
    </w:p>
    <w:p>
      <w:pPr>
        <w:pStyle w:val="Compact"/>
        <w:numPr>
          <w:numId w:val="1180"/>
          <w:ilvl w:val="0"/>
        </w:numPr>
      </w:pPr>
      <w:r>
        <w:t xml:space="preserve">ca) vůči věřitelským orgánům</w:t>
      </w:r>
    </w:p>
    <w:p>
      <w:pPr>
        <w:pStyle w:val="Compact"/>
        <w:numPr>
          <w:numId w:val="1180"/>
          <w:ilvl w:val="0"/>
        </w:numPr>
      </w:pPr>
      <w:r>
        <w:t xml:space="preserve">cb) vůči insolvenčnímu soudu</w:t>
      </w:r>
    </w:p>
    <w:p>
      <w:pPr>
        <w:pStyle w:val="Compact"/>
        <w:numPr>
          <w:numId w:val="1184"/>
          <w:ilvl w:val="1"/>
        </w:numPr>
      </w:pPr>
      <w:r>
        <w:t xml:space="preserve">další formy součinnosti</w:t>
      </w:r>
    </w:p>
    <w:p>
      <w:pPr>
        <w:pStyle w:val="Compact"/>
        <w:numPr>
          <w:numId w:val="1185"/>
          <w:ilvl w:val="1"/>
        </w:numPr>
      </w:pPr>
      <w:r>
        <w:t xml:space="preserve">Osoby a orgány uvedené v § 43 IZ vůči insolvenčnímu správci a soudu</w:t>
      </w:r>
    </w:p>
    <w:p>
      <w:pPr>
        <w:pStyle w:val="Compact"/>
        <w:numPr>
          <w:numId w:val="1186"/>
          <w:ilvl w:val="1"/>
        </w:numPr>
      </w:pPr>
      <w:r>
        <w:t xml:space="preserve">Věřitelský výbor vůči insolvenčnímu správci</w:t>
      </w:r>
    </w:p>
    <w:p>
      <w:pPr>
        <w:pStyle w:val="Compact"/>
        <w:numPr>
          <w:numId w:val="1187"/>
          <w:ilvl w:val="1"/>
        </w:numPr>
      </w:pPr>
      <w:r>
        <w:t xml:space="preserve">Likvidátor dlužníka vůči insolvenčnímu správci</w:t>
      </w:r>
    </w:p>
    <w:p>
      <w:pPr>
        <w:pStyle w:val="Compact"/>
        <w:numPr>
          <w:numId w:val="1188"/>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190"/>
          <w:ilvl w:val="1"/>
        </w:numPr>
      </w:pPr>
      <w:r>
        <w:t xml:space="preserve">Obecná povinnost součinnosti dlužníka</w:t>
      </w:r>
    </w:p>
    <w:p>
      <w:pPr>
        <w:pStyle w:val="Compact"/>
        <w:numPr>
          <w:numId w:val="1191"/>
          <w:ilvl w:val="1"/>
        </w:numPr>
      </w:pPr>
      <w:r>
        <w:t xml:space="preserve">Povinnost součinnosti statutárního orgánu dlužníka</w:t>
      </w:r>
    </w:p>
    <w:p>
      <w:pPr>
        <w:pStyle w:val="Compact"/>
        <w:numPr>
          <w:numId w:val="1192"/>
          <w:ilvl w:val="1"/>
        </w:numPr>
      </w:pPr>
      <w:r>
        <w:t xml:space="preserve">Povinnost součinnosti společníků, zaměstnanců nebo členů právnické osoby</w:t>
      </w:r>
    </w:p>
    <w:p>
      <w:pPr>
        <w:pStyle w:val="Compact"/>
        <w:numPr>
          <w:numId w:val="1193"/>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194"/>
          <w:ilvl w:val="0"/>
        </w:numPr>
      </w:pPr>
      <w:r>
        <w:t xml:space="preserve">pořádková pokuta,</w:t>
      </w:r>
    </w:p>
    <w:p>
      <w:pPr>
        <w:pStyle w:val="Compact"/>
        <w:numPr>
          <w:numId w:val="1194"/>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196"/>
          <w:ilvl w:val="1"/>
        </w:numPr>
      </w:pPr>
      <w:r>
        <w:t xml:space="preserve">Dlužník musí umožnit insolvenčnímu správci přístup na všechna místa, kde má umístěn majetek náležející do majetkové podstaty.</w:t>
      </w:r>
    </w:p>
    <w:p>
      <w:pPr>
        <w:pStyle w:val="Compact"/>
        <w:numPr>
          <w:numId w:val="1197"/>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199"/>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00"/>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01"/>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03"/>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04"/>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06"/>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07"/>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08"/>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10"/>
          <w:ilvl w:val="1"/>
        </w:numPr>
      </w:pPr>
      <w:r>
        <w:t xml:space="preserve">zák. č. 182/2006 Sb., o úpadku a způsobech jeho řešení (insolvenční zákon)</w:t>
      </w:r>
    </w:p>
    <w:p>
      <w:pPr>
        <w:pStyle w:val="Compact"/>
        <w:numPr>
          <w:numId w:val="1209"/>
          <w:ilvl w:val="0"/>
        </w:numPr>
      </w:pPr>
      <w:r>
        <w:t xml:space="preserve">§ 212</w:t>
      </w:r>
    </w:p>
    <w:p>
      <w:pPr>
        <w:pStyle w:val="Compact"/>
        <w:numPr>
          <w:numId w:val="1212"/>
          <w:ilvl w:val="2"/>
        </w:numPr>
      </w:pPr>
      <w:r>
        <w:t xml:space="preserve">Dlužník musí umožnit insolvenčnímu správci přístup na všechna místa, kde má umístěn majetek náležející do majetkové podstaty.</w:t>
      </w:r>
    </w:p>
    <w:p>
      <w:pPr>
        <w:pStyle w:val="Compact"/>
        <w:numPr>
          <w:numId w:val="1213"/>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14"/>
          <w:ilvl w:val="0"/>
        </w:numPr>
      </w:pPr>
      <w:r>
        <w:t xml:space="preserve">Jaká oprávnění mají orgány dlužníka v oddlužení a reorganizaci?</w:t>
      </w:r>
    </w:p>
    <w:p>
      <w:pPr>
        <w:pStyle w:val="Compact"/>
        <w:numPr>
          <w:numId w:val="1214"/>
          <w:ilvl w:val="0"/>
        </w:numPr>
      </w:pPr>
      <w:r>
        <w:t xml:space="preserve">V jakém rozsahu mají stanovenou povinnost součinnosti orgány dlužníka v oddlužení a v reorganizaci?</w:t>
      </w:r>
    </w:p>
    <w:p>
      <w:pPr>
        <w:pStyle w:val="Compact"/>
        <w:numPr>
          <w:numId w:val="1214"/>
          <w:ilvl w:val="0"/>
        </w:numPr>
      </w:pPr>
      <w:r>
        <w:t xml:space="preserve">Jaká oprávnění má insolvenční správce v oddlužení a reorganizaci?</w:t>
      </w:r>
    </w:p>
    <w:p>
      <w:pPr>
        <w:pStyle w:val="Compact"/>
        <w:numPr>
          <w:numId w:val="1214"/>
          <w:ilvl w:val="0"/>
        </w:numPr>
      </w:pPr>
      <w:r>
        <w:t xml:space="preserve">V jakém rozsahu má povinnost součinnosti insolvenční správce v oddlužení a reorganizaci?</w:t>
      </w:r>
    </w:p>
    <w:p>
      <w:pPr>
        <w:pStyle w:val="Compact"/>
        <w:numPr>
          <w:numId w:val="1214"/>
          <w:ilvl w:val="0"/>
        </w:numPr>
      </w:pPr>
      <w:r>
        <w:t xml:space="preserve">Jaké následky má porušení povinnosti orgánů dlužníka v průběhu oddlužení a reorganizace?</w:t>
      </w:r>
    </w:p>
    <w:p>
      <w:pPr>
        <w:pStyle w:val="Heading2"/>
      </w:pPr>
      <w:bookmarkStart w:id="95" w:name="oprávnění-a-součinnosti"/>
      <w:bookmarkEnd w:id="95"/>
      <w:r>
        <w:t xml:space="preserve">Oprávnění a součinnosti:</w:t>
      </w:r>
    </w:p>
    <w:p>
      <w:pPr>
        <w:pStyle w:val="Compact"/>
        <w:numPr>
          <w:numId w:val="1216"/>
          <w:ilvl w:val="1"/>
        </w:numPr>
      </w:pPr>
      <w:r>
        <w:t xml:space="preserve">zák. č. 182/2006 Sb., o úpadku a způsobech jeho řešení (insolvenční zákon)</w:t>
      </w:r>
    </w:p>
    <w:p>
      <w:pPr>
        <w:pStyle w:val="Compact"/>
        <w:numPr>
          <w:numId w:val="1215"/>
          <w:ilvl w:val="0"/>
        </w:numPr>
      </w:pPr>
      <w:r>
        <w:t xml:space="preserve">§ 210</w:t>
      </w:r>
    </w:p>
    <w:p>
      <w:pPr>
        <w:pStyle w:val="Compact"/>
        <w:numPr>
          <w:numId w:val="1218"/>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19"/>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20"/>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21"/>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15"/>
          <w:ilvl w:val="0"/>
        </w:numPr>
      </w:pPr>
      <w:r>
        <w:t xml:space="preserve">§ 211</w:t>
      </w:r>
    </w:p>
    <w:p>
      <w:pPr>
        <w:pStyle w:val="Compact"/>
        <w:numPr>
          <w:numId w:val="1223"/>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24"/>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25"/>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15"/>
          <w:ilvl w:val="0"/>
        </w:numPr>
      </w:pPr>
      <w:r>
        <w:t xml:space="preserve">§ 212</w:t>
      </w:r>
    </w:p>
    <w:p>
      <w:pPr>
        <w:pStyle w:val="Compact"/>
        <w:numPr>
          <w:numId w:val="1227"/>
          <w:ilvl w:val="2"/>
        </w:numPr>
      </w:pPr>
      <w:r>
        <w:t xml:space="preserve">Dlužník musí umožnit insolvenčnímu správci přístup na všechna místa, kde má umístěn majetek náležející do majetkové podstaty.</w:t>
      </w:r>
    </w:p>
    <w:p>
      <w:pPr>
        <w:pStyle w:val="Compact"/>
        <w:numPr>
          <w:numId w:val="1228"/>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29"/>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30"/>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31"/>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31"/>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31"/>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31"/>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31"/>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31"/>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31"/>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31"/>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31"/>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33"/>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34"/>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35"/>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36"/>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37"/>
          <w:ilvl w:val="0"/>
        </w:numPr>
      </w:pPr>
      <w:r>
        <w:t xml:space="preserve">vykonávat výdělečnou činnost, nebo o ní usilovat,</w:t>
      </w:r>
    </w:p>
    <w:p>
      <w:pPr>
        <w:pStyle w:val="Compact"/>
        <w:numPr>
          <w:numId w:val="1237"/>
          <w:ilvl w:val="0"/>
        </w:numPr>
      </w:pPr>
      <w:r>
        <w:t xml:space="preserve">neodmítat hodnoty získané z dědictví, darů etc.,</w:t>
      </w:r>
    </w:p>
    <w:p>
      <w:pPr>
        <w:pStyle w:val="Compact"/>
        <w:numPr>
          <w:numId w:val="1237"/>
          <w:ilvl w:val="0"/>
        </w:numPr>
      </w:pPr>
      <w:r>
        <w:t xml:space="preserve">oznamovat změny bydliště, zaměstnání,</w:t>
      </w:r>
    </w:p>
    <w:p>
      <w:pPr>
        <w:pStyle w:val="Compact"/>
        <w:numPr>
          <w:numId w:val="1237"/>
          <w:ilvl w:val="0"/>
        </w:numPr>
      </w:pPr>
      <w:r>
        <w:t xml:space="preserve">předkládat přehledy o svých výdajích a příjmech,</w:t>
      </w:r>
    </w:p>
    <w:p>
      <w:pPr>
        <w:pStyle w:val="Compact"/>
        <w:numPr>
          <w:numId w:val="1237"/>
          <w:ilvl w:val="0"/>
        </w:numPr>
      </w:pPr>
      <w:r>
        <w:t xml:space="preserve">nezatajovat příjmy,</w:t>
      </w:r>
    </w:p>
    <w:p>
      <w:pPr>
        <w:pStyle w:val="Compact"/>
        <w:numPr>
          <w:numId w:val="1237"/>
          <w:ilvl w:val="0"/>
        </w:numPr>
      </w:pPr>
      <w:r>
        <w:t xml:space="preserve">neposkytovat žádnému věřiteli zvláštní výhody,</w:t>
      </w:r>
    </w:p>
    <w:p>
      <w:pPr>
        <w:pStyle w:val="Compact"/>
        <w:numPr>
          <w:numId w:val="1237"/>
          <w:ilvl w:val="0"/>
        </w:numPr>
      </w:pPr>
      <w:r>
        <w:t xml:space="preserve">nepřijímat na sebe nové nesplnitelné závazky,</w:t>
      </w:r>
    </w:p>
    <w:p>
      <w:pPr>
        <w:pStyle w:val="Compact"/>
        <w:numPr>
          <w:numId w:val="1237"/>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39"/>
          <w:ilvl w:val="1"/>
        </w:numPr>
      </w:pPr>
      <w:r>
        <w:t xml:space="preserve">Po dobu trvání účinků schválení oddlužení plněním splátkového kalendáře</w:t>
      </w:r>
      <w:r>
        <w:br w:type="textWrapping"/>
      </w:r>
      <w:r>
        <w:t xml:space="preserve">je dlužník povinen …</w:t>
      </w:r>
    </w:p>
    <w:p>
      <w:pPr>
        <w:pStyle w:val="Compact"/>
        <w:numPr>
          <w:numId w:val="1240"/>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41"/>
          <w:ilvl w:val="1"/>
        </w:numPr>
      </w:pPr>
      <w:r>
        <w:t xml:space="preserve">bez zbytečného odkladu oznámit insolvenčnímu soudu, insolvenčnímu správci a věřitelskému výboru každou změnu svého bydliště nebo sídla a zaměstnání,</w:t>
      </w:r>
    </w:p>
    <w:p>
      <w:pPr>
        <w:pStyle w:val="Compact"/>
        <w:numPr>
          <w:numId w:val="1242"/>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43"/>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45"/>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46"/>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48"/>
          <w:ilvl w:val="1"/>
        </w:numPr>
      </w:pPr>
      <w:r>
        <w:t xml:space="preserve">povinnost součinnosti insolvenčního správce vůči věřitelským orgánům</w:t>
      </w:r>
    </w:p>
    <w:p>
      <w:pPr>
        <w:pStyle w:val="Compact"/>
        <w:numPr>
          <w:numId w:val="1249"/>
          <w:ilvl w:val="1"/>
        </w:numPr>
      </w:pPr>
      <w:r>
        <w:t xml:space="preserve">povinnost součinnosti insolvenčního správce vůči insolvenčnímu soudu</w:t>
      </w:r>
    </w:p>
    <w:p>
      <w:pPr>
        <w:pStyle w:val="Compact"/>
        <w:numPr>
          <w:numId w:val="1250"/>
          <w:ilvl w:val="1"/>
        </w:numPr>
      </w:pPr>
      <w:r>
        <w:t xml:space="preserve">další formy součinnosti</w:t>
      </w:r>
    </w:p>
    <w:p>
      <w:pPr>
        <w:pStyle w:val="Compact"/>
        <w:numPr>
          <w:numId w:val="1251"/>
          <w:ilvl w:val="0"/>
        </w:numPr>
      </w:pPr>
      <w:r>
        <w:t xml:space="preserve">Povinnost součinnosti insolvenčního správce vůči věřitelským orgánům</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53"/>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54"/>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255"/>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5754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1fa06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adba8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bbd8ad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679986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cb63f4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ac67839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1281d3f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50afa2b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aad99d8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8c7f8953"/>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218fc4a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aa299d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5356fd8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293cf44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f728fce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62fd1ce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f25c9847"/>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1"/>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1"/>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4">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1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8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88">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89">
    <w:abstractNumId w:val="991"/>
  </w:num>
  <w:num w:numId="11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4">
    <w:abstractNumId w:val="991"/>
  </w:num>
  <w:num w:numId="1195">
    <w:abstractNumId w:val="991"/>
  </w:num>
  <w:num w:numId="119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1"/>
  </w:num>
  <w:num w:numId="12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5">
    <w:abstractNumId w:val="991"/>
  </w:num>
  <w:num w:numId="120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1"/>
  </w:num>
  <w:num w:numId="12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1">
    <w:abstractNumId w:val="991"/>
  </w:num>
  <w:num w:numId="12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1"/>
  </w:num>
  <w:num w:numId="12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7">
    <w:abstractNumId w:val="991"/>
  </w:num>
  <w:num w:numId="12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2">
    <w:abstractNumId w:val="991"/>
  </w:num>
  <w:num w:numId="12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6">
    <w:abstractNumId w:val="991"/>
  </w:num>
  <w:num w:numId="12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1">
    <w:abstractNumId w:val="991"/>
  </w:num>
  <w:num w:numId="1232">
    <w:abstractNumId w:val="991"/>
  </w:num>
  <w:num w:numId="12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7">
    <w:abstractNumId w:val="991"/>
  </w:num>
  <w:num w:numId="1238">
    <w:abstractNumId w:val="991"/>
  </w:num>
  <w:num w:numId="12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44">
    <w:abstractNumId w:val="991"/>
  </w:num>
  <w:num w:numId="124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7">
    <w:abstractNumId w:val="991"/>
  </w:num>
  <w:num w:numId="12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1"/>
  </w:num>
  <w:num w:numId="125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2022-01-20T00:09:54Z</dcterms:created>
  <dcterms:modified xsi:type="dcterms:W3CDTF">2022-01-20T00:09:54Z</dcterms:modified>
</cp:coreProperties>
</file>