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BodyText"/>
      </w:pPr>
      <w:r>
        <w:t xml:space="preserve">K uzavření smluv o úvěrovém financování je oprávněn také dlužník s dispozičními oprávněními nebo dlužník po dobu trvání moratoria.</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Heading3"/>
      </w:pPr>
      <w:bookmarkStart w:id="56" w:name="průběh-insolvence"/>
      <w:bookmarkEnd w:id="56"/>
      <w:r>
        <w:t xml:space="preserve">Průběh insolvence</w:t>
      </w:r>
    </w:p>
    <w:p>
      <w:pPr>
        <w:pStyle w:val="Compact"/>
        <w:numPr>
          <w:numId w:val="1036"/>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36"/>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36"/>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36"/>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37"/>
          <w:ilvl w:val="0"/>
        </w:numPr>
      </w:pPr>
      <w:r>
        <w:t xml:space="preserve">pohledávky nemohou být uplatněny žalobou, lze-li je uplatnit přihláškou,</w:t>
      </w:r>
    </w:p>
    <w:p>
      <w:pPr>
        <w:pStyle w:val="Compact"/>
        <w:numPr>
          <w:numId w:val="1037"/>
          <w:ilvl w:val="0"/>
        </w:numPr>
      </w:pPr>
      <w:r>
        <w:t xml:space="preserve">uplatnění ráva ze zajištění podléha podmínkám zákonu,</w:t>
      </w:r>
    </w:p>
    <w:p>
      <w:pPr>
        <w:pStyle w:val="Compact"/>
        <w:numPr>
          <w:numId w:val="1037"/>
          <w:ilvl w:val="0"/>
        </w:numPr>
      </w:pPr>
      <w:r>
        <w:t xml:space="preserve">výkon rozhodnutí či exekuci lze nařídit nebo zahájit, nelze ji však provést (mimo případy stanovené zákonem),</w:t>
      </w:r>
    </w:p>
    <w:p>
      <w:pPr>
        <w:pStyle w:val="Compact"/>
        <w:numPr>
          <w:numId w:val="1037"/>
          <w:ilvl w:val="0"/>
        </w:numPr>
      </w:pPr>
      <w:r>
        <w:t xml:space="preserve">nakládání s majetkovou podstatou (podstatné změny) - mimo zákonem stanovené výjimky,</w:t>
      </w:r>
    </w:p>
    <w:p>
      <w:pPr>
        <w:pStyle w:val="Compact"/>
        <w:numPr>
          <w:numId w:val="1037"/>
          <w:ilvl w:val="0"/>
        </w:numPr>
      </w:pPr>
      <w:r>
        <w:t xml:space="preserve">soud může rozhodnout o předběžném opatření - například dodatečné omezení dlužníka v dispozici s majetkem náležejícím do majetkové podstaty,</w:t>
      </w:r>
    </w:p>
    <w:p>
      <w:pPr>
        <w:pStyle w:val="Compact"/>
        <w:numPr>
          <w:numId w:val="1037"/>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38"/>
          <w:ilvl w:val="0"/>
        </w:numPr>
      </w:pPr>
      <w:r>
        <w:t xml:space="preserve">Po dobu trvání moratoria nelze vydat rozhodnutí o úpadku.</w:t>
      </w:r>
    </w:p>
    <w:p>
      <w:pPr>
        <w:numPr>
          <w:numId w:val="1038"/>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39"/>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39"/>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39"/>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40"/>
          <w:ilvl w:val="0"/>
        </w:numPr>
      </w:pPr>
      <w:r>
        <w:t xml:space="preserve">byl zjištěn úpadek dlužníka (soud vydá rozhodnutí o úpadku),</w:t>
      </w:r>
    </w:p>
    <w:p>
      <w:pPr>
        <w:pStyle w:val="Compact"/>
        <w:numPr>
          <w:numId w:val="1040"/>
          <w:ilvl w:val="0"/>
        </w:numPr>
      </w:pPr>
      <w:r>
        <w:t xml:space="preserve">nebyl zjištěn úpadek dlužníka,</w:t>
      </w:r>
    </w:p>
    <w:p>
      <w:pPr>
        <w:pStyle w:val="Compact"/>
        <w:numPr>
          <w:numId w:val="1040"/>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41"/>
          <w:ilvl w:val="0"/>
        </w:numPr>
      </w:pPr>
      <w:r>
        <w:t xml:space="preserve">předběžná opatření trvají, soud je však může změnit,</w:t>
      </w:r>
    </w:p>
    <w:p>
      <w:pPr>
        <w:pStyle w:val="Compact"/>
        <w:numPr>
          <w:numId w:val="1041"/>
          <w:ilvl w:val="0"/>
        </w:numPr>
      </w:pPr>
      <w:r>
        <w:t xml:space="preserve">započtení je upraveno pravidly zákony,</w:t>
      </w:r>
    </w:p>
    <w:p>
      <w:pPr>
        <w:pStyle w:val="Compact"/>
        <w:numPr>
          <w:numId w:val="1041"/>
          <w:ilvl w:val="0"/>
        </w:numPr>
      </w:pPr>
      <w:r>
        <w:t xml:space="preserve">přerušují se zákonem stanovené druhy řízení,</w:t>
      </w:r>
    </w:p>
    <w:p>
      <w:pPr>
        <w:pStyle w:val="Compact"/>
        <w:numPr>
          <w:numId w:val="1041"/>
          <w:ilvl w:val="0"/>
        </w:numPr>
      </w:pPr>
      <w:r>
        <w:t xml:space="preserve">zakazuje se vydat rozhodnutí ve stanovených druzích řízení, jako například v rozhodčím řízení,</w:t>
      </w:r>
    </w:p>
    <w:p>
      <w:pPr>
        <w:pStyle w:val="Compact"/>
        <w:numPr>
          <w:numId w:val="1041"/>
          <w:ilvl w:val="0"/>
        </w:numPr>
      </w:pPr>
      <w:r>
        <w:t xml:space="preserve">nelze zahájit nová řízení týkající se pohledávek a jiných právech týkajících se majetkové pdostaty dlužníka,</w:t>
      </w:r>
    </w:p>
    <w:p>
      <w:pPr>
        <w:pStyle w:val="Compact"/>
        <w:numPr>
          <w:numId w:val="1041"/>
          <w:ilvl w:val="0"/>
        </w:numPr>
      </w:pPr>
      <w:r>
        <w:t xml:space="preserve">nelze nařídit a zahájit výkon rozhodnutí, nebo exekuci,</w:t>
      </w:r>
    </w:p>
    <w:p>
      <w:pPr>
        <w:pStyle w:val="Compact"/>
        <w:numPr>
          <w:numId w:val="1041"/>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42"/>
          <w:ilvl w:val="0"/>
        </w:numPr>
      </w:pPr>
      <w:r>
        <w:t xml:space="preserve">odmítnutí insolvenčního návrhu pro vady nebo pro zjevnou bezdůvodnost,</w:t>
      </w:r>
    </w:p>
    <w:p>
      <w:pPr>
        <w:pStyle w:val="Compact"/>
        <w:numPr>
          <w:numId w:val="1042"/>
          <w:ilvl w:val="0"/>
        </w:numPr>
      </w:pPr>
      <w:r>
        <w:t xml:space="preserve">zastavení řízení pro nedostatek podmínky řízení, který nelze odstranit nebo který se nepodařilo odstranit, nebo pro zpětvzetí insolvenčního návrhu,</w:t>
      </w:r>
    </w:p>
    <w:p>
      <w:pPr>
        <w:pStyle w:val="Compact"/>
        <w:numPr>
          <w:numId w:val="1042"/>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43"/>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43"/>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43"/>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44"/>
          <w:ilvl w:val="0"/>
        </w:numPr>
      </w:pPr>
      <w:r>
        <w:t xml:space="preserve">přihlášené pohledávky,</w:t>
      </w:r>
    </w:p>
    <w:p>
      <w:pPr>
        <w:pStyle w:val="Compact"/>
        <w:numPr>
          <w:numId w:val="1044"/>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44"/>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46"/>
          <w:ilvl w:val="1"/>
        </w:numPr>
      </w:pPr>
      <w:r>
        <w:t xml:space="preserve">věřitelé s pohledávkami za podstatou</w:t>
      </w:r>
    </w:p>
    <w:p>
      <w:pPr>
        <w:pStyle w:val="Compact"/>
        <w:numPr>
          <w:numId w:val="1047"/>
          <w:ilvl w:val="1"/>
        </w:numPr>
      </w:pPr>
      <w:r>
        <w:t xml:space="preserve">věřitelé s nárokem na vyloučení majetku z majetkové podstaty</w:t>
      </w:r>
    </w:p>
    <w:p>
      <w:pPr>
        <w:pStyle w:val="Compact"/>
        <w:numPr>
          <w:numId w:val="1048"/>
          <w:ilvl w:val="1"/>
        </w:numPr>
      </w:pPr>
      <w:r>
        <w:t xml:space="preserve">zajištění věřitelé</w:t>
      </w:r>
    </w:p>
    <w:p>
      <w:pPr>
        <w:pStyle w:val="Compact"/>
        <w:numPr>
          <w:numId w:val="1049"/>
          <w:ilvl w:val="1"/>
        </w:numPr>
      </w:pPr>
      <w:r>
        <w:t xml:space="preserve">ostatní věřitelé</w:t>
      </w:r>
    </w:p>
    <w:p>
      <w:pPr>
        <w:pStyle w:val="Compact"/>
        <w:numPr>
          <w:numId w:val="1050"/>
          <w:ilvl w:val="1"/>
        </w:numPr>
      </w:pPr>
      <w:r>
        <w:t xml:space="preserve">věřitelé s pohledávkou zajištěnou zajištěním poskytnutým třetí osobou</w:t>
      </w:r>
    </w:p>
    <w:p>
      <w:pPr>
        <w:pStyle w:val="Compact"/>
        <w:numPr>
          <w:numId w:val="1051"/>
          <w:ilvl w:val="1"/>
        </w:numPr>
      </w:pPr>
      <w:r>
        <w:t xml:space="preserve">podřízené pohledávky</w:t>
      </w:r>
    </w:p>
    <w:p>
      <w:pPr>
        <w:pStyle w:val="Compact"/>
        <w:numPr>
          <w:numId w:val="1052"/>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53"/>
          <w:ilvl w:val="0"/>
        </w:numPr>
      </w:pPr>
      <w:r>
        <w:t xml:space="preserve">jistotu,</w:t>
      </w:r>
    </w:p>
    <w:p>
      <w:pPr>
        <w:pStyle w:val="Compact"/>
        <w:numPr>
          <w:numId w:val="1053"/>
          <w:ilvl w:val="0"/>
        </w:numPr>
      </w:pPr>
      <w:r>
        <w:t xml:space="preserve">druhy zajištění,</w:t>
      </w:r>
    </w:p>
    <w:p>
      <w:pPr>
        <w:pStyle w:val="Compact"/>
        <w:numPr>
          <w:numId w:val="1053"/>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54"/>
          <w:ilvl w:val="0"/>
        </w:numPr>
      </w:pPr>
      <w:r>
        <w:t xml:space="preserve">Kdo je povinen dát jistotu, učiní své povinnosti zadost zřízením zástavního práva.</w:t>
      </w:r>
    </w:p>
    <w:p>
      <w:pPr>
        <w:numPr>
          <w:numId w:val="1054"/>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55"/>
          <w:ilvl w:val="0"/>
        </w:numPr>
      </w:pPr>
      <w:r>
        <w:rPr>
          <w:b/>
        </w:rPr>
        <w:t xml:space="preserve">Ručení</w:t>
      </w:r>
      <w:r>
        <w:t xml:space="preserve">:</w:t>
      </w:r>
    </w:p>
    <w:p>
      <w:pPr>
        <w:pStyle w:val="Compact"/>
        <w:numPr>
          <w:numId w:val="1055"/>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55"/>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55"/>
          <w:ilvl w:val="0"/>
        </w:numPr>
      </w:pPr>
      <w:r>
        <w:rPr>
          <w:b/>
        </w:rPr>
        <w:t xml:space="preserve">Finanční záruka</w:t>
      </w:r>
      <w:r>
        <w:t xml:space="preserve">:</w:t>
      </w:r>
    </w:p>
    <w:p>
      <w:pPr>
        <w:pStyle w:val="Compact"/>
        <w:numPr>
          <w:numId w:val="1055"/>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55"/>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55"/>
          <w:ilvl w:val="0"/>
        </w:numPr>
      </w:pPr>
      <w:r>
        <w:rPr>
          <w:b/>
        </w:rPr>
        <w:t xml:space="preserve">Zajišťovací převod práva</w:t>
      </w:r>
      <w:r>
        <w:t xml:space="preserve">:</w:t>
      </w:r>
    </w:p>
    <w:p>
      <w:pPr>
        <w:pStyle w:val="Compact"/>
        <w:numPr>
          <w:numId w:val="1055"/>
          <w:ilvl w:val="0"/>
        </w:numPr>
      </w:pPr>
      <w:r>
        <w:t xml:space="preserve">(§ 2040 an. OZ)</w:t>
      </w:r>
    </w:p>
    <w:p>
      <w:pPr>
        <w:pStyle w:val="Compact"/>
        <w:numPr>
          <w:numId w:val="1056"/>
          <w:ilvl w:val="1"/>
        </w:numPr>
      </w:pPr>
      <w:r>
        <w:t xml:space="preserve">Smlouvou o zajišťovacím převodu práva zajišťuje dlužník nebo třetí osoba dluh tím, že věřiteli dočasně převede své právo.</w:t>
      </w:r>
    </w:p>
    <w:p>
      <w:pPr>
        <w:pStyle w:val="Compact"/>
        <w:numPr>
          <w:numId w:val="1057"/>
          <w:ilvl w:val="1"/>
        </w:numPr>
      </w:pPr>
      <w:r>
        <w:t xml:space="preserve">Má se za to, že zajišťovací převod práva je převodem s rozvazovací podmínkou, že dluh bude splněn.</w:t>
      </w:r>
    </w:p>
    <w:p>
      <w:pPr>
        <w:pStyle w:val="Compact"/>
        <w:numPr>
          <w:numId w:val="1055"/>
          <w:ilvl w:val="0"/>
        </w:numPr>
      </w:pPr>
      <w:r>
        <w:rPr>
          <w:b/>
        </w:rPr>
        <w:t xml:space="preserve">Dohoda o srážkách ze mzdy nebo jiných příjmů</w:t>
      </w:r>
      <w:r>
        <w:t xml:space="preserve">:</w:t>
      </w:r>
    </w:p>
    <w:p>
      <w:pPr>
        <w:pStyle w:val="Compact"/>
        <w:numPr>
          <w:numId w:val="1055"/>
          <w:ilvl w:val="0"/>
        </w:numPr>
      </w:pPr>
      <w:r>
        <w:t xml:space="preserve">(§ 2045 an. OZ)</w:t>
      </w:r>
    </w:p>
    <w:p>
      <w:pPr>
        <w:pStyle w:val="Compact"/>
        <w:numPr>
          <w:numId w:val="1058"/>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59"/>
          <w:ilvl w:val="1"/>
        </w:numPr>
      </w:pPr>
      <w:r>
        <w:t xml:space="preserve">Proti plátci mzdy nebo platu nabývá věřitel práva na výplatu srážek okamžikem, kdy byla plátci dohoda předložena.</w:t>
      </w:r>
    </w:p>
    <w:p>
      <w:pPr>
        <w:pStyle w:val="Compact"/>
        <w:numPr>
          <w:numId w:val="1055"/>
          <w:ilvl w:val="0"/>
        </w:numPr>
      </w:pPr>
      <w:r>
        <w:rPr>
          <w:b/>
        </w:rPr>
        <w:t xml:space="preserve">Závdavek</w:t>
      </w:r>
      <w:r>
        <w:t xml:space="preserve"> </w:t>
      </w:r>
      <w:r>
        <w:t xml:space="preserve">(Není relevantní pro insolvenci):</w:t>
      </w:r>
    </w:p>
    <w:p>
      <w:pPr>
        <w:pStyle w:val="Compact"/>
        <w:numPr>
          <w:numId w:val="1055"/>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60"/>
          <w:ilvl w:val="0"/>
        </w:numPr>
      </w:pPr>
      <w:r>
        <w:rPr>
          <w:b/>
        </w:rPr>
        <w:t xml:space="preserve">Zástavní právo</w:t>
      </w:r>
      <w:r>
        <w:t xml:space="preserve">:</w:t>
      </w:r>
    </w:p>
    <w:p>
      <w:pPr>
        <w:pStyle w:val="Compact"/>
        <w:numPr>
          <w:numId w:val="1060"/>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60"/>
          <w:ilvl w:val="0"/>
        </w:numPr>
      </w:pPr>
      <w:r>
        <w:rPr>
          <w:b/>
        </w:rPr>
        <w:t xml:space="preserve">Podzástavní právo</w:t>
      </w:r>
      <w:r>
        <w:t xml:space="preserve">:</w:t>
      </w:r>
    </w:p>
    <w:p>
      <w:pPr>
        <w:pStyle w:val="Compact"/>
        <w:numPr>
          <w:numId w:val="1060"/>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60"/>
          <w:ilvl w:val="0"/>
        </w:numPr>
      </w:pPr>
      <w:r>
        <w:rPr>
          <w:b/>
        </w:rPr>
        <w:t xml:space="preserve">Zadržovací právo</w:t>
      </w:r>
      <w:r>
        <w:t xml:space="preserve">:</w:t>
      </w:r>
    </w:p>
    <w:p>
      <w:pPr>
        <w:pStyle w:val="Compact"/>
        <w:numPr>
          <w:numId w:val="1060"/>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61"/>
          <w:ilvl w:val="0"/>
        </w:numPr>
      </w:pPr>
      <w:r>
        <w:rPr>
          <w:b/>
        </w:rPr>
        <w:t xml:space="preserve">Smluvní pokuta</w:t>
      </w:r>
      <w:r>
        <w:t xml:space="preserve">:</w:t>
      </w:r>
    </w:p>
    <w:p>
      <w:pPr>
        <w:pStyle w:val="Compact"/>
        <w:numPr>
          <w:numId w:val="1061"/>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61"/>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61"/>
          <w:ilvl w:val="0"/>
        </w:numPr>
      </w:pPr>
      <w:r>
        <w:rPr>
          <w:b/>
        </w:rPr>
        <w:t xml:space="preserve">Uznání dluhu</w:t>
      </w:r>
      <w:r>
        <w:t xml:space="preserve">:</w:t>
      </w:r>
    </w:p>
    <w:p>
      <w:pPr>
        <w:pStyle w:val="Compact"/>
        <w:numPr>
          <w:numId w:val="1061"/>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61"/>
          <w:ilvl w:val="0"/>
        </w:numPr>
      </w:pPr>
      <w:r>
        <w:t xml:space="preserve">Uzná-li někdo svůj dluh co do důvodu i výše prohlášením učiněným v písemné formě, má se za to, že dluh v rozsahu uznání v době uznání trvá.</w:t>
      </w:r>
    </w:p>
    <w:p>
      <w:pPr>
        <w:pStyle w:val="Compact"/>
        <w:numPr>
          <w:numId w:val="1061"/>
          <w:ilvl w:val="0"/>
        </w:numPr>
      </w:pPr>
      <w:r>
        <w:rPr>
          <w:b/>
        </w:rPr>
        <w:t xml:space="preserve">Směnka vlastní</w:t>
      </w:r>
      <w:r>
        <w:t xml:space="preserve"> </w:t>
      </w:r>
      <w:r>
        <w:t xml:space="preserve">(Není relevantní pro insolvenci):</w:t>
      </w:r>
    </w:p>
    <w:p>
      <w:pPr>
        <w:pStyle w:val="Compact"/>
        <w:numPr>
          <w:numId w:val="1061"/>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63"/>
          <w:ilvl w:val="1"/>
        </w:numPr>
      </w:pPr>
      <w:r>
        <w:t xml:space="preserve">Schůze věřitelů</w:t>
      </w:r>
    </w:p>
    <w:p>
      <w:pPr>
        <w:pStyle w:val="Compact"/>
        <w:numPr>
          <w:numId w:val="1064"/>
          <w:ilvl w:val="1"/>
        </w:numPr>
      </w:pPr>
      <w:r>
        <w:t xml:space="preserve">Zpeněžování podstaty</w:t>
      </w:r>
    </w:p>
    <w:p>
      <w:pPr>
        <w:pStyle w:val="Compact"/>
        <w:numPr>
          <w:numId w:val="1065"/>
          <w:ilvl w:val="1"/>
        </w:numPr>
      </w:pPr>
      <w:r>
        <w:t xml:space="preserve">Konečná zpráva</w:t>
      </w:r>
    </w:p>
    <w:p>
      <w:pPr>
        <w:pStyle w:val="Compact"/>
        <w:numPr>
          <w:numId w:val="1066"/>
          <w:ilvl w:val="1"/>
        </w:numPr>
      </w:pPr>
      <w:r>
        <w:t xml:space="preserve">Rozvrh</w:t>
      </w:r>
    </w:p>
    <w:p>
      <w:pPr>
        <w:pStyle w:val="Compact"/>
        <w:numPr>
          <w:numId w:val="1067"/>
          <w:ilvl w:val="1"/>
        </w:numPr>
      </w:pPr>
      <w:r>
        <w:t xml:space="preserve">Zrušení konkursu</w:t>
      </w:r>
    </w:p>
    <w:p>
      <w:pPr>
        <w:pStyle w:val="Compact"/>
        <w:numPr>
          <w:numId w:val="1068"/>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69"/>
          <w:ilvl w:val="0"/>
        </w:numPr>
      </w:pPr>
      <w:r>
        <w:t xml:space="preserve">dlužníkem je fyzická osoba, která není podnikatelem, nebo,</w:t>
      </w:r>
    </w:p>
    <w:p>
      <w:pPr>
        <w:pStyle w:val="Compact"/>
        <w:numPr>
          <w:numId w:val="1069"/>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70"/>
          <w:ilvl w:val="0"/>
        </w:numPr>
      </w:pPr>
      <w:r>
        <w:t xml:space="preserve">lze-li se zřetelem ke všem okolnostem důvodně předpokládat, že jím je sledován nepoctivý záměr, nebo</w:t>
      </w:r>
    </w:p>
    <w:p>
      <w:pPr>
        <w:pStyle w:val="Compact"/>
        <w:numPr>
          <w:numId w:val="1070"/>
          <w:ilvl w:val="0"/>
        </w:numPr>
      </w:pPr>
      <w:r>
        <w:t xml:space="preserve">který znovu podala osoba, o jejímž návrhu na povolení reorganizace bylo již dříve rozhodnuto, anebo</w:t>
      </w:r>
    </w:p>
    <w:p>
      <w:pPr>
        <w:pStyle w:val="Compact"/>
        <w:numPr>
          <w:numId w:val="1070"/>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72"/>
          <w:ilvl w:val="1"/>
        </w:numPr>
      </w:pPr>
      <w:r>
        <w:t xml:space="preserve">povolení,</w:t>
      </w:r>
    </w:p>
    <w:p>
      <w:pPr>
        <w:pStyle w:val="Compact"/>
        <w:numPr>
          <w:numId w:val="1073"/>
          <w:ilvl w:val="1"/>
        </w:numPr>
      </w:pPr>
      <w:r>
        <w:t xml:space="preserve">zamítnutí– pokračuje se v insolvenčním řízení,</w:t>
      </w:r>
    </w:p>
    <w:p>
      <w:pPr>
        <w:pStyle w:val="Compact"/>
        <w:numPr>
          <w:numId w:val="1074"/>
          <w:ilvl w:val="1"/>
        </w:numPr>
      </w:pPr>
      <w:r>
        <w:t xml:space="preserve">zpětvzetí návrhu – soud vezme na vědomí a nepokračuje se v reorganizaci – pokračuje se v insolvenčním řízení,</w:t>
      </w:r>
    </w:p>
    <w:p>
      <w:pPr>
        <w:pStyle w:val="Compact"/>
        <w:numPr>
          <w:numId w:val="1075"/>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76"/>
          <w:ilvl w:val="0"/>
        </w:numPr>
      </w:pPr>
      <w:r>
        <w:t xml:space="preserve">banky a spořitelního a úvěrového družstva poté, kdy zanikla licence nebo povolení podle zvláštních právních předpisů upravujících jejich činnosti,</w:t>
      </w:r>
    </w:p>
    <w:p>
      <w:pPr>
        <w:pStyle w:val="Compact"/>
        <w:numPr>
          <w:numId w:val="1076"/>
          <w:ilvl w:val="0"/>
        </w:numPr>
      </w:pPr>
      <w:r>
        <w:t xml:space="preserve">zahraniční banky podnikající na území České republiky na základě jednotné licence podle zvláštního právního předpisu52),</w:t>
      </w:r>
    </w:p>
    <w:p>
      <w:pPr>
        <w:pStyle w:val="Compact"/>
        <w:numPr>
          <w:numId w:val="1076"/>
          <w:ilvl w:val="0"/>
        </w:numPr>
      </w:pPr>
      <w:r>
        <w:t xml:space="preserve">pobočky zahraniční banky jiné než uvedené v písmenu b),</w:t>
      </w:r>
    </w:p>
    <w:p>
      <w:pPr>
        <w:pStyle w:val="Compact"/>
        <w:numPr>
          <w:numId w:val="1076"/>
          <w:ilvl w:val="0"/>
        </w:numPr>
      </w:pPr>
      <w:r>
        <w:t xml:space="preserve">obchodníka s cennými papíry,</w:t>
      </w:r>
    </w:p>
    <w:p>
      <w:pPr>
        <w:pStyle w:val="Compact"/>
        <w:numPr>
          <w:numId w:val="1076"/>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76"/>
          <w:ilvl w:val="0"/>
        </w:numPr>
      </w:pPr>
      <w:r>
        <w:t xml:space="preserve">pobočky zahraničního obchodníka s cennými papíry jiného než uvedeného v písmenu e),</w:t>
      </w:r>
    </w:p>
    <w:p>
      <w:pPr>
        <w:pStyle w:val="Compact"/>
        <w:numPr>
          <w:numId w:val="1076"/>
          <w:ilvl w:val="0"/>
        </w:numPr>
      </w:pPr>
      <w:r>
        <w:t xml:space="preserve">povinných osob podle § 3 písm. b) a c) zákona o ozdravných postupech a řešení krize na finančním trhu,</w:t>
      </w:r>
    </w:p>
    <w:p>
      <w:pPr>
        <w:pStyle w:val="Compact"/>
        <w:numPr>
          <w:numId w:val="1076"/>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77"/>
          <w:ilvl w:val="0"/>
        </w:numPr>
      </w:pPr>
      <w:r>
        <w:t xml:space="preserve">právnickou osobu, která podle zákona není považována za podnikatele a současně nemá dluhy z podnikání, nebo</w:t>
      </w:r>
    </w:p>
    <w:p>
      <w:pPr>
        <w:pStyle w:val="Compact"/>
        <w:numPr>
          <w:numId w:val="1077"/>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78"/>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78"/>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78"/>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79"/>
          <w:ilvl w:val="0"/>
        </w:numPr>
      </w:pPr>
      <w:r>
        <w:t xml:space="preserve">advokát, notář, soudní exekutor, insolvenční správce</w:t>
      </w:r>
    </w:p>
    <w:p>
      <w:pPr>
        <w:pStyle w:val="Compact"/>
        <w:numPr>
          <w:numId w:val="1079"/>
          <w:ilvl w:val="0"/>
        </w:numPr>
      </w:pPr>
      <w:r>
        <w:t xml:space="preserve">akreditovanou osobou - akreditována ministerstvem,</w:t>
      </w:r>
    </w:p>
    <w:p>
      <w:pPr>
        <w:pStyle w:val="Compact"/>
        <w:numPr>
          <w:numId w:val="1079"/>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80"/>
          <w:ilvl w:val="0"/>
        </w:numPr>
      </w:pPr>
      <w:r>
        <w:t xml:space="preserve">že jím je sledován nepoctivý záměr, nebo</w:t>
      </w:r>
    </w:p>
    <w:p>
      <w:pPr>
        <w:pStyle w:val="Compact"/>
        <w:numPr>
          <w:numId w:val="1080"/>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81"/>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81"/>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082"/>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083"/>
          <w:ilvl w:val="0"/>
        </w:numPr>
      </w:pPr>
      <w:r>
        <w:t xml:space="preserve">dlužník splatil nezajištěným věřitelům jejich pohledávky v plné výši,</w:t>
      </w:r>
    </w:p>
    <w:p>
      <w:pPr>
        <w:pStyle w:val="Compact"/>
        <w:numPr>
          <w:numId w:val="1083"/>
          <w:ilvl w:val="0"/>
        </w:numPr>
      </w:pPr>
      <w:r>
        <w:t xml:space="preserve">dlužník v době 3 let od schválení oddlužení splatil nezajištěným věřitelům alespoň 60 % jejich pohledávek,</w:t>
      </w:r>
    </w:p>
    <w:p>
      <w:pPr>
        <w:pStyle w:val="Compact"/>
        <w:numPr>
          <w:numId w:val="1083"/>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085"/>
          <w:ilvl w:val="1"/>
        </w:numPr>
      </w:pPr>
      <w:r>
        <w:t xml:space="preserve">odmítne - odmítnutí insolvenčního návrhu pro vady nebo pro zjevnou bezdůvodnost,</w:t>
      </w:r>
    </w:p>
    <w:p>
      <w:pPr>
        <w:pStyle w:val="Compact"/>
        <w:numPr>
          <w:numId w:val="1086"/>
          <w:ilvl w:val="1"/>
        </w:numPr>
      </w:pPr>
      <w:r>
        <w:t xml:space="preserve">zamítne - Insolvenční soud insolvenční návrh zamítne, nejsou-li splněny zákonem stanovené předpoklady pro vydání rozhodnutí o úpadku,</w:t>
      </w:r>
    </w:p>
    <w:p>
      <w:pPr>
        <w:pStyle w:val="Compact"/>
        <w:numPr>
          <w:numId w:val="1087"/>
          <w:ilvl w:val="1"/>
        </w:numPr>
      </w:pPr>
      <w:r>
        <w:t xml:space="preserve">vezme na vědomí zpětvzetí návrhu dlužníkem,</w:t>
      </w:r>
    </w:p>
    <w:p>
      <w:pPr>
        <w:pStyle w:val="Compact"/>
        <w:numPr>
          <w:numId w:val="1088"/>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089"/>
          <w:ilvl w:val="0"/>
        </w:numPr>
      </w:pPr>
      <w:r>
        <w:t xml:space="preserve">Insolvenční rejstřík je informačním systémem veřejné správy, jehož správcem je Ministerstvo spravedlnosti (dále jen "ministerstvo").</w:t>
      </w:r>
    </w:p>
    <w:p>
      <w:pPr>
        <w:pStyle w:val="Compact"/>
        <w:numPr>
          <w:numId w:val="1089"/>
          <w:ilvl w:val="0"/>
        </w:numPr>
      </w:pPr>
      <w:r>
        <w:t xml:space="preserve">Insolvenční rejstřík obsahuje seznam insolvenčních správců, seznam dlužníků a insolvenční spisy. Pro každého dlužníka se vede jeden insolvenční spis.</w:t>
      </w:r>
    </w:p>
    <w:p>
      <w:pPr>
        <w:pStyle w:val="Compact"/>
        <w:numPr>
          <w:numId w:val="1089"/>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089"/>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090"/>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090"/>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090"/>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090"/>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090"/>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090"/>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090"/>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090"/>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090"/>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090"/>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091"/>
          <w:ilvl w:val="0"/>
        </w:numPr>
      </w:pPr>
      <w:r>
        <w:t xml:space="preserve">úroky, které se staly splatné až po rozhodnutí o úpadku</w:t>
      </w:r>
    </w:p>
    <w:p>
      <w:pPr>
        <w:numPr>
          <w:numId w:val="1091"/>
          <w:ilvl w:val="0"/>
        </w:numPr>
      </w:pPr>
      <w:r>
        <w:t xml:space="preserve">náklady, které účastníkům vznikly účastí v insolvenčním řízení – př. odměna advokáta.</w:t>
      </w:r>
    </w:p>
    <w:p>
      <w:pPr>
        <w:pStyle w:val="Compact"/>
        <w:numPr>
          <w:numId w:val="1091"/>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091"/>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091"/>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091"/>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092"/>
          <w:ilvl w:val="0"/>
        </w:numPr>
      </w:pPr>
      <w:r>
        <w:t xml:space="preserve">Jak lze zjistit, že je obchodní korporace v úpadku? - Insolvenčním testem, compliance -</w:t>
      </w:r>
      <w:r>
        <w:t xml:space="preserve"> </w:t>
      </w:r>
      <w:r>
        <w:rPr>
          <w:b/>
        </w:rPr>
        <w:t xml:space="preserve">Zodpovězeno</w:t>
      </w:r>
    </w:p>
    <w:p>
      <w:pPr>
        <w:pStyle w:val="Compact"/>
        <w:numPr>
          <w:numId w:val="1092"/>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092"/>
          <w:ilvl w:val="0"/>
        </w:numPr>
      </w:pPr>
      <w:r>
        <w:t xml:space="preserve">Jaké znáte úpadkové trestné činy? -</w:t>
      </w:r>
      <w:r>
        <w:t xml:space="preserve"> </w:t>
      </w:r>
      <w:r>
        <w:rPr>
          <w:b/>
        </w:rPr>
        <w:t xml:space="preserve">Zodpovězeno</w:t>
      </w:r>
    </w:p>
    <w:p>
      <w:pPr>
        <w:pStyle w:val="Compact"/>
        <w:numPr>
          <w:numId w:val="1092"/>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092"/>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093"/>
          <w:ilvl w:val="0"/>
        </w:numPr>
      </w:pPr>
      <w:r>
        <w:t xml:space="preserve">§ 6/1 OZ - Každý má povinnost jednat v právním styku poctivě.</w:t>
      </w:r>
    </w:p>
    <w:p>
      <w:pPr>
        <w:pStyle w:val="Compact"/>
        <w:numPr>
          <w:numId w:val="1093"/>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093"/>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095"/>
          <w:ilvl w:val="1"/>
        </w:numPr>
      </w:pPr>
      <w:r>
        <w:t xml:space="preserve">zák. č. 182/2006 Sb., o úpadku a způsobech jeho řešení (insolvenční zákon)</w:t>
      </w:r>
    </w:p>
    <w:p>
      <w:pPr>
        <w:pStyle w:val="Compact"/>
        <w:numPr>
          <w:numId w:val="1094"/>
          <w:ilvl w:val="0"/>
        </w:numPr>
      </w:pPr>
      <w:r>
        <w:t xml:space="preserve">§ 98</w:t>
      </w:r>
    </w:p>
    <w:p>
      <w:pPr>
        <w:pStyle w:val="Compact"/>
        <w:numPr>
          <w:numId w:val="1097"/>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098"/>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099"/>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00"/>
          <w:ilvl w:val="0"/>
        </w:numPr>
      </w:pPr>
      <w:r>
        <w:t xml:space="preserve">§ 99</w:t>
      </w:r>
    </w:p>
    <w:p>
      <w:pPr>
        <w:pStyle w:val="Compact"/>
        <w:numPr>
          <w:numId w:val="1101"/>
          <w:ilvl w:val="1"/>
        </w:numPr>
      </w:pPr>
      <w:r>
        <w:t xml:space="preserve">Osoba, která v rozporu s ustanovením § 98 nepodala insolvenční návrh, odpovídá věřiteli za škodu nebo jinou újmu, kterou způsobí porušením této povinnosti.</w:t>
      </w:r>
    </w:p>
    <w:p>
      <w:pPr>
        <w:pStyle w:val="Compact"/>
        <w:numPr>
          <w:numId w:val="1102"/>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03"/>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00"/>
          <w:ilvl w:val="0"/>
        </w:numPr>
      </w:pPr>
      <w:r>
        <w:t xml:space="preserve">§ 53/1 ZOK (Odměna, vydání odměny)</w:t>
      </w:r>
    </w:p>
    <w:p>
      <w:pPr>
        <w:numPr>
          <w:numId w:val="1100"/>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00"/>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05"/>
          <w:ilvl w:val="1"/>
        </w:numPr>
      </w:pPr>
      <w:r>
        <w:t xml:space="preserve">zák. č. 90/2012 Sb., o obchodních společnostech a družstvech (zákon o obchodních korporacích)</w:t>
      </w:r>
    </w:p>
    <w:p>
      <w:pPr>
        <w:pStyle w:val="Compact"/>
        <w:numPr>
          <w:numId w:val="1104"/>
          <w:ilvl w:val="0"/>
        </w:numPr>
      </w:pPr>
      <w:r>
        <w:t xml:space="preserve">Vyloučení člena statutárního orgánu z výkonu funkce</w:t>
      </w:r>
    </w:p>
    <w:p>
      <w:pPr>
        <w:pStyle w:val="Compact"/>
        <w:numPr>
          <w:numId w:val="1104"/>
          <w:ilvl w:val="0"/>
        </w:numPr>
      </w:pPr>
      <w:r>
        <w:t xml:space="preserve">§ 63</w:t>
      </w:r>
    </w:p>
    <w:p>
      <w:pPr>
        <w:pStyle w:val="Compact"/>
        <w:numPr>
          <w:numId w:val="1107"/>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08"/>
          <w:ilvl w:val="2"/>
        </w:numPr>
      </w:pPr>
      <w:r>
        <w:t xml:space="preserve">Soud rozhodne i bez návrhu o vyloučení člena statutárního orgánu, jestliže byla tomuto členovi statutárního orgánu uložena povinnost podle § 66 odst. 1.</w:t>
      </w:r>
    </w:p>
    <w:p>
      <w:pPr>
        <w:pStyle w:val="Compact"/>
        <w:numPr>
          <w:numId w:val="1109"/>
          <w:ilvl w:val="2"/>
        </w:numPr>
      </w:pPr>
      <w:r>
        <w:t xml:space="preserve">Návrh na vydání rozhodnutí o vyloučení člena statutárního orgánu může podat každý, kdo na něm má důležitý zájem.</w:t>
      </w:r>
    </w:p>
    <w:p>
      <w:pPr>
        <w:pStyle w:val="Compact"/>
        <w:numPr>
          <w:numId w:val="1104"/>
          <w:ilvl w:val="0"/>
        </w:numPr>
      </w:pPr>
      <w:r>
        <w:t xml:space="preserve">§ 66 odst. 1</w:t>
      </w:r>
    </w:p>
    <w:p>
      <w:pPr>
        <w:pStyle w:val="Compact"/>
        <w:numPr>
          <w:numId w:val="1104"/>
          <w:ilvl w:val="0"/>
        </w:numPr>
      </w:pPr>
      <w:r>
        <w:t xml:space="preserve">Zvláštní povinnosti při úpadku obchodní korporace</w:t>
      </w:r>
    </w:p>
    <w:p>
      <w:pPr>
        <w:pStyle w:val="Compact"/>
        <w:numPr>
          <w:numId w:val="1111"/>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12"/>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13"/>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04"/>
          <w:ilvl w:val="0"/>
        </w:numPr>
      </w:pPr>
      <w:r>
        <w:t xml:space="preserve">§ 66 odst. 2, 3 ZOK</w:t>
      </w:r>
    </w:p>
    <w:p>
      <w:pPr>
        <w:pStyle w:val="Compact"/>
        <w:numPr>
          <w:numId w:val="1115"/>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16"/>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04"/>
          <w:ilvl w:val="0"/>
        </w:numPr>
      </w:pPr>
      <w:r>
        <w:t xml:space="preserve">§ 64</w:t>
      </w:r>
    </w:p>
    <w:p>
      <w:pPr>
        <w:pStyle w:val="Compact"/>
        <w:numPr>
          <w:numId w:val="1118"/>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19"/>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04"/>
          <w:ilvl w:val="0"/>
        </w:numPr>
      </w:pPr>
      <w:r>
        <w:t xml:space="preserve">§ 65</w:t>
      </w:r>
    </w:p>
    <w:p>
      <w:pPr>
        <w:pStyle w:val="Compact"/>
        <w:numPr>
          <w:numId w:val="1120"/>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21"/>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22"/>
          <w:ilvl w:val="0"/>
        </w:numPr>
      </w:pPr>
      <w:r>
        <w:t xml:space="preserve">Je řešena v rámci Trestního zákoníku 40/2009 Sb..</w:t>
      </w:r>
    </w:p>
    <w:p>
      <w:pPr>
        <w:pStyle w:val="FirstParagraph"/>
      </w:pPr>
      <w:r>
        <w:t xml:space="preserve">Trestní delikty:</w:t>
      </w:r>
    </w:p>
    <w:p>
      <w:pPr>
        <w:pStyle w:val="Compact"/>
        <w:numPr>
          <w:numId w:val="1123"/>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23"/>
          <w:ilvl w:val="0"/>
        </w:numPr>
      </w:pPr>
      <w:r>
        <w:t xml:space="preserve">zvýhodnění věřitele - zvýhodní jednoho věřitele a tím poškodí jiného - odnětí svobody na 1 léto, nebo zákaz činnosti,</w:t>
      </w:r>
    </w:p>
    <w:p>
      <w:pPr>
        <w:pStyle w:val="Compact"/>
        <w:numPr>
          <w:numId w:val="1123"/>
          <w:ilvl w:val="0"/>
        </w:numPr>
      </w:pPr>
      <w:r>
        <w:t xml:space="preserve">způsobení úpadku - kdo činí tak, že si tím přivodí úpadek - odnětí svobody na 1 léto, nebo zákaz činnosti,</w:t>
      </w:r>
    </w:p>
    <w:p>
      <w:pPr>
        <w:pStyle w:val="Compact"/>
        <w:numPr>
          <w:numId w:val="1123"/>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23"/>
          <w:ilvl w:val="0"/>
        </w:numPr>
      </w:pPr>
      <w:r>
        <w:t xml:space="preserve">pletichy v insolvenčním řízení - věřitel, úplatkářství v souvislosti s hlasováním věřitelů - odnětí svobody až na 1 rok, nebo zákaz činnosti,</w:t>
      </w:r>
    </w:p>
    <w:p>
      <w:pPr>
        <w:pStyle w:val="Compact"/>
        <w:numPr>
          <w:numId w:val="1123"/>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24"/>
          <w:ilvl w:val="0"/>
        </w:numPr>
      </w:pPr>
      <w:r>
        <w:t xml:space="preserve">definice,</w:t>
      </w:r>
    </w:p>
    <w:p>
      <w:pPr>
        <w:pStyle w:val="Compact"/>
        <w:numPr>
          <w:numId w:val="1124"/>
          <w:ilvl w:val="0"/>
        </w:numPr>
      </w:pPr>
      <w:r>
        <w:t xml:space="preserve">cíle,</w:t>
      </w:r>
    </w:p>
    <w:p>
      <w:pPr>
        <w:pStyle w:val="Compact"/>
        <w:numPr>
          <w:numId w:val="1124"/>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25"/>
          <w:ilvl w:val="0"/>
        </w:numPr>
      </w:pPr>
      <w:r>
        <w:t xml:space="preserve">Jaké znáte věřitelské orgány? - Schůze, Výbor, Zástupce -</w:t>
      </w:r>
      <w:r>
        <w:t xml:space="preserve"> </w:t>
      </w:r>
      <w:r>
        <w:rPr>
          <w:b/>
        </w:rPr>
        <w:t xml:space="preserve">Zodpovězeno</w:t>
      </w:r>
    </w:p>
    <w:p>
      <w:pPr>
        <w:pStyle w:val="Compact"/>
        <w:numPr>
          <w:numId w:val="1125"/>
          <w:ilvl w:val="0"/>
        </w:numPr>
      </w:pPr>
      <w:r>
        <w:t xml:space="preserve">Kdo svolává schůzi věřitelů?</w:t>
      </w:r>
    </w:p>
    <w:p>
      <w:pPr>
        <w:pStyle w:val="Compact"/>
        <w:numPr>
          <w:numId w:val="1125"/>
          <w:ilvl w:val="0"/>
        </w:numPr>
      </w:pPr>
      <w:r>
        <w:t xml:space="preserve">Je možné hlasovat na schůzi věřitelů písemně?</w:t>
      </w:r>
    </w:p>
    <w:p>
      <w:pPr>
        <w:pStyle w:val="Compact"/>
        <w:numPr>
          <w:numId w:val="1125"/>
          <w:ilvl w:val="0"/>
        </w:numPr>
      </w:pPr>
      <w:r>
        <w:t xml:space="preserve">V jakých případech může hlasovat na schůzi věřitelů věřitel, který s dlužníkem tvoří koncern?</w:t>
      </w:r>
    </w:p>
    <w:p>
      <w:pPr>
        <w:pStyle w:val="Compact"/>
        <w:numPr>
          <w:numId w:val="1125"/>
          <w:ilvl w:val="0"/>
        </w:numPr>
      </w:pPr>
      <w:r>
        <w:t xml:space="preserve">Jakým způsobem se zveřejnuje oznámení o svolání schůze věřitelů?</w:t>
      </w:r>
    </w:p>
    <w:p>
      <w:pPr>
        <w:pStyle w:val="Heading2"/>
      </w:pPr>
      <w:bookmarkStart w:id="78" w:name="osoba-s-dispozičním-oprávněním"/>
      <w:bookmarkEnd w:id="78"/>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pStyle w:val="Compact"/>
        <w:numPr>
          <w:numId w:val="1126"/>
          <w:ilvl w:val="0"/>
        </w:numPr>
      </w:pPr>
      <w:r>
        <w:t xml:space="preserve">Věřitelský výbor zejména uděluje insolvenčnímu správci nebo dlužníku s dispozičními oprávněními souhlas k uzavírání smluv o úvěrovém financování.</w:t>
      </w:r>
    </w:p>
    <w:p>
      <w:pPr>
        <w:pStyle w:val="FirstParagraph"/>
      </w:pPr>
      <w:r>
        <w:t xml:space="preserve">§ 229</w:t>
      </w:r>
    </w:p>
    <w:p>
      <w:pPr>
        <w:pStyle w:val="Compact"/>
        <w:numPr>
          <w:numId w:val="1128"/>
          <w:ilvl w:val="1"/>
        </w:numPr>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pStyle w:val="Compact"/>
        <w:numPr>
          <w:numId w:val="1129"/>
          <w:ilvl w:val="1"/>
        </w:numPr>
      </w:pPr>
      <w:r>
        <w:t xml:space="preserve">Je-li majetek náležející do majetkové podstaty ve vlastnictví jiné osoby než dlužníka, lze právo této osoby s takovým majetkem nakládat omezit jen zákonem nebo rozhodnutím insolvenčního soudu.</w:t>
      </w:r>
    </w:p>
    <w:p>
      <w:pPr>
        <w:pStyle w:val="Compact"/>
        <w:numPr>
          <w:numId w:val="1130"/>
          <w:ilvl w:val="1"/>
        </w:numPr>
      </w:pPr>
      <w:r>
        <w:t xml:space="preserve">Nestanoví-li tento zákon jinak, je ve vztahu k majetkové podstatě osobou s dispozičními oprávněními</w:t>
      </w:r>
    </w:p>
    <w:p>
      <w:pPr>
        <w:pStyle w:val="Compact"/>
        <w:numPr>
          <w:numId w:val="1131"/>
          <w:ilvl w:val="1"/>
        </w:numPr>
      </w:pPr>
      <w:r>
        <w:t xml:space="preserve">dlužník v době do rozhodnutí o úpadku,</w:t>
      </w:r>
    </w:p>
    <w:p>
      <w:pPr>
        <w:pStyle w:val="Compact"/>
        <w:numPr>
          <w:numId w:val="1132"/>
          <w:ilvl w:val="1"/>
        </w:numPr>
      </w:pPr>
      <w:r>
        <w:t xml:space="preserve">dlužník v době od rozhodnutí o úpadku do rozhodnutí o způsobu řešení úpadku,</w:t>
      </w:r>
    </w:p>
    <w:p>
      <w:pPr>
        <w:pStyle w:val="Compact"/>
        <w:numPr>
          <w:numId w:val="1133"/>
          <w:ilvl w:val="1"/>
        </w:numPr>
      </w:pPr>
      <w:r>
        <w:t xml:space="preserve">insolvenční správce v době od prohlášení konkursu,</w:t>
      </w:r>
    </w:p>
    <w:p>
      <w:pPr>
        <w:pStyle w:val="Compact"/>
        <w:numPr>
          <w:numId w:val="1134"/>
          <w:ilvl w:val="1"/>
        </w:numPr>
      </w:pPr>
      <w:r>
        <w:t xml:space="preserve">dlužník v době od povolení reorganizace a</w:t>
      </w:r>
    </w:p>
    <w:p>
      <w:pPr>
        <w:pStyle w:val="Compact"/>
        <w:numPr>
          <w:numId w:val="1135"/>
          <w:ilvl w:val="1"/>
        </w:numPr>
      </w:pPr>
      <w:r>
        <w:t xml:space="preserve">dlužník v době od povolení oddlužení.</w:t>
      </w:r>
    </w:p>
    <w:p>
      <w:pPr>
        <w:pStyle w:val="Compact"/>
        <w:numPr>
          <w:numId w:val="1136"/>
          <w:ilvl w:val="1"/>
        </w:numPr>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pStyle w:val="Compact"/>
        <w:numPr>
          <w:numId w:val="1137"/>
          <w:ilvl w:val="1"/>
        </w:numPr>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pStyle w:val="Compact"/>
        <w:numPr>
          <w:numId w:val="1139"/>
          <w:ilvl w:val="1"/>
        </w:numPr>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t xml:space="preserve">§ 112</w:t>
      </w:r>
    </w:p>
    <w:p>
      <w:pPr>
        <w:pStyle w:val="Compact"/>
        <w:numPr>
          <w:numId w:val="1141"/>
          <w:ilvl w:val="1"/>
        </w:numPr>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p>
      <w:pPr>
        <w:pStyle w:val="Heading2"/>
      </w:pPr>
      <w:bookmarkStart w:id="79" w:name="insolvenční-správce"/>
      <w:bookmarkEnd w:id="79"/>
      <w:r>
        <w:t xml:space="preserve">Insolvenční správce</w:t>
      </w:r>
    </w:p>
    <w:p>
      <w:pPr>
        <w:pStyle w:val="Compact"/>
        <w:numPr>
          <w:numId w:val="1142"/>
          <w:ilvl w:val="0"/>
        </w:numPr>
      </w:pPr>
      <w:r>
        <w:t xml:space="preserve">Insolvenční správce – právní úprava postavení insolvenčního správce v zákoně č. 312/2006 Sb. o insolvenčních správcích.</w:t>
      </w:r>
    </w:p>
    <w:p>
      <w:pPr>
        <w:pStyle w:val="FirstParagraph"/>
      </w:pPr>
      <w:r>
        <w:t xml:space="preserve">Insolvenčním správcem je:</w:t>
      </w:r>
    </w:p>
    <w:p>
      <w:pPr>
        <w:pStyle w:val="Compact"/>
        <w:numPr>
          <w:numId w:val="1144"/>
          <w:ilvl w:val="1"/>
        </w:numPr>
      </w:pPr>
      <w:r>
        <w:t xml:space="preserve">fyzická osoba, která je oprávněna vykonávat činnost insolvenčního správce.</w:t>
      </w:r>
    </w:p>
    <w:p>
      <w:pPr>
        <w:pStyle w:val="Compact"/>
        <w:numPr>
          <w:numId w:val="1145"/>
          <w:ilvl w:val="1"/>
        </w:numPr>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Heading3"/>
      </w:pPr>
      <w:bookmarkStart w:id="80" w:name="povolení-k-výkonu-funkce-insolvenčního-správce-není-důležité-pro-tuto-zkoušku"/>
      <w:bookmarkEnd w:id="80"/>
      <w:r>
        <w:t xml:space="preserve">Povolení k výkonu funkce insolvenčního správce (není důležité pro tuto zkoušku):</w:t>
      </w:r>
    </w:p>
    <w:p>
      <w:pPr>
        <w:pStyle w:val="Compact"/>
        <w:numPr>
          <w:numId w:val="1147"/>
          <w:ilvl w:val="1"/>
        </w:numPr>
      </w:pPr>
      <w:r>
        <w:t xml:space="preserve">zák. č. 182/2006 Sb., o úpadku a způsobech jeho řešení (insolvenční zákon)</w:t>
      </w:r>
    </w:p>
    <w:p>
      <w:pPr>
        <w:pStyle w:val="Compact"/>
        <w:numPr>
          <w:numId w:val="1146"/>
          <w:ilvl w:val="0"/>
        </w:numPr>
      </w:pPr>
      <w:r>
        <w:t xml:space="preserve">Věřitelské orgány</w:t>
      </w:r>
    </w:p>
    <w:p>
      <w:pPr>
        <w:pStyle w:val="Compact"/>
        <w:numPr>
          <w:numId w:val="1146"/>
          <w:ilvl w:val="0"/>
        </w:numPr>
      </w:pPr>
      <w:r>
        <w:t xml:space="preserve">§ 46</w:t>
      </w:r>
    </w:p>
    <w:p>
      <w:pPr>
        <w:pStyle w:val="Compact"/>
        <w:numPr>
          <w:numId w:val="1148"/>
          <w:ilvl w:val="1"/>
        </w:numPr>
      </w:pPr>
      <w:r>
        <w:t xml:space="preserve">Schůze věřitelů, věřitelský výbor a zástupce věřitelů</w:t>
      </w:r>
    </w:p>
    <w:p>
      <w:pPr>
        <w:pStyle w:val="Compact"/>
        <w:numPr>
          <w:numId w:val="1149"/>
          <w:ilvl w:val="2"/>
        </w:numPr>
      </w:pPr>
      <w:r>
        <w:t xml:space="preserve">Věřitelskými orgány jsou schůze věřitelů a věřitelský výbor nebo zástupce věřitelů.</w:t>
      </w:r>
    </w:p>
    <w:p>
      <w:pPr>
        <w:pStyle w:val="Compact"/>
        <w:numPr>
          <w:numId w:val="1150"/>
          <w:ilvl w:val="2"/>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pStyle w:val="Compact"/>
        <w:numPr>
          <w:numId w:val="1151"/>
          <w:ilvl w:val="2"/>
        </w:numPr>
      </w:pPr>
      <w:r>
        <w:t xml:space="preserve">Věřitelský výbor vykonává působnost věřitelských orgánů s výjimkou věcí, které patří do působnosti schůze věřitelů nebo které si schůze věřitelů vyhradila.</w:t>
      </w:r>
    </w:p>
    <w:p>
      <w:pPr>
        <w:pStyle w:val="Compact"/>
        <w:numPr>
          <w:numId w:val="1146"/>
          <w:ilvl w:val="0"/>
        </w:numPr>
      </w:pPr>
      <w:r>
        <w:t xml:space="preserve">§ 210</w:t>
      </w:r>
    </w:p>
    <w:p>
      <w:pPr>
        <w:pStyle w:val="Compact"/>
        <w:numPr>
          <w:numId w:val="1153"/>
          <w:ilvl w:val="2"/>
        </w:numPr>
      </w:pPr>
      <w:r>
        <w:t xml:space="preserve">Dlužník je povinen poskytnout insolvenčnímu správci nebo předběžnému správci při zjišťování majetkové podstaty všestrannou součinnost, zejména dbát pokynů insolvenčního správce nebo</w:t>
      </w:r>
      <w:r>
        <w:t xml:space="preserve"> </w:t>
      </w:r>
      <w:r>
        <w:rPr>
          <w:b/>
        </w:rPr>
        <w:t xml:space="preserve">předběžného správce</w:t>
      </w:r>
      <w:r>
        <w:t xml:space="preserve"> </w:t>
      </w:r>
      <w:r>
        <w:t xml:space="preserve">- předběžný správce je .</w:t>
      </w:r>
    </w:p>
    <w:p>
      <w:pPr>
        <w:pStyle w:val="Compact"/>
        <w:numPr>
          <w:numId w:val="1154"/>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55"/>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56"/>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Heading1"/>
      </w:pPr>
      <w:bookmarkStart w:id="81" w:name="otázka-5"/>
      <w:bookmarkEnd w:id="81"/>
      <w:r>
        <w:t xml:space="preserve">Otázka 5</w:t>
      </w:r>
    </w:p>
    <w:p>
      <w:pPr>
        <w:pStyle w:val="BlockText"/>
      </w:pPr>
      <w:r>
        <w:t xml:space="preserve">Oprávnění a součinnost orgánů dlužníka a insolvenčního správce v</w:t>
      </w:r>
      <w:r>
        <w:br w:type="textWrapping"/>
      </w:r>
      <w:r>
        <w:t xml:space="preserve">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57"/>
          <w:ilvl w:val="0"/>
        </w:numPr>
      </w:pPr>
      <w:r>
        <w:t xml:space="preserve">V jakém rozsahu je povinen dlužník poskytnout součinnost insolvenčnímu správci?</w:t>
      </w:r>
    </w:p>
    <w:p>
      <w:pPr>
        <w:pStyle w:val="Compact"/>
        <w:numPr>
          <w:numId w:val="1157"/>
          <w:ilvl w:val="0"/>
        </w:numPr>
      </w:pPr>
      <w:r>
        <w:t xml:space="preserve">V jakém rozsahu je povinen insolvenční správce poskytovat součinnost insolvenčnímu soudu v průběhu konkursu?</w:t>
      </w:r>
    </w:p>
    <w:p>
      <w:pPr>
        <w:pStyle w:val="Compact"/>
        <w:numPr>
          <w:numId w:val="1157"/>
          <w:ilvl w:val="0"/>
        </w:numPr>
      </w:pPr>
      <w:r>
        <w:t xml:space="preserve">Jaké následky může mít porušení povinnosti k součinnosti pro orgány dlužníka, resp. jejich členy?</w:t>
      </w:r>
    </w:p>
    <w:p>
      <w:pPr>
        <w:pStyle w:val="Compact"/>
        <w:numPr>
          <w:numId w:val="1157"/>
          <w:ilvl w:val="0"/>
        </w:numPr>
      </w:pPr>
      <w:r>
        <w:t xml:space="preserve">Jaké následky může mít porušení povinnosti k součinnosti pro insolvenčního správce?</w:t>
      </w:r>
    </w:p>
    <w:p>
      <w:pPr>
        <w:pStyle w:val="Compact"/>
        <w:numPr>
          <w:numId w:val="1157"/>
          <w:ilvl w:val="0"/>
        </w:numPr>
      </w:pPr>
      <w:r>
        <w:t xml:space="preserve">Které orgány dlužníka mají povinnost poskytovat součinnost insolvenčnímu správci v průběhu konkursu?</w:t>
      </w:r>
    </w:p>
    <w:p>
      <w:pPr>
        <w:pStyle w:val="Heading2"/>
      </w:pPr>
      <w:bookmarkStart w:id="82" w:name="oprávnění-a-součinnost"/>
      <w:bookmarkEnd w:id="82"/>
      <w:r>
        <w:t xml:space="preserve">Oprávnění a součinnost</w:t>
      </w:r>
    </w:p>
    <w:p>
      <w:pPr>
        <w:pStyle w:val="Compact"/>
        <w:numPr>
          <w:numId w:val="1158"/>
          <w:ilvl w:val="0"/>
        </w:numPr>
      </w:pPr>
      <w:r>
        <w:t xml:space="preserve">zák. č. 182/2006 Sb., o úpadku a způsobech jeho řešení (insolvenční zákon)</w:t>
      </w:r>
      <w:r>
        <w:br w:type="textWrapping"/>
      </w:r>
      <w:r>
        <w:t xml:space="preserve">§ 212</w:t>
      </w:r>
    </w:p>
    <w:p>
      <w:pPr>
        <w:pStyle w:val="Compact"/>
        <w:numPr>
          <w:numId w:val="1159"/>
          <w:ilvl w:val="0"/>
        </w:numPr>
      </w:pPr>
      <w:r>
        <w:t xml:space="preserve">Dlužník musí umožnit insolvenčnímu správci přístup na všechna místa, kde má umístěn majetek</w:t>
      </w:r>
      <w:r>
        <w:br w:type="textWrapping"/>
      </w:r>
      <w:r>
        <w:t xml:space="preserve">náležející do majetkové podstaty.</w:t>
      </w:r>
    </w:p>
    <w:p>
      <w:pPr>
        <w:pStyle w:val="Compact"/>
        <w:numPr>
          <w:numId w:val="1159"/>
          <w:ilvl w:val="0"/>
        </w:numPr>
      </w:pPr>
      <w:r>
        <w:t xml:space="preserve">Je-li to potřebné, zejména neposkytuje-li dlužník insolvenčnímu správci součinnost potřebnou ke</w:t>
      </w:r>
      <w:r>
        <w:br w:type="textWrapping"/>
      </w:r>
      <w:r>
        <w:t xml:space="preserve">zjištění a zajištění majetkové podstaty, může insolvenční soud na návrh insolvenčního správce nařídit</w:t>
      </w:r>
      <w:r>
        <w:br w:type="textWrapping"/>
      </w:r>
      <w:r>
        <w:t xml:space="preserve">prohlídku bytu, sídla a jiných místností dlužníka, jakož i jeho skříní nebo jiných schránek v nich</w:t>
      </w:r>
      <w:r>
        <w:br w:type="textWrapping"/>
      </w:r>
      <w:r>
        <w:t xml:space="preserve">umístěných, kde má dlužník svůj majetek; za tím účelem je insolvenční správce oprávněn zjednat si do</w:t>
      </w:r>
      <w:r>
        <w:br w:type="textWrapping"/>
      </w:r>
      <w:r>
        <w:t xml:space="preserve">bytu nebo do jiné místnosti dlužníka přístup, popřípadě uzavřené skříně nebo jiné schránky otevřít.</w:t>
      </w:r>
    </w:p>
    <w:p>
      <w:pPr>
        <w:pStyle w:val="Heading1"/>
      </w:pPr>
      <w:bookmarkStart w:id="83" w:name="otázka-6"/>
      <w:bookmarkEnd w:id="83"/>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160"/>
          <w:ilvl w:val="0"/>
        </w:numPr>
      </w:pPr>
      <w:r>
        <w:t xml:space="preserve">Jaká oprávnění mají orgány dlužníka v oddlužení a reorganizaci?</w:t>
      </w:r>
    </w:p>
    <w:p>
      <w:pPr>
        <w:pStyle w:val="Compact"/>
        <w:numPr>
          <w:numId w:val="1160"/>
          <w:ilvl w:val="0"/>
        </w:numPr>
      </w:pPr>
      <w:r>
        <w:t xml:space="preserve">V jakém rozsahu mají stanovenou povinnost součinnosti orgány dlužníka v oddlužení a v reorganizaci?</w:t>
      </w:r>
    </w:p>
    <w:p>
      <w:pPr>
        <w:pStyle w:val="Compact"/>
        <w:numPr>
          <w:numId w:val="1160"/>
          <w:ilvl w:val="0"/>
        </w:numPr>
      </w:pPr>
      <w:r>
        <w:t xml:space="preserve">Jaká oprávnění má insolvenční správce v oddlužení a reorganizaci?</w:t>
      </w:r>
    </w:p>
    <w:p>
      <w:pPr>
        <w:pStyle w:val="Compact"/>
        <w:numPr>
          <w:numId w:val="1160"/>
          <w:ilvl w:val="0"/>
        </w:numPr>
      </w:pPr>
      <w:r>
        <w:t xml:space="preserve">V jakém rozsahu má povinnost součinnosti insolvenční správce v oddlužení a reorganizaci?</w:t>
      </w:r>
    </w:p>
    <w:p>
      <w:pPr>
        <w:pStyle w:val="Compact"/>
        <w:numPr>
          <w:numId w:val="1160"/>
          <w:ilvl w:val="0"/>
        </w:numPr>
      </w:pPr>
      <w:r>
        <w:t xml:space="preserve">Jaké následky má porušení povinnosti orgánů dlužníka v průběhu oddlužení a reorganizace?</w:t>
      </w:r>
    </w:p>
    <w:p>
      <w:pPr>
        <w:pStyle w:val="Heading2"/>
      </w:pPr>
      <w:bookmarkStart w:id="84" w:name="oprávnění-a-součinnosti"/>
      <w:bookmarkEnd w:id="84"/>
      <w:r>
        <w:t xml:space="preserve">Oprávnění a součinnosti:</w:t>
      </w:r>
    </w:p>
    <w:p>
      <w:pPr>
        <w:pStyle w:val="Compact"/>
        <w:numPr>
          <w:numId w:val="1161"/>
          <w:ilvl w:val="0"/>
        </w:numPr>
      </w:pPr>
      <w:r>
        <w:t xml:space="preserve">zák. č. 182/2006 Sb., o úpadku a způsobech jeho řešení (insolvenční zákon)</w:t>
      </w:r>
      <w:r>
        <w:br w:type="textWrapping"/>
      </w:r>
      <w:r>
        <w:t xml:space="preserve">§ 210</w:t>
      </w:r>
    </w:p>
    <w:p>
      <w:pPr>
        <w:pStyle w:val="Compact"/>
        <w:numPr>
          <w:numId w:val="1162"/>
          <w:ilvl w:val="0"/>
        </w:numPr>
      </w:pPr>
      <w:r>
        <w:t xml:space="preserve">Dlužník je povinen poskytnout insolvenčnímu správci nebo předběžnému správci při zjišťování</w:t>
      </w:r>
      <w:r>
        <w:br w:type="textWrapping"/>
      </w:r>
      <w:r>
        <w:t xml:space="preserve">majetkové podstaty všestrannou součinnost, zejména dbát pokynů insolvenčního správce nebo</w:t>
      </w:r>
      <w:r>
        <w:br w:type="textWrapping"/>
      </w:r>
      <w:r>
        <w:t xml:space="preserve">předběžného správce.</w:t>
      </w:r>
    </w:p>
    <w:p>
      <w:pPr>
        <w:pStyle w:val="Compact"/>
        <w:numPr>
          <w:numId w:val="1162"/>
          <w:ilvl w:val="0"/>
        </w:numPr>
      </w:pPr>
      <w:r>
        <w:t xml:space="preserve">Je-li dlužníkem právnická osoba, mají povinnosti podle odstavce 1 její statutární orgány a jejich</w:t>
      </w:r>
      <w:r>
        <w:br w:type="textWrapping"/>
      </w:r>
      <w:r>
        <w:t xml:space="preserve">členové nebo likvidátor, jde-li o právnickou osobu v likvidaci. Jestliže postavení statutárního orgánu</w:t>
      </w:r>
      <w:r>
        <w:br w:type="textWrapping"/>
      </w:r>
      <w:r>
        <w:t xml:space="preserve">má více osob oprávněných jednat samostatně, lze splnění těchto povinností požadovat od kterékoli z</w:t>
      </w:r>
      <w:r>
        <w:br w:type="textWrapping"/>
      </w:r>
      <w:r>
        <w:t xml:space="preserve">nich. Uvedené osoby mají tuto povinnost i v případě, že jejich postavení zaniklo v posledních 3</w:t>
      </w:r>
      <w:r>
        <w:br w:type="textWrapping"/>
      </w:r>
      <w:r>
        <w:t xml:space="preserve">měsících před zahájením insolvenčního řízení.</w:t>
      </w:r>
    </w:p>
    <w:p>
      <w:pPr>
        <w:pStyle w:val="Compact"/>
        <w:numPr>
          <w:numId w:val="1162"/>
          <w:ilvl w:val="0"/>
        </w:numPr>
      </w:pPr>
      <w:r>
        <w:t xml:space="preserve">Insolvenční soud může vyžadovat splnění povinností podle odstavců 1 a 2 také od osob, které jsou</w:t>
      </w:r>
      <w:r>
        <w:br w:type="textWrapping"/>
      </w:r>
      <w:r>
        <w:t xml:space="preserve">společníky, zaměstnanci nebo členy právnické osoby, a to v rozsahu jejich oprávnění jednat za</w:t>
      </w:r>
      <w:r>
        <w:br w:type="textWrapping"/>
      </w:r>
      <w:r>
        <w:t xml:space="preserve">právnickou osobu.</w:t>
      </w:r>
    </w:p>
    <w:p>
      <w:pPr>
        <w:pStyle w:val="Compact"/>
        <w:numPr>
          <w:numId w:val="1162"/>
          <w:ilvl w:val="0"/>
        </w:numPr>
      </w:pPr>
      <w:r>
        <w:t xml:space="preserve">Je-li dlužníkem fyzická osoba, mají povinnosti podle odstavců 1 a 2 i její zákonní zástupci; má-li</w:t>
      </w:r>
      <w:r>
        <w:br w:type="textWrapping"/>
      </w:r>
      <w:r>
        <w:t xml:space="preserve">fyzická osoba více zákonných zástupců oprávněných jednat jejím jménem samostatně, může</w:t>
      </w:r>
      <w:r>
        <w:br w:type="textWrapping"/>
      </w:r>
      <w:r>
        <w:t xml:space="preserve">insolvenční soud vyžadovat splnění těchto povinností od každého z nich.</w:t>
      </w:r>
      <w:r>
        <w:br w:type="textWrapping"/>
      </w:r>
      <w:r>
        <w:t xml:space="preserve">§ 211</w:t>
      </w:r>
    </w:p>
    <w:p>
      <w:pPr>
        <w:pStyle w:val="Compact"/>
        <w:numPr>
          <w:numId w:val="1162"/>
          <w:ilvl w:val="0"/>
        </w:numPr>
      </w:pPr>
      <w:r>
        <w:t xml:space="preserve">Východiskem zjišťování majetkové podstaty je seznam majetku, který je dlužník povinen předložit</w:t>
      </w:r>
      <w:r>
        <w:br w:type="textWrapping"/>
      </w:r>
      <w:r>
        <w:t xml:space="preserve">současně s insolvenčním návrhem, případně na základě rozhodnutí insolvenčního soudu.</w:t>
      </w:r>
    </w:p>
    <w:p>
      <w:pPr>
        <w:pStyle w:val="Compact"/>
        <w:numPr>
          <w:numId w:val="1162"/>
          <w:ilvl w:val="0"/>
        </w:numPr>
      </w:pPr>
      <w:r>
        <w:t xml:space="preserve">Insolvenční správce nebo předběžný správce provede vlastní šetření o tom, zda do majetkové</w:t>
      </w:r>
      <w:r>
        <w:br w:type="textWrapping"/>
      </w:r>
      <w:r>
        <w:t xml:space="preserve">podstaty nepatří i jiné věci, práva, pohledávky a majetkové hodnoty než ty, které dlužník uvedl v</w:t>
      </w:r>
      <w:r>
        <w:br w:type="textWrapping"/>
      </w:r>
      <w:r>
        <w:t xml:space="preserve">seznamu majetku. Potřebnou součinnost mu jsou povinny poskytnout také věřitelské orgány.</w:t>
      </w:r>
    </w:p>
    <w:p>
      <w:pPr>
        <w:pStyle w:val="Compact"/>
        <w:numPr>
          <w:numId w:val="1162"/>
          <w:ilvl w:val="0"/>
        </w:numPr>
      </w:pPr>
      <w:r>
        <w:t xml:space="preserve">Nemůže-li insolvenční správce nebo předběžný správce dosáhnout úplného zjištění majetkové</w:t>
      </w:r>
      <w:r>
        <w:br w:type="textWrapping"/>
      </w:r>
      <w:r>
        <w:t xml:space="preserve">podstaty proto, že mu nebyla poskytnuta požadovaná součinnost, oznámí to insolvenčnímu soudu a</w:t>
      </w:r>
      <w:r>
        <w:br w:type="textWrapping"/>
      </w:r>
      <w:r>
        <w:t xml:space="preserve">navrhne mu přijetí příslušného opatření.</w:t>
      </w:r>
      <w:r>
        <w:br w:type="textWrapping"/>
      </w:r>
      <w:r>
        <w:t xml:space="preserve">§ 212</w:t>
      </w:r>
    </w:p>
    <w:p>
      <w:pPr>
        <w:pStyle w:val="Compact"/>
        <w:numPr>
          <w:numId w:val="1162"/>
          <w:ilvl w:val="0"/>
        </w:numPr>
      </w:pPr>
      <w:r>
        <w:t xml:space="preserve">Dlužník musí umožnit insolvenčnímu správci přístup na všechna místa, kde má umístěn majetek</w:t>
      </w:r>
      <w:r>
        <w:br w:type="textWrapping"/>
      </w:r>
      <w:r>
        <w:t xml:space="preserve">náležející do majetkové podstaty.</w:t>
      </w:r>
    </w:p>
    <w:p>
      <w:pPr>
        <w:pStyle w:val="Compact"/>
        <w:numPr>
          <w:numId w:val="1162"/>
          <w:ilvl w:val="0"/>
        </w:numPr>
      </w:pPr>
      <w:r>
        <w:t xml:space="preserve">Je-li to potřebné, zejména neposkytuje-li dlužník insolvenčnímu správci součinnost potřebnou ke</w:t>
      </w:r>
      <w:r>
        <w:br w:type="textWrapping"/>
      </w:r>
      <w:r>
        <w:t xml:space="preserve">zjištění a zajištění majetkové podstaty, může insolvenční soud na návrh insolvenčního správce nařídit</w:t>
      </w:r>
      <w:r>
        <w:br w:type="textWrapping"/>
      </w:r>
      <w:r>
        <w:t xml:space="preserve">prohlídku bytu, sídla a jiných místností dlužníka, jakož i jeho skříní nebo jiných schránek v nich</w:t>
      </w:r>
      <w:r>
        <w:br w:type="textWrapping"/>
      </w:r>
      <w:r>
        <w:t xml:space="preserve">umístěných, kde má dlužník svůj majetek; za tím účelem je insolvenční správce oprávněn zjednat si do</w:t>
      </w:r>
      <w:r>
        <w:br w:type="textWrapping"/>
      </w:r>
      <w:r>
        <w:t xml:space="preserve">bytu nebo do jiné místnosti dlužníka přístup, popřípadě uzavřené skříně nebo jiné schránky otevřít.</w:t>
      </w:r>
    </w:p>
    <w:p>
      <w:pPr>
        <w:pStyle w:val="Compact"/>
        <w:numPr>
          <w:numId w:val="1162"/>
          <w:ilvl w:val="0"/>
        </w:numPr>
      </w:pPr>
      <w:r>
        <w:t xml:space="preserve">Písemné vyhotovení rozhodnutí podle odstavce 2 nemusí obsahovat odůvodnění; proti tomuto</w:t>
      </w:r>
      <w:r>
        <w:br w:type="textWrapping"/>
      </w:r>
      <w:r>
        <w:t xml:space="preserve">rozhodnutí není odvolání přípustné. Rozhodnutí se doručuje pouze insolvenčnímu správci a dlužníku.</w:t>
      </w:r>
      <w:r>
        <w:br w:type="textWrapping"/>
      </w:r>
      <w:r>
        <w:t xml:space="preserve">Insolvenční soud doručí rozhodnutí insolvenčnímu správci spolu se stejnopisem rozhodnutí, který má</w:t>
      </w:r>
      <w:r>
        <w:br w:type="textWrapping"/>
      </w:r>
      <w:r>
        <w:t xml:space="preserve">být doručen dlužníku. Dlužníku doručí rozhodnutí insolvenční správce při prohlídce místností, kterých</w:t>
      </w:r>
      <w:r>
        <w:br w:type="textWrapping"/>
      </w:r>
      <w:r>
        <w:t xml:space="preserve">se usnesení týká. Nepodaří-li se insolvenčnímu správci doručit rozhodnutí dlužníku při tomto úkonu,</w:t>
      </w:r>
      <w:r>
        <w:br w:type="textWrapping"/>
      </w:r>
      <w:r>
        <w:t xml:space="preserve">vrátí je k doručení insolvenčnímu soudu.</w:t>
      </w:r>
    </w:p>
    <w:p>
      <w:pPr>
        <w:pStyle w:val="Compact"/>
        <w:numPr>
          <w:numId w:val="1162"/>
          <w:ilvl w:val="0"/>
        </w:numPr>
      </w:pPr>
      <w:r>
        <w:t xml:space="preserve">Každý, v jehož objektu má dlužník svůj byt, sídlo nebo jiné své místnosti, je povinen strpět, aby</w:t>
      </w:r>
      <w:r>
        <w:br w:type="textWrapping"/>
      </w:r>
      <w:r>
        <w:t xml:space="preserve">insolvenční správce, který provádí soupis nebo činí úkony směřující k řádnému zajištění a správě</w:t>
      </w:r>
      <w:r>
        <w:br w:type="textWrapping"/>
      </w:r>
      <w:r>
        <w:t xml:space="preserve">majetkové podstaty, provedl prohlídku bytu a jiných místností dlužníka. Nesplní-li tuto povinnost, je</w:t>
      </w:r>
      <w:r>
        <w:br w:type="textWrapping"/>
      </w:r>
      <w:r>
        <w:t xml:space="preserve">insolvenční správce oprávněn zjednat si k bytu nebo jiné místnosti dlužníka přístup.</w:t>
      </w:r>
    </w:p>
    <w:p>
      <w:pPr>
        <w:pStyle w:val="FirstParagraph"/>
      </w:pPr>
      <w:r>
        <w:t xml:space="preserve">V rámci životního cyklu společnosti se může stát, že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0590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1fb560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6b2973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840a6b1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3d943c6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19c4996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23">
    <w:nsid w:val="e71b861f"/>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144b65de"/>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3f56cc35"/>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26">
    <w:nsid w:val="b58d72e8"/>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b5fbfd15"/>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2">
    <w:nsid w:val="e1e4295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1">
    <w:nsid w:val="df5c020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3">
    <w:nsid w:val="410f0ac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2">
    <w:nsid w:val="31e36c7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4">
    <w:nsid w:val="a77d85a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113e3429"/>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1"/>
  </w:num>
  <w:num w:numId="1045">
    <w:abstractNumId w:val="991"/>
  </w:num>
  <w:num w:numId="104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9">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50">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51">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52">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53">
    <w:abstractNumId w:val="991"/>
  </w:num>
  <w:num w:numId="105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0">
    <w:abstractNumId w:val="991"/>
  </w:num>
  <w:num w:numId="1061">
    <w:abstractNumId w:val="991"/>
  </w:num>
  <w:num w:numId="1062">
    <w:abstractNumId w:val="991"/>
  </w:num>
  <w:num w:numId="106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7">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8">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1"/>
  </w:num>
  <w:num w:numId="107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4">
    <w:abstractNumId w:val="991"/>
  </w:num>
  <w:num w:numId="108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8">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1"/>
  </w:num>
  <w:num w:numId="1094">
    <w:abstractNumId w:val="991"/>
  </w:num>
  <w:num w:numId="109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1"/>
  </w:num>
  <w:num w:numId="109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0">
    <w:abstractNumId w:val="991"/>
  </w:num>
  <w:num w:numId="11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4">
    <w:abstractNumId w:val="991"/>
  </w:num>
  <w:num w:numId="110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6">
    <w:abstractNumId w:val="991"/>
  </w:num>
  <w:num w:numId="110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0">
    <w:abstractNumId w:val="991"/>
  </w:num>
  <w:num w:numId="111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4">
    <w:abstractNumId w:val="991"/>
  </w:num>
  <w:num w:numId="11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7">
    <w:abstractNumId w:val="991"/>
  </w:num>
  <w:num w:numId="11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0">
    <w:abstractNumId w:val="991"/>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1"/>
  </w:num>
  <w:num w:numId="1127">
    <w:abstractNumId w:val="991"/>
  </w:num>
  <w:num w:numId="112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3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36">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37">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38">
    <w:abstractNumId w:val="991"/>
  </w:num>
  <w:num w:numId="113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0">
    <w:abstractNumId w:val="991"/>
  </w:num>
  <w:num w:numId="114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2">
    <w:abstractNumId w:val="991"/>
  </w:num>
  <w:num w:numId="1143">
    <w:abstractNumId w:val="991"/>
  </w:num>
  <w:num w:numId="114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6">
    <w:abstractNumId w:val="991"/>
  </w:num>
  <w:num w:numId="114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8">
    <w:abstractNumId w:val="991"/>
  </w:num>
  <w:num w:numId="114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2">
    <w:abstractNumId w:val="991"/>
  </w:num>
  <w:num w:numId="115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6">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2022-01-19T13:20:21Z</dcterms:created>
  <dcterms:modified xsi:type="dcterms:W3CDTF">2022-01-19T13:20:21Z</dcterms:modified>
</cp:coreProperties>
</file>