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w:t>
      </w:r>
    </w:p>
    <w:p>
      <w:pPr>
        <w:pStyle w:val="Compact"/>
        <w:numPr>
          <w:numId w:val="1125"/>
          <w:ilvl w:val="0"/>
        </w:numPr>
      </w:pPr>
      <w:r>
        <w:t xml:space="preserve">Je možné hlasovat na schůzi věřitelů písemně?</w:t>
      </w:r>
    </w:p>
    <w:p>
      <w:pPr>
        <w:pStyle w:val="Compact"/>
        <w:numPr>
          <w:numId w:val="1125"/>
          <w:ilvl w:val="0"/>
        </w:numPr>
      </w:pPr>
      <w:r>
        <w:t xml:space="preserve">V jakých případech může hlasovat na schůzi věřitelů věřitel, který s dlužníkem tvoří koncern?</w:t>
      </w:r>
    </w:p>
    <w:p>
      <w:pPr>
        <w:pStyle w:val="Compact"/>
        <w:numPr>
          <w:numId w:val="1125"/>
          <w:ilvl w:val="0"/>
        </w:numPr>
      </w:pPr>
      <w:r>
        <w:t xml:space="preserve">Jakým způsobem se zveřejnuje oznámení o svolání schůze věřitelů?</w:t>
      </w:r>
    </w:p>
    <w:p>
      <w:pPr>
        <w:pStyle w:val="Heading2"/>
      </w:pPr>
      <w:bookmarkStart w:id="78" w:name="osoba-s-dispozičním-oprávněním"/>
      <w:bookmarkEnd w:id="78"/>
      <w:r>
        <w:t xml:space="preserve">Osoba s dispozičním oprávněním</w:t>
      </w:r>
    </w:p>
    <w:p>
      <w:pPr>
        <w:pStyle w:val="Compact"/>
        <w:numPr>
          <w:numId w:val="1126"/>
          <w:ilvl w:val="0"/>
        </w:numPr>
      </w:pPr>
      <w:r>
        <w:t xml:space="preserve">zák. č. 182/2006 Sb., o úpadku a způsobech jeho řešení (insolvenční zákon)</w:t>
      </w:r>
      <w:r>
        <w:br w:type="textWrapping"/>
      </w:r>
      <w:r>
        <w:t xml:space="preserve">Věřitelské orgány</w:t>
      </w:r>
      <w:r>
        <w:br w:type="textWrapping"/>
      </w:r>
      <w:r>
        <w:t xml:space="preserve">§ 46</w:t>
      </w:r>
      <w:r>
        <w:br w:type="textWrapping"/>
      </w:r>
      <w:r>
        <w:t xml:space="preserve">Schůze věřitelů, věřitelský výbor a zástupce věřitelů</w:t>
      </w:r>
    </w:p>
    <w:p>
      <w:pPr>
        <w:pStyle w:val="Compact"/>
        <w:numPr>
          <w:numId w:val="1127"/>
          <w:ilvl w:val="0"/>
        </w:numPr>
      </w:pPr>
      <w:r>
        <w:t xml:space="preserve">Věřitelskými orgány jsou schůze věřitelů a věřitelský výbor nebo zástupce věřitelů.</w:t>
      </w:r>
    </w:p>
    <w:p>
      <w:pPr>
        <w:pStyle w:val="Compact"/>
        <w:numPr>
          <w:numId w:val="1127"/>
          <w:ilvl w:val="0"/>
        </w:numPr>
      </w:pPr>
      <w:r>
        <w:t xml:space="preserve">Schůzi věřitelů přísluší volba a odvolání členů věřitelského výboru a jeho náhradníků nebo zástupce</w:t>
      </w:r>
      <w:r>
        <w:br w:type="textWrapping"/>
      </w:r>
      <w:r>
        <w:t xml:space="preserve">věřitelů; rozhoduje též o tom, zda ponechá ve funkci prozatímní věřitelský výbor. Schůze věřitelů si</w:t>
      </w:r>
      <w:r>
        <w:br w:type="textWrapping"/>
      </w:r>
      <w:r>
        <w:t xml:space="preserve">může vyhradit cokoli, co patří do působnosti věřitelských orgánů. Usnesení, jímž si schůze věřitelů</w:t>
      </w:r>
      <w:r>
        <w:br w:type="textWrapping"/>
      </w:r>
      <w:r>
        <w:t xml:space="preserve">vyhrazuje působnost jiných věřitelských orgánů, je přijato, jestliže pro ně hlasovala většina tvořená</w:t>
      </w:r>
      <w:r>
        <w:br w:type="textWrapping"/>
      </w:r>
      <w:r>
        <w:t xml:space="preserve">nejméně dvěma třetinami hlasů přítomných nebo řádně zastoupených věřitelů, počítaná podle výše</w:t>
      </w:r>
      <w:r>
        <w:br w:type="textWrapping"/>
      </w:r>
      <w:r>
        <w:t xml:space="preserve">jejich pohledávek. Není-li ustanoven věřitelský výbor ani zástupce věřitelů a není-li v tomto zákoně</w:t>
      </w:r>
      <w:r>
        <w:br w:type="textWrapping"/>
      </w:r>
      <w:r>
        <w:t xml:space="preserve">stanoveno jinak, vykonává schůze věřitelů i jejich působnost.</w:t>
      </w:r>
    </w:p>
    <w:p>
      <w:pPr>
        <w:pStyle w:val="Compact"/>
        <w:numPr>
          <w:numId w:val="1127"/>
          <w:ilvl w:val="0"/>
        </w:numPr>
      </w:pPr>
      <w:r>
        <w:t xml:space="preserve">Věřitelský výbor vykonává působnost věřitelských orgánů s výjimkou věcí, které patří do</w:t>
      </w:r>
      <w:r>
        <w:br w:type="textWrapping"/>
      </w:r>
      <w:r>
        <w:t xml:space="preserve">působnosti schůze věřitelů nebo které si schůze věřitelů vyhradila.</w:t>
      </w:r>
      <w:r>
        <w:br w:type="textWrapping"/>
      </w:r>
      <w:r>
        <w:t xml:space="preserve">§ 210</w:t>
      </w:r>
    </w:p>
    <w:p>
      <w:pPr>
        <w:pStyle w:val="Compact"/>
        <w:numPr>
          <w:numId w:val="1127"/>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27"/>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 nich. Uvedené osoby mají tuto povinnost i v případě, že jejich postavení zaniklo v posledních 3</w:t>
      </w:r>
      <w:r>
        <w:br w:type="textWrapping"/>
      </w:r>
      <w:r>
        <w:t xml:space="preserve">měsících před zahájením insolvenčního řízení.</w:t>
      </w:r>
    </w:p>
    <w:p>
      <w:pPr>
        <w:pStyle w:val="Compact"/>
        <w:numPr>
          <w:numId w:val="1127"/>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27"/>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p>
    <w:p>
      <w:pPr>
        <w:pStyle w:val="Heading1"/>
      </w:pPr>
      <w:bookmarkStart w:id="79" w:name="otázka-5"/>
      <w:bookmarkEnd w:id="79"/>
      <w:r>
        <w:t xml:space="preserve">Otázka 5</w:t>
      </w:r>
    </w:p>
    <w:p>
      <w:pPr>
        <w:pStyle w:val="BlockText"/>
      </w:pPr>
      <w:r>
        <w:t xml:space="preserve">Oprávnění a součinnost orgánů dlužníka a insolvenčního správce v</w:t>
      </w:r>
      <w:r>
        <w:br w:type="textWrapping"/>
      </w:r>
      <w:r>
        <w:t xml:space="preserve">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28"/>
          <w:ilvl w:val="0"/>
        </w:numPr>
      </w:pPr>
      <w:r>
        <w:t xml:space="preserve">V jakém rozsahu je povinen dlužník poskytnout součinnost insolvenčnímu správci?</w:t>
      </w:r>
    </w:p>
    <w:p>
      <w:pPr>
        <w:pStyle w:val="Compact"/>
        <w:numPr>
          <w:numId w:val="1128"/>
          <w:ilvl w:val="0"/>
        </w:numPr>
      </w:pPr>
      <w:r>
        <w:t xml:space="preserve">V jakém rozsahu je povinen insolvenční správce poskytovat součinnost insolvenčnímu soudu v průběhu konkursu?</w:t>
      </w:r>
    </w:p>
    <w:p>
      <w:pPr>
        <w:pStyle w:val="Compact"/>
        <w:numPr>
          <w:numId w:val="1128"/>
          <w:ilvl w:val="0"/>
        </w:numPr>
      </w:pPr>
      <w:r>
        <w:t xml:space="preserve">Jaké následky může mít porušení povinnosti k součinnosti pro orgány dlužníka, resp. jejich členy?</w:t>
      </w:r>
    </w:p>
    <w:p>
      <w:pPr>
        <w:pStyle w:val="Compact"/>
        <w:numPr>
          <w:numId w:val="1128"/>
          <w:ilvl w:val="0"/>
        </w:numPr>
      </w:pPr>
      <w:r>
        <w:t xml:space="preserve">Jaké následky může mít porušení povinnosti k součinnosti pro insolvenčního správce?</w:t>
      </w:r>
    </w:p>
    <w:p>
      <w:pPr>
        <w:pStyle w:val="Compact"/>
        <w:numPr>
          <w:numId w:val="1128"/>
          <w:ilvl w:val="0"/>
        </w:numPr>
      </w:pPr>
      <w:r>
        <w:t xml:space="preserve">Které orgány dlužníka mají povinnost poskytovat součinnost insolvenčnímu správci v průběhu konkursu?</w:t>
      </w:r>
    </w:p>
    <w:p>
      <w:pPr>
        <w:pStyle w:val="Heading2"/>
      </w:pPr>
      <w:bookmarkStart w:id="80" w:name="oprávnění-a-součinnost"/>
      <w:bookmarkEnd w:id="80"/>
      <w:r>
        <w:t xml:space="preserve">Oprávnění a součinnost</w:t>
      </w:r>
    </w:p>
    <w:p>
      <w:pPr>
        <w:pStyle w:val="Compact"/>
        <w:numPr>
          <w:numId w:val="1129"/>
          <w:ilvl w:val="0"/>
        </w:numPr>
      </w:pPr>
      <w:r>
        <w:t xml:space="preserve">zák. č. 182/2006 Sb., o úpadku a způsobech jeho řešení (insolvenční zákon)</w:t>
      </w:r>
      <w:r>
        <w:br w:type="textWrapping"/>
      </w:r>
      <w:r>
        <w:t xml:space="preserve">§ 212</w:t>
      </w:r>
    </w:p>
    <w:p>
      <w:pPr>
        <w:pStyle w:val="Compact"/>
        <w:numPr>
          <w:numId w:val="1130"/>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0"/>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Heading1"/>
      </w:pPr>
      <w:bookmarkStart w:id="81" w:name="otázka-6"/>
      <w:bookmarkEnd w:id="81"/>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31"/>
          <w:ilvl w:val="0"/>
        </w:numPr>
      </w:pPr>
      <w:r>
        <w:t xml:space="preserve">Jaká oprávnění mají orgány dlužníka v oddlužení a reorganizaci?</w:t>
      </w:r>
    </w:p>
    <w:p>
      <w:pPr>
        <w:pStyle w:val="Compact"/>
        <w:numPr>
          <w:numId w:val="1131"/>
          <w:ilvl w:val="0"/>
        </w:numPr>
      </w:pPr>
      <w:r>
        <w:t xml:space="preserve">V jakém rozsahu mají stanovenou povinnost součinnosti orgány dlužníka v oddlužení a v reorganizaci?</w:t>
      </w:r>
    </w:p>
    <w:p>
      <w:pPr>
        <w:pStyle w:val="Compact"/>
        <w:numPr>
          <w:numId w:val="1131"/>
          <w:ilvl w:val="0"/>
        </w:numPr>
      </w:pPr>
      <w:r>
        <w:t xml:space="preserve">Jaká oprávnění má insolvenční správce v oddlužení a reorganizaci?</w:t>
      </w:r>
    </w:p>
    <w:p>
      <w:pPr>
        <w:pStyle w:val="Compact"/>
        <w:numPr>
          <w:numId w:val="1131"/>
          <w:ilvl w:val="0"/>
        </w:numPr>
      </w:pPr>
      <w:r>
        <w:t xml:space="preserve">V jakém rozsahu má povinnost součinnosti insolvenční správce v oddlužení a reorganizaci?</w:t>
      </w:r>
    </w:p>
    <w:p>
      <w:pPr>
        <w:pStyle w:val="Compact"/>
        <w:numPr>
          <w:numId w:val="1131"/>
          <w:ilvl w:val="0"/>
        </w:numPr>
      </w:pPr>
      <w:r>
        <w:t xml:space="preserve">Jaké následky má porušení povinnosti orgánů dlužníka v průběhu oddlužení a reorganizace?</w:t>
      </w:r>
    </w:p>
    <w:p>
      <w:pPr>
        <w:pStyle w:val="Heading2"/>
      </w:pPr>
      <w:bookmarkStart w:id="82" w:name="oprávnění-a-součinnosti"/>
      <w:bookmarkEnd w:id="82"/>
      <w:r>
        <w:t xml:space="preserve">Oprávnění a součinnosti:</w:t>
      </w:r>
    </w:p>
    <w:p>
      <w:pPr>
        <w:pStyle w:val="Compact"/>
        <w:numPr>
          <w:numId w:val="1132"/>
          <w:ilvl w:val="0"/>
        </w:numPr>
      </w:pPr>
      <w:r>
        <w:t xml:space="preserve">zák. č. 182/2006 Sb., o úpadku a způsobech jeho řešení (insolvenční zákon)</w:t>
      </w:r>
      <w:r>
        <w:br w:type="textWrapping"/>
      </w:r>
      <w:r>
        <w:t xml:space="preserve">§ 210</w:t>
      </w:r>
    </w:p>
    <w:p>
      <w:pPr>
        <w:pStyle w:val="Compact"/>
        <w:numPr>
          <w:numId w:val="1133"/>
          <w:ilvl w:val="0"/>
        </w:numPr>
      </w:pPr>
      <w:r>
        <w:t xml:space="preserve">Dlužník je povinen poskytnout insolvenčnímu správci nebo předběžnému správci při zjišťování</w:t>
      </w:r>
      <w:r>
        <w:br w:type="textWrapping"/>
      </w:r>
      <w:r>
        <w:t xml:space="preserve">majetkové podstaty všestrannou součinnost, zejména dbát pokynů insolvenčního správce nebo</w:t>
      </w:r>
      <w:r>
        <w:br w:type="textWrapping"/>
      </w:r>
      <w:r>
        <w:t xml:space="preserve">předběžného správce.</w:t>
      </w:r>
    </w:p>
    <w:p>
      <w:pPr>
        <w:pStyle w:val="Compact"/>
        <w:numPr>
          <w:numId w:val="1133"/>
          <w:ilvl w:val="0"/>
        </w:numPr>
      </w:pPr>
      <w:r>
        <w:t xml:space="preserve">Je-li dlužníkem právnická osoba, mají povinnosti podle odstavce 1 její statutární orgány a jejich</w:t>
      </w:r>
      <w:r>
        <w:br w:type="textWrapping"/>
      </w:r>
      <w:r>
        <w:t xml:space="preserve">členové nebo likvidátor, jde-li o právnickou osobu v likvidaci. Jestliže postavení statutárního orgánu</w:t>
      </w:r>
      <w:r>
        <w:br w:type="textWrapping"/>
      </w:r>
      <w:r>
        <w:t xml:space="preserve">má více osob oprávněných jednat samostatně, lze splnění těchto povinností požadovat od kterékoli z</w:t>
      </w:r>
      <w:r>
        <w:br w:type="textWrapping"/>
      </w:r>
      <w:r>
        <w:t xml:space="preserve">nich. Uvedené osoby mají tuto povinnost i v případě, že jejich postavení zaniklo v posledních 3</w:t>
      </w:r>
      <w:r>
        <w:br w:type="textWrapping"/>
      </w:r>
      <w:r>
        <w:t xml:space="preserve">měsících před zahájením insolvenčního řízení.</w:t>
      </w:r>
    </w:p>
    <w:p>
      <w:pPr>
        <w:pStyle w:val="Compact"/>
        <w:numPr>
          <w:numId w:val="1133"/>
          <w:ilvl w:val="0"/>
        </w:numPr>
      </w:pPr>
      <w:r>
        <w:t xml:space="preserve">Insolvenční soud může vyžadovat splnění povinností podle odstavců 1 a 2 také od osob, které jsou</w:t>
      </w:r>
      <w:r>
        <w:br w:type="textWrapping"/>
      </w:r>
      <w:r>
        <w:t xml:space="preserve">společníky, zaměstnanci nebo členy právnické osoby, a to v rozsahu jejich oprávnění jednat za</w:t>
      </w:r>
      <w:r>
        <w:br w:type="textWrapping"/>
      </w:r>
      <w:r>
        <w:t xml:space="preserve">právnickou osobu.</w:t>
      </w:r>
    </w:p>
    <w:p>
      <w:pPr>
        <w:pStyle w:val="Compact"/>
        <w:numPr>
          <w:numId w:val="1133"/>
          <w:ilvl w:val="0"/>
        </w:numPr>
      </w:pPr>
      <w:r>
        <w:t xml:space="preserve">Je-li dlužníkem fyzická osoba, mají povinnosti podle odstavců 1 a 2 i její zákonní zástupci; má-li</w:t>
      </w:r>
      <w:r>
        <w:br w:type="textWrapping"/>
      </w:r>
      <w:r>
        <w:t xml:space="preserve">fyzická osoba více zákonných zástupců oprávněných jednat jejím jménem samostatně, může</w:t>
      </w:r>
      <w:r>
        <w:br w:type="textWrapping"/>
      </w:r>
      <w:r>
        <w:t xml:space="preserve">insolvenční soud vyžadovat splnění těchto povinností od každého z nich.</w:t>
      </w:r>
      <w:r>
        <w:br w:type="textWrapping"/>
      </w:r>
      <w:r>
        <w:t xml:space="preserve">§ 211</w:t>
      </w:r>
    </w:p>
    <w:p>
      <w:pPr>
        <w:pStyle w:val="Compact"/>
        <w:numPr>
          <w:numId w:val="1133"/>
          <w:ilvl w:val="0"/>
        </w:numPr>
      </w:pPr>
      <w:r>
        <w:t xml:space="preserve">Východiskem zjišťování majetkové podstaty je seznam majetku, který je dlužník povinen předložit</w:t>
      </w:r>
      <w:r>
        <w:br w:type="textWrapping"/>
      </w:r>
      <w:r>
        <w:t xml:space="preserve">současně s insolvenčním návrhem, případně na základě rozhodnutí insolvenčního soudu.</w:t>
      </w:r>
    </w:p>
    <w:p>
      <w:pPr>
        <w:pStyle w:val="Compact"/>
        <w:numPr>
          <w:numId w:val="1133"/>
          <w:ilvl w:val="0"/>
        </w:numPr>
      </w:pPr>
      <w:r>
        <w:t xml:space="preserve">Insolvenční správce nebo předběžný správce provede vlastní šetření o tom, zda do majetkové</w:t>
      </w:r>
      <w:r>
        <w:br w:type="textWrapping"/>
      </w:r>
      <w:r>
        <w:t xml:space="preserve">podstaty nepatří i jiné věci, práva, pohledávky a majetkové hodnoty než ty, které dlužník uvedl v</w:t>
      </w:r>
      <w:r>
        <w:br w:type="textWrapping"/>
      </w:r>
      <w:r>
        <w:t xml:space="preserve">seznamu majetku. Potřebnou součinnost mu jsou povinny poskytnout také věřitelské orgány.</w:t>
      </w:r>
    </w:p>
    <w:p>
      <w:pPr>
        <w:pStyle w:val="Compact"/>
        <w:numPr>
          <w:numId w:val="1133"/>
          <w:ilvl w:val="0"/>
        </w:numPr>
      </w:pPr>
      <w:r>
        <w:t xml:space="preserve">Nemůže-li insolvenční správce nebo předběžný správce dosáhnout úplného zjištění majetkové</w:t>
      </w:r>
      <w:r>
        <w:br w:type="textWrapping"/>
      </w:r>
      <w:r>
        <w:t xml:space="preserve">podstaty proto, že mu nebyla poskytnuta požadovaná součinnost, oznámí to insolvenčnímu soudu a</w:t>
      </w:r>
      <w:r>
        <w:br w:type="textWrapping"/>
      </w:r>
      <w:r>
        <w:t xml:space="preserve">navrhne mu přijetí příslušného opatření.</w:t>
      </w:r>
      <w:r>
        <w:br w:type="textWrapping"/>
      </w:r>
      <w:r>
        <w:t xml:space="preserve">§ 212</w:t>
      </w:r>
    </w:p>
    <w:p>
      <w:pPr>
        <w:pStyle w:val="Compact"/>
        <w:numPr>
          <w:numId w:val="1133"/>
          <w:ilvl w:val="0"/>
        </w:numPr>
      </w:pPr>
      <w:r>
        <w:t xml:space="preserve">Dlužník musí umožnit insolvenčnímu správci přístup na všechna místa, kde má umístěn majetek</w:t>
      </w:r>
      <w:r>
        <w:br w:type="textWrapping"/>
      </w:r>
      <w:r>
        <w:t xml:space="preserve">náležející do majetkové podstaty.</w:t>
      </w:r>
    </w:p>
    <w:p>
      <w:pPr>
        <w:pStyle w:val="Compact"/>
        <w:numPr>
          <w:numId w:val="1133"/>
          <w:ilvl w:val="0"/>
        </w:numPr>
      </w:pPr>
      <w:r>
        <w:t xml:space="preserve">Je-li to potřebné, zejména neposkytuje-li dlužník insolvenčnímu správci součinnost potřebnou ke</w:t>
      </w:r>
      <w:r>
        <w:br w:type="textWrapping"/>
      </w:r>
      <w:r>
        <w:t xml:space="preserve">zjištění a zajištění majetkové podstaty, může insolvenční soud na návrh insolvenčního správce nařídit</w:t>
      </w:r>
      <w:r>
        <w:br w:type="textWrapping"/>
      </w:r>
      <w:r>
        <w:t xml:space="preserve">prohlídku bytu, sídla a jiných místností dlužníka, jakož i jeho skříní nebo jiných schránek v nich</w:t>
      </w:r>
      <w:r>
        <w:br w:type="textWrapping"/>
      </w:r>
      <w:r>
        <w:t xml:space="preserve">umístěných, kde má dlužník svůj majetek; za tím účelem je insolvenční správce oprávněn zjednat si do</w:t>
      </w:r>
      <w:r>
        <w:br w:type="textWrapping"/>
      </w:r>
      <w:r>
        <w:t xml:space="preserve">bytu nebo do jiné místnosti dlužníka přístup, popřípadě uzavřené skříně nebo jiné schránky otevřít.</w:t>
      </w:r>
    </w:p>
    <w:p>
      <w:pPr>
        <w:pStyle w:val="Compact"/>
        <w:numPr>
          <w:numId w:val="1133"/>
          <w:ilvl w:val="0"/>
        </w:numPr>
      </w:pPr>
      <w:r>
        <w:t xml:space="preserve">Písemné vyhotovení rozhodnutí podle odstavce 2 nemusí obsahovat odůvodnění; proti tomuto</w:t>
      </w:r>
      <w:r>
        <w:br w:type="textWrapping"/>
      </w:r>
      <w:r>
        <w:t xml:space="preserve">rozhodnutí není odvolání přípustné. Rozhodnutí se doručuje pouze insolvenčnímu správci a dlužníku.</w:t>
      </w:r>
      <w:r>
        <w:br w:type="textWrapping"/>
      </w:r>
      <w:r>
        <w:t xml:space="preserve">Insolvenční soud doručí rozhodnutí insolvenčnímu správci spolu se stejnopisem rozhodnutí, který má</w:t>
      </w:r>
      <w:r>
        <w:br w:type="textWrapping"/>
      </w:r>
      <w:r>
        <w:t xml:space="preserve">být doručen dlužníku. Dlužníku doručí rozhodnutí insolvenční správce při prohlídce místností, kterých</w:t>
      </w:r>
      <w:r>
        <w:br w:type="textWrapping"/>
      </w:r>
      <w:r>
        <w:t xml:space="preserve">se usnesení týká. Nepodaří-li se insolvenčnímu správci doručit rozhodnutí dlužníku při tomto úkonu,</w:t>
      </w:r>
      <w:r>
        <w:br w:type="textWrapping"/>
      </w:r>
      <w:r>
        <w:t xml:space="preserve">vrátí je k doručení insolvenčnímu soudu.</w:t>
      </w:r>
    </w:p>
    <w:p>
      <w:pPr>
        <w:pStyle w:val="Compact"/>
        <w:numPr>
          <w:numId w:val="1133"/>
          <w:ilvl w:val="0"/>
        </w:numPr>
      </w:pPr>
      <w:r>
        <w:t xml:space="preserve">Každý, v jehož objektu má dlužník svůj byt, sídlo nebo jiné své místnosti, je povinen strpět, aby</w:t>
      </w:r>
      <w:r>
        <w:br w:type="textWrapping"/>
      </w:r>
      <w:r>
        <w:t xml:space="preserve">insolvenční správce, který provádí soupis nebo činí úkony směřující k řádnému zajištění a správě</w:t>
      </w:r>
      <w:r>
        <w:br w:type="textWrapping"/>
      </w:r>
      <w:r>
        <w:t xml:space="preserve">majetkové podstaty, provedl prohlídku bytu a jiných místností dlužníka. Nesplní-li tuto povinnost, je</w:t>
      </w:r>
      <w:r>
        <w:br w:type="textWrapping"/>
      </w:r>
      <w:r>
        <w:t xml:space="preserve">insolvenční správce oprávněn zjednat si k bytu nebo jiné místnosti dlužníka přístup.</w:t>
      </w:r>
    </w:p>
    <w:p>
      <w:pPr>
        <w:pStyle w:val="FirstParagraph"/>
      </w:pPr>
      <w:r>
        <w:t xml:space="preserve">V rámci životního cyklu společnosti se může stát, že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61ad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8b4d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b0d41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89f685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45613c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1eb7d3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27e686e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68172e2e"/>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a5b7a044"/>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ae52ac3a"/>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9bcac90b"/>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2a712d6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fb259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e235f0b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a033fe0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2022-01-19T13:03:15Z</dcterms:created>
  <dcterms:modified xsi:type="dcterms:W3CDTF">2022-01-19T13:03:15Z</dcterms:modified>
</cp:coreProperties>
</file>