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Informace</w:t>
      </w:r>
      <w:r>
        <w:t xml:space="preserve"> </w:t>
      </w:r>
      <w:r>
        <w:t xml:space="preserve">ke</w:t>
      </w:r>
      <w:r>
        <w:t xml:space="preserve"> </w:t>
      </w:r>
      <w:r>
        <w:t xml:space="preserve">zkoušce</w:t>
      </w:r>
      <w:r>
        <w:t xml:space="preserve"> </w:t>
      </w:r>
      <w:r>
        <w:t xml:space="preserve">z</w:t>
      </w:r>
      <w:r>
        <w:t xml:space="preserve"> </w:t>
      </w:r>
      <w:r>
        <w:t xml:space="preserve">předmětu</w:t>
      </w:r>
      <w:r>
        <w:t xml:space="preserve"> </w:t>
      </w:r>
      <w:r>
        <w:t xml:space="preserve">Správa</w:t>
      </w:r>
      <w:r>
        <w:t xml:space="preserve"> </w:t>
      </w:r>
      <w:r>
        <w:t xml:space="preserve">obchodní</w:t>
      </w:r>
      <w:r>
        <w:t xml:space="preserve"> </w:t>
      </w:r>
      <w:r>
        <w:t xml:space="preserve">korporace</w:t>
      </w:r>
      <w:r>
        <w:t xml:space="preserve"> </w:t>
      </w:r>
      <w:r>
        <w:t xml:space="preserve">v</w:t>
      </w:r>
      <w:r>
        <w:t xml:space="preserve"> </w:t>
      </w:r>
      <w:r>
        <w:t xml:space="preserve">úpadku</w:t>
      </w:r>
    </w:p>
    <w:sdt>
      <w:sdtPr>
        <w:docPartObj>
          <w:docPartGallery w:val="Table of Contents"/>
          <w:docPartUnique/>
        </w:docPartObj>
      </w:sdtPr>
      <w:sdtContent>
        <w:p>
          <w:pPr>
            <w:pStyle w:val="TOCHeading"/>
          </w:pPr>
          <w:r>
            <w:t xml:space="preserve">Obsah</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FirstParagraph"/>
      </w:pPr>
      <w:r>
        <w:t xml:space="preserve">Otázky (Kontrolní otázky):</w:t>
      </w:r>
    </w:p>
    <w:p>
      <w:pPr>
        <w:pStyle w:val="BodyText"/>
      </w:pPr>
      <w:r>
        <w:t xml:space="preserve">Student bude umět vymezit, jaká rizika jsou spojena s jednotlivými formami podnikání.</w:t>
      </w:r>
    </w:p>
    <w:p>
      <w:pPr>
        <w:pStyle w:val="Compact"/>
        <w:numPr>
          <w:numId w:val="1001"/>
          <w:ilvl w:val="0"/>
        </w:numPr>
      </w:pPr>
      <w:r>
        <w:t xml:space="preserve">Jaká jsou rizika podnikání pro společníky spojená s podnikáním v rámci osobních společností? -</w:t>
      </w:r>
      <w:r>
        <w:t xml:space="preserve"> </w:t>
      </w:r>
      <w:r>
        <w:rPr>
          <w:b/>
        </w:rPr>
        <w:t xml:space="preserve">Zodpovězeno</w:t>
      </w:r>
    </w:p>
    <w:p>
      <w:pPr>
        <w:pStyle w:val="Compact"/>
        <w:numPr>
          <w:numId w:val="1001"/>
          <w:ilvl w:val="0"/>
        </w:numPr>
      </w:pPr>
      <w:r>
        <w:t xml:space="preserve">Co je to joint venture? -</w:t>
      </w:r>
      <w:r>
        <w:t xml:space="preserve"> </w:t>
      </w:r>
      <w:r>
        <w:rPr>
          <w:b/>
        </w:rPr>
        <w:t xml:space="preserve">Zodpovězeno</w:t>
      </w:r>
    </w:p>
    <w:p>
      <w:pPr>
        <w:pStyle w:val="Compact"/>
        <w:numPr>
          <w:numId w:val="1001"/>
          <w:ilvl w:val="0"/>
        </w:numPr>
      </w:pPr>
      <w:r>
        <w:t xml:space="preserve">V jakém rozsahu mohou podnikat fundace? - Jejím hlavním účelem nesmí být podníkání -</w:t>
      </w:r>
      <w:r>
        <w:t xml:space="preserve"> </w:t>
      </w:r>
      <w:r>
        <w:rPr>
          <w:b/>
        </w:rPr>
        <w:t xml:space="preserve">Zodpovězeno</w:t>
      </w:r>
    </w:p>
    <w:p>
      <w:pPr>
        <w:pStyle w:val="Compact"/>
        <w:numPr>
          <w:numId w:val="1001"/>
          <w:ilvl w:val="0"/>
        </w:numPr>
      </w:pPr>
      <w:r>
        <w:t xml:space="preserve">Co je to test insolvence? -</w:t>
      </w:r>
      <w:r>
        <w:t xml:space="preserve"> </w:t>
      </w:r>
      <w:r>
        <w:rPr>
          <w:b/>
        </w:rPr>
        <w:t xml:space="preserve">Zodpovězeno</w:t>
      </w:r>
    </w:p>
    <w:p>
      <w:pPr>
        <w:pStyle w:val="Compact"/>
        <w:numPr>
          <w:numId w:val="1001"/>
          <w:ilvl w:val="0"/>
        </w:numPr>
      </w:pPr>
      <w:r>
        <w:t xml:space="preserve">Co je to rozvahový test? -</w:t>
      </w:r>
      <w:r>
        <w:t xml:space="preserve"> </w:t>
      </w:r>
      <w:r>
        <w:rPr>
          <w:b/>
        </w:rPr>
        <w:t xml:space="preserve">Zodpovězeno</w:t>
      </w:r>
    </w:p>
    <w:p>
      <w:pPr>
        <w:pStyle w:val="Heading2"/>
      </w:pPr>
      <w:bookmarkStart w:id="22" w:name="prameny-právní-úpravy"/>
      <w:bookmarkEnd w:id="22"/>
      <w:r>
        <w:t xml:space="preserve">Prameny právní úpravy</w:t>
      </w:r>
    </w:p>
    <w:p>
      <w:pPr>
        <w:pStyle w:val="Compact"/>
        <w:numPr>
          <w:numId w:val="1002"/>
          <w:ilvl w:val="0"/>
        </w:numPr>
      </w:pPr>
      <w:r>
        <w:t xml:space="preserve">Zákony:</w:t>
      </w:r>
    </w:p>
    <w:p>
      <w:pPr>
        <w:pStyle w:val="Compact"/>
        <w:numPr>
          <w:numId w:val="1002"/>
          <w:ilvl w:val="0"/>
        </w:numPr>
      </w:pPr>
      <w:r>
        <w:t xml:space="preserve">Zák. č. 182/2006 Sb., insolvenční zákon</w:t>
      </w:r>
    </w:p>
    <w:p>
      <w:pPr>
        <w:pStyle w:val="Compact"/>
        <w:numPr>
          <w:numId w:val="1002"/>
          <w:ilvl w:val="0"/>
        </w:numPr>
      </w:pPr>
      <w:r>
        <w:t xml:space="preserve">Zák. č. 312/2006 Sb., o insolvenčních správcích</w:t>
      </w:r>
    </w:p>
    <w:p>
      <w:pPr>
        <w:pStyle w:val="Compact"/>
        <w:numPr>
          <w:numId w:val="1002"/>
          <w:ilvl w:val="0"/>
        </w:numPr>
      </w:pPr>
      <w:r>
        <w:t xml:space="preserve">Zák. č. 191/2020 Sb., o zmírnění dopadů pandemie COVID-19</w:t>
      </w:r>
    </w:p>
    <w:p>
      <w:pPr>
        <w:pStyle w:val="Compact"/>
        <w:numPr>
          <w:numId w:val="1002"/>
          <w:ilvl w:val="0"/>
        </w:numPr>
      </w:pPr>
      <w:r>
        <w:t xml:space="preserve">Zák. č. 90/2012 Sb., o obchodních korporacích</w:t>
      </w:r>
    </w:p>
    <w:p>
      <w:pPr>
        <w:pStyle w:val="Compact"/>
        <w:numPr>
          <w:numId w:val="1002"/>
          <w:ilvl w:val="0"/>
        </w:numPr>
      </w:pPr>
      <w:r>
        <w:t xml:space="preserve">Zák. č. 89/2012 Sb., občanský zákoník</w:t>
      </w:r>
    </w:p>
    <w:p>
      <w:pPr>
        <w:pStyle w:val="Compact"/>
        <w:numPr>
          <w:numId w:val="1002"/>
          <w:ilvl w:val="0"/>
        </w:numPr>
      </w:pPr>
      <w:r>
        <w:t xml:space="preserve">Zák. č. 40/2009 Sb., trestní zákoník</w:t>
      </w:r>
    </w:p>
    <w:p>
      <w:pPr>
        <w:pStyle w:val="Compact"/>
        <w:numPr>
          <w:numId w:val="1002"/>
          <w:ilvl w:val="0"/>
        </w:numPr>
      </w:pPr>
      <w:r>
        <w:t xml:space="preserve">Vyhlášky (nedůležité)</w:t>
      </w:r>
    </w:p>
    <w:p>
      <w:pPr>
        <w:pStyle w:val="Compact"/>
        <w:numPr>
          <w:numId w:val="1002"/>
          <w:ilvl w:val="0"/>
        </w:numPr>
      </w:pPr>
      <w:r>
        <w:t xml:space="preserve">Vyhl. č. 311/2007 Sb.,</w:t>
      </w:r>
    </w:p>
    <w:p>
      <w:pPr>
        <w:pStyle w:val="Compact"/>
        <w:numPr>
          <w:numId w:val="1002"/>
          <w:ilvl w:val="0"/>
        </w:numPr>
      </w:pPr>
      <w:r>
        <w:t xml:space="preserve">312/2007 Sb.,</w:t>
      </w:r>
    </w:p>
    <w:p>
      <w:pPr>
        <w:pStyle w:val="Compact"/>
        <w:numPr>
          <w:numId w:val="1002"/>
          <w:ilvl w:val="0"/>
        </w:numPr>
      </w:pPr>
      <w:r>
        <w:t xml:space="preserve">313/2007 Sb.,</w:t>
      </w:r>
    </w:p>
    <w:p>
      <w:pPr>
        <w:pStyle w:val="Compact"/>
        <w:numPr>
          <w:numId w:val="1002"/>
          <w:ilvl w:val="0"/>
        </w:numPr>
      </w:pPr>
      <w:r>
        <w:t xml:space="preserve">314/2007 Sb.,</w:t>
      </w:r>
    </w:p>
    <w:p>
      <w:pPr>
        <w:pStyle w:val="Compact"/>
        <w:numPr>
          <w:numId w:val="1002"/>
          <w:ilvl w:val="0"/>
        </w:numPr>
      </w:pPr>
      <w:r>
        <w:t xml:space="preserve">190/2017 Sb.,</w:t>
      </w:r>
    </w:p>
    <w:p>
      <w:pPr>
        <w:pStyle w:val="Compact"/>
        <w:numPr>
          <w:numId w:val="1002"/>
          <w:ilvl w:val="0"/>
        </w:numPr>
      </w:pPr>
      <w:r>
        <w:t xml:space="preserve">191/2017 Sb.,</w:t>
      </w:r>
    </w:p>
    <w:p>
      <w:pPr>
        <w:pStyle w:val="Compact"/>
        <w:numPr>
          <w:numId w:val="1002"/>
          <w:ilvl w:val="0"/>
        </w:numPr>
      </w:pPr>
      <w:r>
        <w:t xml:space="preserve">121/2019 Sb.,</w:t>
      </w:r>
    </w:p>
    <w:p>
      <w:pPr>
        <w:pStyle w:val="Compact"/>
        <w:numPr>
          <w:numId w:val="1002"/>
          <w:ilvl w:val="0"/>
        </w:numPr>
      </w:pPr>
      <w:r>
        <w:t xml:space="preserve">193/2019 Sb.</w:t>
      </w:r>
    </w:p>
    <w:p>
      <w:pPr>
        <w:pStyle w:val="Compact"/>
        <w:numPr>
          <w:numId w:val="1002"/>
          <w:ilvl w:val="0"/>
        </w:numPr>
      </w:pPr>
      <w:r>
        <w:t xml:space="preserve">Prameny právní úpravy EU:</w:t>
      </w:r>
    </w:p>
    <w:p>
      <w:pPr>
        <w:pStyle w:val="Compact"/>
        <w:numPr>
          <w:numId w:val="1002"/>
          <w:ilvl w:val="0"/>
        </w:numPr>
      </w:pPr>
      <w:r>
        <w:t xml:space="preserve">Nařízení</w:t>
      </w:r>
    </w:p>
    <w:p>
      <w:pPr>
        <w:pStyle w:val="Compact"/>
        <w:numPr>
          <w:numId w:val="1003"/>
          <w:ilvl w:val="1"/>
        </w:numPr>
      </w:pPr>
      <w:r>
        <w:t xml:space="preserve">Nařízení č. 2015/848/EU o insolvenčním řízení (přepracované znění)</w:t>
      </w:r>
    </w:p>
    <w:p>
      <w:pPr>
        <w:pStyle w:val="Compact"/>
        <w:numPr>
          <w:numId w:val="1002"/>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4"/>
          <w:ilvl w:val="0"/>
        </w:numPr>
      </w:pPr>
      <w:r>
        <w:t xml:space="preserve">loajalita zákazníků</w:t>
      </w:r>
    </w:p>
    <w:p>
      <w:pPr>
        <w:pStyle w:val="Compact"/>
        <w:numPr>
          <w:numId w:val="1005"/>
          <w:ilvl w:val="0"/>
        </w:numPr>
      </w:pPr>
      <w:r>
        <w:t xml:space="preserve">věrnostní systémy</w:t>
      </w:r>
    </w:p>
    <w:p>
      <w:pPr>
        <w:pStyle w:val="Compact"/>
        <w:numPr>
          <w:numId w:val="1005"/>
          <w:ilvl w:val="0"/>
        </w:numPr>
      </w:pPr>
      <w:r>
        <w:t xml:space="preserve">kvalita poskytovaného zboží a služeb</w:t>
      </w:r>
    </w:p>
    <w:p>
      <w:pPr>
        <w:pStyle w:val="Compact"/>
        <w:numPr>
          <w:numId w:val="1005"/>
          <w:ilvl w:val="0"/>
        </w:numPr>
      </w:pPr>
      <w:r>
        <w:t xml:space="preserve">zákaznický servis</w:t>
      </w:r>
    </w:p>
    <w:p>
      <w:pPr>
        <w:pStyle w:val="Compact"/>
        <w:numPr>
          <w:numId w:val="1006"/>
          <w:ilvl w:val="0"/>
        </w:numPr>
      </w:pPr>
      <w:r>
        <w:t xml:space="preserve">cenová strategie</w:t>
      </w:r>
    </w:p>
    <w:p>
      <w:pPr>
        <w:pStyle w:val="Compact"/>
        <w:numPr>
          <w:numId w:val="1006"/>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7"/>
          <w:ilvl w:val="0"/>
        </w:numPr>
      </w:pPr>
      <w:r>
        <w:t xml:space="preserve">Standardní právnické osoby,</w:t>
      </w:r>
    </w:p>
    <w:p>
      <w:pPr>
        <w:pStyle w:val="Compact"/>
        <w:numPr>
          <w:numId w:val="1007"/>
          <w:ilvl w:val="0"/>
        </w:numPr>
      </w:pPr>
      <w:r>
        <w:t xml:space="preserve">fyzická osoba podnikatel (živnostenské a neživnostenské podnikání) - pro obchodní korporace nerelevantní,</w:t>
      </w:r>
    </w:p>
    <w:p>
      <w:pPr>
        <w:pStyle w:val="Compact"/>
        <w:numPr>
          <w:numId w:val="1007"/>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8"/>
          <w:ilvl w:val="0"/>
        </w:numPr>
      </w:pPr>
      <w:r>
        <w:t xml:space="preserve">veřejnoprávní osoby,</w:t>
      </w:r>
    </w:p>
    <w:p>
      <w:pPr>
        <w:pStyle w:val="Compact"/>
        <w:numPr>
          <w:numId w:val="1008"/>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9"/>
          <w:ilvl w:val="0"/>
        </w:numPr>
      </w:pPr>
      <w:r>
        <w:t xml:space="preserve">soukromoprávní korporace - společenství osob:</w:t>
      </w:r>
    </w:p>
    <w:p>
      <w:pPr>
        <w:pStyle w:val="Compact"/>
        <w:numPr>
          <w:numId w:val="1009"/>
          <w:ilvl w:val="0"/>
        </w:numPr>
      </w:pPr>
      <w:r>
        <w:t xml:space="preserve">spolky,</w:t>
      </w:r>
    </w:p>
    <w:p>
      <w:pPr>
        <w:pStyle w:val="Compact"/>
        <w:numPr>
          <w:numId w:val="1009"/>
          <w:ilvl w:val="0"/>
        </w:numPr>
      </w:pPr>
      <w:r>
        <w:t xml:space="preserve">obchodní korporace:</w:t>
      </w:r>
    </w:p>
    <w:p>
      <w:pPr>
        <w:pStyle w:val="Compact"/>
        <w:numPr>
          <w:numId w:val="1010"/>
          <w:ilvl w:val="1"/>
        </w:numPr>
      </w:pPr>
      <w:r>
        <w:t xml:space="preserve">obchodní společnosti:</w:t>
      </w:r>
    </w:p>
    <w:p>
      <w:pPr>
        <w:pStyle w:val="Compact"/>
        <w:numPr>
          <w:numId w:val="1010"/>
          <w:ilvl w:val="1"/>
        </w:numPr>
      </w:pPr>
      <w:r>
        <w:t xml:space="preserve">evropská společnost,</w:t>
      </w:r>
    </w:p>
    <w:p>
      <w:pPr>
        <w:pStyle w:val="Compact"/>
        <w:numPr>
          <w:numId w:val="1010"/>
          <w:ilvl w:val="1"/>
        </w:numPr>
      </w:pPr>
      <w:r>
        <w:t xml:space="preserve">a.s. - kapitálová společnost,</w:t>
      </w:r>
    </w:p>
    <w:p>
      <w:pPr>
        <w:pStyle w:val="Compact"/>
        <w:numPr>
          <w:numId w:val="1010"/>
          <w:ilvl w:val="1"/>
        </w:numPr>
      </w:pPr>
      <w:r>
        <w:t xml:space="preserve">s.r.o - kapitálová společnost,</w:t>
      </w:r>
    </w:p>
    <w:p>
      <w:pPr>
        <w:pStyle w:val="Compact"/>
        <w:numPr>
          <w:numId w:val="1010"/>
          <w:ilvl w:val="1"/>
        </w:numPr>
      </w:pPr>
      <w:r>
        <w:t xml:space="preserve">v.o.s. - osobní společnost,</w:t>
      </w:r>
    </w:p>
    <w:p>
      <w:pPr>
        <w:pStyle w:val="Compact"/>
        <w:numPr>
          <w:numId w:val="1010"/>
          <w:ilvl w:val="1"/>
        </w:numPr>
      </w:pPr>
      <w:r>
        <w:t xml:space="preserve">komanditní společnost - osobní společnost.</w:t>
      </w:r>
    </w:p>
    <w:p>
      <w:pPr>
        <w:pStyle w:val="Compact"/>
        <w:numPr>
          <w:numId w:val="1010"/>
          <w:ilvl w:val="1"/>
        </w:numPr>
      </w:pPr>
      <w:r>
        <w:t xml:space="preserve">družstva,</w:t>
      </w:r>
    </w:p>
    <w:p>
      <w:pPr>
        <w:pStyle w:val="Compact"/>
        <w:numPr>
          <w:numId w:val="1009"/>
          <w:ilvl w:val="0"/>
        </w:numPr>
      </w:pPr>
      <w:r>
        <w:t xml:space="preserve">fundace - společenství majetku:</w:t>
      </w:r>
    </w:p>
    <w:p>
      <w:pPr>
        <w:pStyle w:val="Compact"/>
        <w:numPr>
          <w:numId w:val="1009"/>
          <w:ilvl w:val="0"/>
        </w:numPr>
      </w:pPr>
      <w:r>
        <w:t xml:space="preserve">nadece,</w:t>
      </w:r>
    </w:p>
    <w:p>
      <w:pPr>
        <w:pStyle w:val="Compact"/>
        <w:numPr>
          <w:numId w:val="1009"/>
          <w:ilvl w:val="0"/>
        </w:numPr>
      </w:pPr>
      <w:r>
        <w:t xml:space="preserve">nadační fondy,</w:t>
      </w:r>
    </w:p>
    <w:p>
      <w:pPr>
        <w:pStyle w:val="Compact"/>
        <w:numPr>
          <w:numId w:val="1009"/>
          <w:ilvl w:val="0"/>
        </w:numPr>
      </w:pPr>
      <w:r>
        <w:t xml:space="preserve">ústavy (a přetrvávající o.p.s.) - společenství osob a majetku.</w:t>
      </w:r>
    </w:p>
    <w:p>
      <w:pPr>
        <w:pStyle w:val="BlockText"/>
      </w:pPr>
      <w:r>
        <w:rPr>
          <w:i/>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pStyle w:val="Compact"/>
        <w:numPr>
          <w:numId w:val="1011"/>
          <w:ilvl w:val="0"/>
        </w:numPr>
      </w:pPr>
      <w:r>
        <w:t xml:space="preserve">spolek</w:t>
      </w:r>
    </w:p>
    <w:p>
      <w:pPr>
        <w:pStyle w:val="Compact"/>
        <w:numPr>
          <w:numId w:val="1011"/>
          <w:ilvl w:val="0"/>
        </w:numPr>
      </w:pPr>
      <w:r>
        <w:t xml:space="preserve">nejvyšší orgán: členská schůze,</w:t>
      </w:r>
    </w:p>
    <w:p>
      <w:pPr>
        <w:pStyle w:val="Compact"/>
        <w:numPr>
          <w:numId w:val="1011"/>
          <w:ilvl w:val="0"/>
        </w:numPr>
      </w:pPr>
      <w:r>
        <w:t xml:space="preserve">statutární orgán: kolektivní - výbor, nebo individuální - předseda,</w:t>
      </w:r>
    </w:p>
    <w:p>
      <w:pPr>
        <w:pStyle w:val="Compact"/>
        <w:numPr>
          <w:numId w:val="1011"/>
          <w:ilvl w:val="0"/>
        </w:numPr>
      </w:pPr>
      <w:r>
        <w:t xml:space="preserve">další možné orgány stanovené ve stanovách, například kontrolní a rozhodčí komise</w:t>
      </w:r>
    </w:p>
    <w:p>
      <w:pPr>
        <w:pStyle w:val="Compact"/>
        <w:numPr>
          <w:numId w:val="1011"/>
          <w:ilvl w:val="0"/>
        </w:numPr>
      </w:pPr>
      <w:r>
        <w:t xml:space="preserve">a.s.</w:t>
      </w:r>
    </w:p>
    <w:p>
      <w:pPr>
        <w:pStyle w:val="Compact"/>
        <w:numPr>
          <w:numId w:val="1011"/>
          <w:ilvl w:val="0"/>
        </w:numPr>
      </w:pPr>
      <w:r>
        <w:t xml:space="preserve">dualistický systém:</w:t>
      </w:r>
    </w:p>
    <w:p>
      <w:pPr>
        <w:pStyle w:val="Compact"/>
        <w:numPr>
          <w:numId w:val="1012"/>
          <w:ilvl w:val="1"/>
        </w:numPr>
      </w:pPr>
      <w:r>
        <w:t xml:space="preserve">nejvyšší orgán: valná hromada,</w:t>
      </w:r>
    </w:p>
    <w:p>
      <w:pPr>
        <w:pStyle w:val="Compact"/>
        <w:numPr>
          <w:numId w:val="1012"/>
          <w:ilvl w:val="1"/>
        </w:numPr>
      </w:pPr>
      <w:r>
        <w:t xml:space="preserve">statutární orgán: představenstvo,</w:t>
      </w:r>
    </w:p>
    <w:p>
      <w:pPr>
        <w:pStyle w:val="Compact"/>
        <w:numPr>
          <w:numId w:val="1012"/>
          <w:ilvl w:val="1"/>
        </w:numPr>
      </w:pPr>
      <w:r>
        <w:t xml:space="preserve">kontrolní orgán: dozorčí rada,</w:t>
      </w:r>
    </w:p>
    <w:p>
      <w:pPr>
        <w:pStyle w:val="Compact"/>
        <w:numPr>
          <w:numId w:val="1011"/>
          <w:ilvl w:val="0"/>
        </w:numPr>
      </w:pPr>
      <w:r>
        <w:t xml:space="preserve">monistický systém:</w:t>
      </w:r>
    </w:p>
    <w:p>
      <w:pPr>
        <w:pStyle w:val="Compact"/>
        <w:numPr>
          <w:numId w:val="1013"/>
          <w:ilvl w:val="1"/>
        </w:numPr>
      </w:pPr>
      <w:r>
        <w:t xml:space="preserve">nejvyšší orgán: valná hromada,</w:t>
      </w:r>
    </w:p>
    <w:p>
      <w:pPr>
        <w:pStyle w:val="Compact"/>
        <w:numPr>
          <w:numId w:val="1013"/>
          <w:ilvl w:val="1"/>
        </w:numPr>
      </w:pPr>
      <w:r>
        <w:t xml:space="preserve">statutární orgán: správní rada a statutární ředitel</w:t>
      </w:r>
    </w:p>
    <w:p>
      <w:pPr>
        <w:pStyle w:val="Compact"/>
        <w:numPr>
          <w:numId w:val="1011"/>
          <w:ilvl w:val="0"/>
        </w:numPr>
      </w:pPr>
      <w:r>
        <w:t xml:space="preserve">s.r.o.</w:t>
      </w:r>
    </w:p>
    <w:p>
      <w:pPr>
        <w:pStyle w:val="Compact"/>
        <w:numPr>
          <w:numId w:val="1011"/>
          <w:ilvl w:val="0"/>
        </w:numPr>
      </w:pPr>
      <w:r>
        <w:t xml:space="preserve">nejvyšší orgán: valná hromada - všichni společníci,</w:t>
      </w:r>
    </w:p>
    <w:p>
      <w:pPr>
        <w:pStyle w:val="Compact"/>
        <w:numPr>
          <w:numId w:val="1011"/>
          <w:ilvl w:val="0"/>
        </w:numPr>
      </w:pPr>
      <w:r>
        <w:t xml:space="preserve">statutární orgán: jednatelé,</w:t>
      </w:r>
    </w:p>
    <w:p>
      <w:pPr>
        <w:pStyle w:val="Compact"/>
        <w:numPr>
          <w:numId w:val="1011"/>
          <w:ilvl w:val="0"/>
        </w:numPr>
      </w:pPr>
      <w:r>
        <w:t xml:space="preserve">kontrolní orgán: dozorčí rada</w:t>
      </w:r>
    </w:p>
    <w:p>
      <w:pPr>
        <w:pStyle w:val="Compact"/>
        <w:numPr>
          <w:numId w:val="1011"/>
          <w:ilvl w:val="0"/>
        </w:numPr>
      </w:pPr>
      <w:r>
        <w:t xml:space="preserve">v.o.s.</w:t>
      </w:r>
    </w:p>
    <w:p>
      <w:pPr>
        <w:pStyle w:val="Compact"/>
        <w:numPr>
          <w:numId w:val="1011"/>
          <w:ilvl w:val="0"/>
        </w:numPr>
      </w:pPr>
      <w:r>
        <w:t xml:space="preserve">statutární orgán: všichni společníci</w:t>
      </w:r>
    </w:p>
    <w:p>
      <w:pPr>
        <w:pStyle w:val="Compact"/>
        <w:numPr>
          <w:numId w:val="1011"/>
          <w:ilvl w:val="0"/>
        </w:numPr>
      </w:pPr>
      <w:r>
        <w:t xml:space="preserve">k.s.</w:t>
      </w:r>
    </w:p>
    <w:p>
      <w:pPr>
        <w:pStyle w:val="Compact"/>
        <w:numPr>
          <w:numId w:val="1011"/>
          <w:ilvl w:val="0"/>
        </w:numPr>
      </w:pPr>
      <w:r>
        <w:t xml:space="preserve">společníci:</w:t>
      </w:r>
    </w:p>
    <w:p>
      <w:pPr>
        <w:pStyle w:val="Compact"/>
        <w:numPr>
          <w:numId w:val="1014"/>
          <w:ilvl w:val="1"/>
        </w:numPr>
      </w:pPr>
      <w:r>
        <w:t xml:space="preserve">komplementáři - ručí neomezeně, faktický statutární orgán</w:t>
      </w:r>
    </w:p>
    <w:p>
      <w:pPr>
        <w:pStyle w:val="Compact"/>
        <w:numPr>
          <w:numId w:val="1014"/>
          <w:ilvl w:val="1"/>
        </w:numPr>
      </w:pPr>
      <w:r>
        <w:t xml:space="preserve">komanditisté - ručí do výše svého nesplaceného vkladu</w:t>
      </w:r>
    </w:p>
    <w:p>
      <w:pPr>
        <w:pStyle w:val="Compact"/>
        <w:numPr>
          <w:numId w:val="1011"/>
          <w:ilvl w:val="0"/>
        </w:numPr>
      </w:pPr>
      <w:r>
        <w:t xml:space="preserve">družstvo (SVJ):</w:t>
      </w:r>
    </w:p>
    <w:p>
      <w:pPr>
        <w:pStyle w:val="Compact"/>
        <w:numPr>
          <w:numId w:val="1011"/>
          <w:ilvl w:val="0"/>
        </w:numPr>
      </w:pPr>
      <w:r>
        <w:t xml:space="preserve">nejvyšší orgán: členská schůze,</w:t>
      </w:r>
    </w:p>
    <w:p>
      <w:pPr>
        <w:pStyle w:val="Compact"/>
        <w:numPr>
          <w:numId w:val="1011"/>
          <w:ilvl w:val="0"/>
        </w:numPr>
      </w:pPr>
      <w:r>
        <w:t xml:space="preserve">statutární orgán: představenstvo,</w:t>
      </w:r>
    </w:p>
    <w:p>
      <w:pPr>
        <w:pStyle w:val="Compact"/>
        <w:numPr>
          <w:numId w:val="1011"/>
          <w:ilvl w:val="0"/>
        </w:numPr>
      </w:pPr>
      <w:r>
        <w:t xml:space="preserve">kontrolní orgán: kontrolní komise</w:t>
      </w:r>
    </w:p>
    <w:p>
      <w:pPr>
        <w:pStyle w:val="Compact"/>
        <w:numPr>
          <w:numId w:val="1011"/>
          <w:ilvl w:val="0"/>
        </w:numPr>
      </w:pPr>
      <w:r>
        <w:t xml:space="preserve">nadace:</w:t>
      </w:r>
    </w:p>
    <w:p>
      <w:pPr>
        <w:pStyle w:val="Compact"/>
        <w:numPr>
          <w:numId w:val="1011"/>
          <w:ilvl w:val="0"/>
        </w:numPr>
      </w:pPr>
      <w:r>
        <w:t xml:space="preserve">statutární orgán: správní rada</w:t>
      </w:r>
    </w:p>
    <w:p>
      <w:pPr>
        <w:pStyle w:val="Compact"/>
        <w:numPr>
          <w:numId w:val="1011"/>
          <w:ilvl w:val="0"/>
        </w:numPr>
      </w:pPr>
      <w:r>
        <w:t xml:space="preserve">kontrolní orgán: dozorčí rada, nebo revizor</w:t>
      </w:r>
    </w:p>
    <w:p>
      <w:pPr>
        <w:pStyle w:val="Compact"/>
        <w:numPr>
          <w:numId w:val="1011"/>
          <w:ilvl w:val="0"/>
        </w:numPr>
      </w:pPr>
      <w:r>
        <w:t xml:space="preserve">nadační fond:</w:t>
      </w:r>
    </w:p>
    <w:p>
      <w:pPr>
        <w:pStyle w:val="Compact"/>
        <w:numPr>
          <w:numId w:val="1011"/>
          <w:ilvl w:val="0"/>
        </w:numPr>
      </w:pPr>
      <w:r>
        <w:t xml:space="preserve">statutární orgán: správní rada</w:t>
      </w:r>
    </w:p>
    <w:p>
      <w:pPr>
        <w:pStyle w:val="Compact"/>
        <w:numPr>
          <w:numId w:val="1011"/>
          <w:ilvl w:val="0"/>
        </w:numPr>
      </w:pPr>
      <w:r>
        <w:t xml:space="preserve">kontrolní orgán: revizor</w:t>
      </w:r>
    </w:p>
    <w:p>
      <w:pPr>
        <w:pStyle w:val="Compact"/>
        <w:numPr>
          <w:numId w:val="1011"/>
          <w:ilvl w:val="0"/>
        </w:numPr>
      </w:pPr>
      <w:r>
        <w:t xml:space="preserve">ústav:</w:t>
      </w:r>
    </w:p>
    <w:p>
      <w:pPr>
        <w:pStyle w:val="Compact"/>
        <w:numPr>
          <w:numId w:val="1011"/>
          <w:ilvl w:val="0"/>
        </w:numPr>
      </w:pPr>
      <w:r>
        <w:t xml:space="preserve">statutární orgán: ředitel ústavu,</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Compact"/>
        <w:numPr>
          <w:numId w:val="1011"/>
          <w:ilvl w:val="0"/>
        </w:numPr>
      </w:pPr>
      <w:r>
        <w:t xml:space="preserve">o.p.s.</w:t>
      </w:r>
    </w:p>
    <w:p>
      <w:pPr>
        <w:pStyle w:val="Compact"/>
        <w:numPr>
          <w:numId w:val="1011"/>
          <w:ilvl w:val="0"/>
        </w:numPr>
      </w:pPr>
      <w:r>
        <w:t xml:space="preserve">statutární orgán: ředitel společnosti,</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5"/>
          <w:ilvl w:val="0"/>
        </w:numPr>
      </w:pPr>
      <w:r>
        <w:t xml:space="preserve">církev,</w:t>
      </w:r>
    </w:p>
    <w:p>
      <w:pPr>
        <w:pStyle w:val="Compact"/>
        <w:numPr>
          <w:numId w:val="1015"/>
          <w:ilvl w:val="0"/>
        </w:numPr>
      </w:pPr>
      <w:r>
        <w:t xml:space="preserve">náboženská společnost,</w:t>
      </w:r>
    </w:p>
    <w:p>
      <w:pPr>
        <w:pStyle w:val="Compact"/>
        <w:numPr>
          <w:numId w:val="1015"/>
          <w:ilvl w:val="0"/>
        </w:numPr>
      </w:pPr>
      <w:r>
        <w:t xml:space="preserve">evidovaná právnická osoba,</w:t>
      </w:r>
    </w:p>
    <w:p>
      <w:pPr>
        <w:pStyle w:val="Compact"/>
        <w:numPr>
          <w:numId w:val="1015"/>
          <w:ilvl w:val="0"/>
        </w:numPr>
      </w:pPr>
      <w:r>
        <w:t xml:space="preserve">společenství vlastníků jednotek</w:t>
      </w:r>
    </w:p>
    <w:p>
      <w:pPr>
        <w:pStyle w:val="Compact"/>
        <w:numPr>
          <w:numId w:val="1015"/>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6"/>
          <w:ilvl w:val="0"/>
        </w:numPr>
      </w:pPr>
      <w:r>
        <w:t xml:space="preserve">individuální - například podnikatel FO - OSVČ,</w:t>
      </w:r>
    </w:p>
    <w:p>
      <w:pPr>
        <w:pStyle w:val="Compact"/>
        <w:numPr>
          <w:numId w:val="1016"/>
          <w:ilvl w:val="0"/>
        </w:numPr>
      </w:pPr>
      <w:r>
        <w:t xml:space="preserve">societní - societa dle OZ, obligační sdružení bez právní subjektivity, tichá společnost, tichý společník - závazkový vztah, relativní práva,</w:t>
      </w:r>
    </w:p>
    <w:p>
      <w:pPr>
        <w:pStyle w:val="Compact"/>
        <w:numPr>
          <w:numId w:val="1016"/>
          <w:ilvl w:val="0"/>
        </w:numPr>
      </w:pPr>
      <w:r>
        <w:t xml:space="preserve">joint ventures - dva subjekty poolnou resources a založí další subjekt, ale zařadil bych sem i holding - dopadá pak například na příplatkovou povinnost, kterou má pak více subjektů - je tedy větší pravděpodobnost odvrácení úpadku,</w:t>
      </w:r>
    </w:p>
    <w:p>
      <w:pPr>
        <w:pStyle w:val="Compact"/>
        <w:numPr>
          <w:numId w:val="1016"/>
          <w:ilvl w:val="0"/>
        </w:numPr>
      </w:pPr>
      <w:r>
        <w:t xml:space="preserve">osobní společnosti - v.o.s., k.s. - ručí se společně a nerozdílně celým majetkem,</w:t>
      </w:r>
    </w:p>
    <w:p>
      <w:pPr>
        <w:pStyle w:val="Compact"/>
        <w:numPr>
          <w:numId w:val="1016"/>
          <w:ilvl w:val="0"/>
        </w:numPr>
      </w:pPr>
      <w:r>
        <w:t xml:space="preserve">kapitálové společnosti - s.r.o., a.s. - ručí se do výše nesplaceného vkladu,</w:t>
      </w:r>
    </w:p>
    <w:p>
      <w:pPr>
        <w:pStyle w:val="Compact"/>
        <w:numPr>
          <w:numId w:val="1016"/>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7"/>
          <w:ilvl w:val="0"/>
        </w:numPr>
      </w:pPr>
      <w:r>
        <w:t xml:space="preserve">Formálního vlastníka - jedná se o konečného vlastníka, standardně někoho, kdo je zapsát v registru - společník,</w:t>
      </w:r>
    </w:p>
    <w:p>
      <w:pPr>
        <w:pStyle w:val="Compact"/>
        <w:numPr>
          <w:numId w:val="1017"/>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7"/>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
        </w:rPr>
        <w:t xml:space="preserve">Příklad</w:t>
      </w:r>
      <w:r>
        <w:t xml:space="preserve">:</w:t>
      </w:r>
    </w:p>
    <w:p>
      <w:pPr>
        <w:pStyle w:val="BodyText"/>
      </w:pPr>
      <w:r>
        <w:t xml:space="preserve">Akciová společnost:</w:t>
      </w:r>
    </w:p>
    <w:p>
      <w:pPr>
        <w:pStyle w:val="Compact"/>
        <w:numPr>
          <w:numId w:val="1018"/>
          <w:ilvl w:val="0"/>
        </w:numPr>
      </w:pPr>
      <w:r>
        <w:t xml:space="preserve">formální vlastník: nejvyšší orgán - valná hromada,</w:t>
      </w:r>
    </w:p>
    <w:p>
      <w:pPr>
        <w:pStyle w:val="Compact"/>
        <w:numPr>
          <w:numId w:val="1018"/>
          <w:ilvl w:val="0"/>
        </w:numPr>
      </w:pPr>
      <w:r>
        <w:t xml:space="preserve">faktický vlastník: statutární orgán - představenstvo - správce,</w:t>
      </w:r>
    </w:p>
    <w:p>
      <w:pPr>
        <w:pStyle w:val="Compact"/>
        <w:numPr>
          <w:numId w:val="1018"/>
          <w:ilvl w:val="0"/>
        </w:numPr>
      </w:pPr>
      <w:r>
        <w:t xml:space="preserve">residuální (ekonomický) vlastník:</w:t>
      </w:r>
    </w:p>
    <w:p>
      <w:pPr>
        <w:pStyle w:val="Compact"/>
        <w:numPr>
          <w:numId w:val="1018"/>
          <w:ilvl w:val="0"/>
        </w:numPr>
      </w:pPr>
      <w:r>
        <w:t xml:space="preserve">v běžném případě formální vlastníci - dividenda,</w:t>
      </w:r>
    </w:p>
    <w:p>
      <w:pPr>
        <w:pStyle w:val="Compact"/>
        <w:numPr>
          <w:numId w:val="1018"/>
          <w:ilvl w:val="0"/>
        </w:numPr>
      </w:pPr>
      <w:r>
        <w:t xml:space="preserve">při předlužení - věřitelé - například banka.</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9"/>
          <w:ilvl w:val="0"/>
        </w:numPr>
      </w:pPr>
      <w:r>
        <w:t xml:space="preserve">Společníků (Shareholderů - vlastní share, zájem na výkonu společnosti především kvůli zhodnocení jeho majetku)</w:t>
      </w:r>
    </w:p>
    <w:p>
      <w:pPr>
        <w:pStyle w:val="Compact"/>
        <w:numPr>
          <w:numId w:val="1019"/>
          <w:ilvl w:val="0"/>
        </w:numPr>
      </w:pPr>
      <w:r>
        <w:t xml:space="preserve">Stakeholderů (Zájem na výkon společnosti i pro ostatní důvody, než zhodnocení jejího majetku)</w:t>
      </w:r>
    </w:p>
    <w:p>
      <w:pPr>
        <w:pStyle w:val="Compact"/>
        <w:numPr>
          <w:numId w:val="1019"/>
          <w:ilvl w:val="0"/>
        </w:numPr>
      </w:pPr>
      <w:r>
        <w:t xml:space="preserve">vnitřních stakeholderů - subjekty uvnitř subjektu - zaměstnanci, manažeři a samotní shareholdeři,</w:t>
      </w:r>
    </w:p>
    <w:p>
      <w:pPr>
        <w:pStyle w:val="Compact"/>
        <w:numPr>
          <w:numId w:val="1019"/>
          <w:ilvl w:val="0"/>
        </w:numPr>
      </w:pPr>
      <w:r>
        <w:t xml:space="preserve">vnějších stakeholderů - subjekty mimo subjektu - investoři, věřitelé, zákazníci (odběratelé), dodavatelé, lidé žijící v okolí subjektu etc.</w:t>
      </w:r>
    </w:p>
    <w:p>
      <w:pPr>
        <w:pStyle w:val="Compact"/>
        <w:numPr>
          <w:numId w:val="1019"/>
          <w:ilvl w:val="0"/>
        </w:numPr>
      </w:pPr>
      <w:r>
        <w:t xml:space="preserve">Orgánů veřejné moci</w:t>
      </w:r>
    </w:p>
    <w:p>
      <w:pPr>
        <w:pStyle w:val="Compact"/>
        <w:numPr>
          <w:numId w:val="1019"/>
          <w:ilvl w:val="0"/>
        </w:numPr>
      </w:pPr>
      <w:r>
        <w:t xml:space="preserve">Věřitelů</w:t>
      </w:r>
    </w:p>
    <w:p>
      <w:pPr>
        <w:pStyle w:val="Compact"/>
        <w:numPr>
          <w:numId w:val="1019"/>
          <w:ilvl w:val="0"/>
        </w:numPr>
      </w:pPr>
      <w:r>
        <w:t xml:space="preserve">jednotlivých věřitelů</w:t>
      </w:r>
    </w:p>
    <w:p>
      <w:pPr>
        <w:pStyle w:val="Compact"/>
        <w:numPr>
          <w:numId w:val="1019"/>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20"/>
          <w:ilvl w:val="0"/>
        </w:numPr>
      </w:pPr>
      <w:r>
        <w:t xml:space="preserve">Test předlužení (rozvahový test)</w:t>
      </w:r>
    </w:p>
    <w:p>
      <w:pPr>
        <w:pStyle w:val="Compact"/>
        <w:numPr>
          <w:numId w:val="1020"/>
          <w:ilvl w:val="0"/>
        </w:numPr>
      </w:pPr>
      <w:r>
        <w:t xml:space="preserve">Test likvidity</w:t>
      </w:r>
    </w:p>
    <w:p>
      <w:pPr>
        <w:pStyle w:val="Heading4"/>
      </w:pPr>
      <w:bookmarkStart w:id="32" w:name="rozvahový-test"/>
      <w:bookmarkEnd w:id="32"/>
      <w:r>
        <w:t xml:space="preserve">Rozvahový test</w:t>
      </w:r>
    </w:p>
    <w:p>
      <w:pPr>
        <w:pStyle w:val="FirstParagraph"/>
      </w:pPr>
      <w:r>
        <w:t xml:space="preserve">Rozvahový test vyplývá z toho, zda jsou splněny podmínky předlužení.</w:t>
      </w:r>
    </w:p>
    <w:p>
      <w:pPr>
        <w:pStyle w:val="Heading4"/>
      </w:pPr>
      <w:bookmarkStart w:id="33" w:name="test-likvidity"/>
      <w:bookmarkEnd w:id="33"/>
      <w:r>
        <w:t xml:space="preserve">Test likvidity</w:t>
      </w:r>
    </w:p>
    <w:p>
      <w:pPr>
        <w:pStyle w:val="FirstParagraph"/>
      </w:pPr>
      <w:r>
        <w:t xml:space="preserve">Test likvidity vyplývá z toho, zda jsou splněny podmínky platební neschopnosti.</w:t>
      </w:r>
    </w:p>
    <w:p>
      <w:pPr>
        <w:pStyle w:val="Heading2"/>
      </w:pPr>
      <w:bookmarkStart w:id="34" w:name="výběr-obchodní-společnosti"/>
      <w:bookmarkEnd w:id="34"/>
      <w:r>
        <w:t xml:space="preserve">Výběr obchodní společnosti</w:t>
      </w:r>
    </w:p>
    <w:p>
      <w:pPr>
        <w:pStyle w:val="FirstParagraph"/>
      </w:pPr>
      <w:r>
        <w:t xml:space="preserve">Při výběru obchodní společnosti jako formy podnikání je třeba zvažovat, zda a v jakém rozsahu ručí společníci za závazky společnosti.</w:t>
      </w:r>
    </w:p>
    <w:p>
      <w:pPr>
        <w:pStyle w:val="BodyText"/>
      </w:pPr>
      <w:r>
        <w:t xml:space="preserve">Rozdíl spočívá zejména mezi osobními a kapitálovými společnostmi.</w:t>
      </w:r>
    </w:p>
    <w:p>
      <w:pPr>
        <w:pStyle w:val="Heading3"/>
      </w:pPr>
      <w:bookmarkStart w:id="35" w:name="veřejná-obchodní-společnost"/>
      <w:bookmarkEnd w:id="35"/>
      <w:r>
        <w:t xml:space="preserve">Veřejná obchodní společnost</w:t>
      </w:r>
    </w:p>
    <w:p>
      <w:pPr>
        <w:pStyle w:val="FirstParagraph"/>
      </w:pPr>
      <w:r>
        <w:t xml:space="preserve">§ 95/1 ZOK</w:t>
      </w:r>
    </w:p>
    <w:p>
      <w:pPr>
        <w:pStyle w:val="BodyText"/>
      </w:pPr>
      <w:r>
        <w:t xml:space="preserve">Veřejná obchodní společnost je společnost alespoň dvou osob, které se účastní na jejím podnikání nebo správě jejího majetku a ručí za její dluhy společně a nerozdílně.</w:t>
      </w:r>
    </w:p>
    <w:p>
      <w:pPr>
        <w:pStyle w:val="Heading3"/>
      </w:pPr>
      <w:bookmarkStart w:id="36" w:name="komanditní-společnost"/>
      <w:bookmarkEnd w:id="36"/>
      <w:r>
        <w:t xml:space="preserve">Komanditní společnost</w:t>
      </w:r>
    </w:p>
    <w:p>
      <w:pPr>
        <w:pStyle w:val="FirstParagraph"/>
      </w:pPr>
      <w:r>
        <w:t xml:space="preserve">§ 118/1 ZOK</w:t>
      </w:r>
    </w:p>
    <w:p>
      <w:pPr>
        <w:pStyle w:val="BodyText"/>
      </w:pPr>
      <w:r>
        <w:t xml:space="preserve">Komanditní společnost je společnost, v níž alespoň jeden společník ručí za její dluhy omezeně (dále jen "komanditista") a alespoň jeden společník neomezeně (dále jen "komplementář").</w:t>
      </w:r>
    </w:p>
    <w:p>
      <w:pPr>
        <w:pStyle w:val="Heading3"/>
      </w:pPr>
      <w:bookmarkStart w:id="37" w:name="společnost-s-ručením-omezeným"/>
      <w:bookmarkEnd w:id="37"/>
      <w:r>
        <w:t xml:space="preserve">Společnost s ručením omezeným</w:t>
      </w:r>
    </w:p>
    <w:p>
      <w:pPr>
        <w:pStyle w:val="FirstParagraph"/>
      </w:pPr>
      <w:r>
        <w:t xml:space="preserve">§ 132/1 ZOK</w:t>
      </w:r>
    </w:p>
    <w:p>
      <w:pPr>
        <w:pStyle w:val="BodyText"/>
      </w:pPr>
      <w:r>
        <w:t xml:space="preserve">Společnost s ručením omezeným je společnost, za jejíž dluhy ručí společníci společně a nerozdílně do výše, v jaké nesplnili vkladové povinnosti podle stavu zapsaného v obchodním rejstříku v době, kdy byli věřitelem vyzváni k plnění.</w:t>
      </w:r>
    </w:p>
    <w:p>
      <w:pPr>
        <w:pStyle w:val="Heading3"/>
      </w:pPr>
      <w:bookmarkStart w:id="38" w:name="akciová-společnost"/>
      <w:bookmarkEnd w:id="38"/>
      <w:r>
        <w:t xml:space="preserve">Akciová společnost</w:t>
      </w:r>
    </w:p>
    <w:p>
      <w:pPr>
        <w:pStyle w:val="FirstParagraph"/>
      </w:pPr>
      <w:r>
        <w:t xml:space="preserve">§ 243/1 ZOK</w:t>
      </w:r>
    </w:p>
    <w:p>
      <w:pPr>
        <w:pStyle w:val="BodyText"/>
      </w:pPr>
      <w:r>
        <w:t xml:space="preserve">Akciovou společností je společnost, jejíž základní kapitál je rozvržen na určitý počet akcií.</w:t>
      </w:r>
    </w:p>
    <w:p>
      <w:pPr>
        <w:pStyle w:val="Heading3"/>
      </w:pPr>
      <w:bookmarkStart w:id="39" w:name="fundace"/>
      <w:bookmarkEnd w:id="39"/>
      <w:r>
        <w:t xml:space="preserve">Fundace</w:t>
      </w:r>
    </w:p>
    <w:p>
      <w:pPr>
        <w:pStyle w:val="FirstParagraph"/>
      </w:pPr>
      <w:r>
        <w:t xml:space="preserve">§ 303 OZ</w:t>
      </w:r>
    </w:p>
    <w:p>
      <w:pPr>
        <w:pStyle w:val="BodyText"/>
      </w:pPr>
      <w:r>
        <w:t xml:space="preserve">Fundace je právnická osoba vytvořená majetkem vyčleněným k určitému účelu. Její činnost se váže na účel, k němuž byla zřízena.</w:t>
      </w:r>
    </w:p>
    <w:p>
      <w:pPr>
        <w:pStyle w:val="BodyText"/>
      </w:pPr>
      <w:r>
        <w:t xml:space="preserve">Fundace se dělí na:</w:t>
      </w:r>
    </w:p>
    <w:p>
      <w:pPr>
        <w:pStyle w:val="Compact"/>
        <w:numPr>
          <w:numId w:val="1022"/>
          <w:ilvl w:val="1"/>
        </w:numPr>
      </w:pPr>
      <w:r>
        <w:t xml:space="preserve">Nadace</w:t>
      </w:r>
    </w:p>
    <w:p>
      <w:pPr>
        <w:pStyle w:val="Compact"/>
        <w:numPr>
          <w:numId w:val="1023"/>
          <w:ilvl w:val="1"/>
        </w:numPr>
      </w:pPr>
      <w:r>
        <w:t xml:space="preserve">Nadační fondy</w:t>
      </w:r>
    </w:p>
    <w:p>
      <w:pPr>
        <w:pStyle w:val="Heading4"/>
      </w:pPr>
      <w:bookmarkStart w:id="40" w:name="nadace"/>
      <w:bookmarkEnd w:id="40"/>
      <w:r>
        <w:t xml:space="preserve">Nadace</w:t>
      </w:r>
    </w:p>
    <w:p>
      <w:pPr>
        <w:pStyle w:val="FirstParagraph"/>
      </w:pPr>
      <w:r>
        <w:t xml:space="preserve">§ 306/1,2 OZ</w:t>
      </w:r>
    </w:p>
    <w:p>
      <w:pPr>
        <w:pStyle w:val="Compact"/>
        <w:numPr>
          <w:numId w:val="1024"/>
          <w:ilvl w:val="0"/>
        </w:numPr>
      </w:pPr>
      <w:r>
        <w:t xml:space="preserve">Zakladatel zakládá nadaci k trvalé službě společensky nebo hospodářsky užitečnému účelu. Účel nadace může být veřejně prospěšný, spočívá-li v podpoře obecného blaha, i dobročinný, spočívá-li v podpoře určitého okruhu osob určených</w:t>
      </w:r>
      <w:r>
        <w:br w:type="textWrapping"/>
      </w:r>
      <w:r>
        <w:t xml:space="preserve">jednotlivě či jinak.</w:t>
      </w:r>
    </w:p>
    <w:p>
      <w:pPr>
        <w:pStyle w:val="Compact"/>
        <w:numPr>
          <w:numId w:val="1024"/>
          <w:ilvl w:val="0"/>
        </w:numPr>
      </w:pPr>
      <w:r>
        <w:t xml:space="preserve">Zakazuje se založit nadaci za účelem podpory politických stran a hnutí nebo jiné účasti na jejich činnosti. Zakazuje se založit nadaci sloužící výlučně výdělečným cílům (podnikání). …</w:t>
      </w:r>
    </w:p>
    <w:p>
      <w:pPr>
        <w:pStyle w:val="FirstParagraph"/>
      </w:pPr>
      <w:r>
        <w:t xml:space="preserve">§ 307/1 OZ</w:t>
      </w:r>
    </w:p>
    <w:p>
      <w:pPr>
        <w:pStyle w:val="Compact"/>
        <w:numPr>
          <w:numId w:val="1025"/>
          <w:ilvl w:val="0"/>
        </w:numPr>
      </w:pPr>
      <w:r>
        <w:t xml:space="preserve">Nadace může podnikat, pokud podnikání představuje pouhou vedlejší činnost a výtěžky podnikání slouží jen k podpoře jejího účelu; nadace však podnikat nesmí, pokud to zakladatel v nadační listině vyloučil. Za stejných podmínek může nadace převzít vedení obchodní společnosti.</w:t>
      </w:r>
    </w:p>
    <w:p>
      <w:pPr>
        <w:pStyle w:val="Heading4"/>
      </w:pPr>
      <w:bookmarkStart w:id="41" w:name="nadační-fond"/>
      <w:bookmarkEnd w:id="41"/>
      <w:r>
        <w:t xml:space="preserve">Nadační fond</w:t>
      </w:r>
    </w:p>
    <w:p>
      <w:pPr>
        <w:pStyle w:val="FirstParagraph"/>
      </w:pPr>
      <w:r>
        <w:t xml:space="preserve">§ 394 OZ</w:t>
      </w:r>
    </w:p>
    <w:p>
      <w:pPr>
        <w:pStyle w:val="Compact"/>
        <w:numPr>
          <w:numId w:val="1026"/>
          <w:ilvl w:val="0"/>
        </w:numPr>
      </w:pPr>
      <w:r>
        <w:t xml:space="preserve">Zakladatel zakládá nadační fond k účelu užitečnému společensky nebo hospodářsky.</w:t>
      </w:r>
    </w:p>
    <w:p>
      <w:pPr>
        <w:pStyle w:val="FirstParagraph"/>
      </w:pPr>
      <w:r>
        <w:t xml:space="preserve">Nadační fond je na rozdíl od nadace jednodušší na založení, administrativu i správu a nemá povinný nadační kapitál. NF nemusí mít narozdíl od nadace trvalou povahu.</w:t>
      </w:r>
    </w:p>
    <w:p>
      <w:pPr>
        <w:pStyle w:val="Heading1"/>
      </w:pPr>
      <w:bookmarkStart w:id="42" w:name="otázka-2"/>
      <w:bookmarkEnd w:id="42"/>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FirstParagraph"/>
      </w:pPr>
      <w:r>
        <w:t xml:space="preserve">Otázky (Kontrolní otázky):</w:t>
      </w:r>
    </w:p>
    <w:p>
      <w:pPr>
        <w:pStyle w:val="BodyText"/>
      </w:pPr>
      <w:r>
        <w:t xml:space="preserve">Student se seznámí se strukturou právní úpravy insolvenčního práva. Student bude schopen uvést, jaké jsou zákonem stanovené předpoklady hrozícího úpadku. Student bude znát podmínky vyhlášení moratoria.</w:t>
      </w:r>
    </w:p>
    <w:p>
      <w:pPr>
        <w:pStyle w:val="Compact"/>
        <w:numPr>
          <w:numId w:val="1027"/>
          <w:ilvl w:val="0"/>
        </w:numPr>
      </w:pPr>
      <w:r>
        <w:t xml:space="preserve">Jak lze zjistit při správě obchodní korporace existenci hrozícího úpadku? -</w:t>
      </w:r>
      <w:r>
        <w:t xml:space="preserve"> </w:t>
      </w:r>
      <w:r>
        <w:rPr>
          <w:b/>
        </w:rPr>
        <w:t xml:space="preserve">Zodpovězeno</w:t>
      </w:r>
    </w:p>
    <w:p>
      <w:pPr>
        <w:pStyle w:val="Compact"/>
        <w:numPr>
          <w:numId w:val="1027"/>
          <w:ilvl w:val="0"/>
        </w:numPr>
      </w:pPr>
      <w:r>
        <w:t xml:space="preserve">Jak lze zjistit při správě obchodní korporace, že nastala hospodářská nedostatečnost? - Správným nastavením compliance, testy insolvence -</w:t>
      </w:r>
      <w:r>
        <w:t xml:space="preserve"> </w:t>
      </w:r>
      <w:r>
        <w:rPr>
          <w:b/>
        </w:rPr>
        <w:t xml:space="preserve">Zodpovězeno</w:t>
      </w:r>
    </w:p>
    <w:p>
      <w:pPr>
        <w:pStyle w:val="Compact"/>
        <w:numPr>
          <w:numId w:val="1027"/>
          <w:ilvl w:val="0"/>
        </w:numPr>
      </w:pPr>
      <w:r>
        <w:t xml:space="preserve">Jaké jsou obsahové náležitosti návrhu na moratorium? -</w:t>
      </w:r>
      <w:r>
        <w:t xml:space="preserve"> </w:t>
      </w:r>
      <w:r>
        <w:rPr>
          <w:b/>
        </w:rPr>
        <w:t xml:space="preserve">Zodpovězeno</w:t>
      </w:r>
    </w:p>
    <w:p>
      <w:pPr>
        <w:pStyle w:val="Compact"/>
        <w:numPr>
          <w:numId w:val="1027"/>
          <w:ilvl w:val="0"/>
        </w:numPr>
      </w:pPr>
      <w:r>
        <w:t xml:space="preserve">V jaké lhůtě může podat návrh na vyhlášení moratoria dlužník? - 7 dní -</w:t>
      </w:r>
      <w:r>
        <w:t xml:space="preserve"> </w:t>
      </w:r>
      <w:r>
        <w:rPr>
          <w:b/>
        </w:rPr>
        <w:t xml:space="preserve">Zodpovězeno</w:t>
      </w:r>
    </w:p>
    <w:p>
      <w:pPr>
        <w:pStyle w:val="Compact"/>
        <w:numPr>
          <w:numId w:val="1027"/>
          <w:ilvl w:val="0"/>
        </w:numPr>
      </w:pPr>
      <w:r>
        <w:t xml:space="preserve">V jaké lhůtě může podat návrh na vyhlášení moratoria věřitel? - 15 dní -</w:t>
      </w:r>
      <w:r>
        <w:t xml:space="preserve"> </w:t>
      </w:r>
      <w:r>
        <w:rPr>
          <w:b/>
        </w:rPr>
        <w:t xml:space="preserve">Zodpovězeno</w:t>
      </w:r>
    </w:p>
    <w:p>
      <w:pPr>
        <w:pStyle w:val="Heading2"/>
      </w:pPr>
      <w:bookmarkStart w:id="43" w:name="motivace-a-očekávání-při-správě-korporace"/>
      <w:bookmarkEnd w:id="43"/>
      <w:r>
        <w:t xml:space="preserve">Motivace a očekávání při správě korporace</w:t>
      </w:r>
    </w:p>
    <w:p>
      <w:pPr>
        <w:pStyle w:val="Heading2"/>
      </w:pPr>
      <w:bookmarkStart w:id="44" w:name="ex-ante-význam-insolvenčního-práva"/>
      <w:bookmarkEnd w:id="44"/>
      <w:r>
        <w:t xml:space="preserve">Ex ante význam insolvenčního práva</w:t>
      </w:r>
    </w:p>
    <w:p>
      <w:pPr>
        <w:pStyle w:val="Heading3"/>
      </w:pPr>
      <w:bookmarkStart w:id="45" w:name="co-je-insolvenční-právo"/>
      <w:bookmarkEnd w:id="45"/>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46" w:name="základní-pojmy-pro-pochopení-insolvenčního-práva"/>
      <w:bookmarkEnd w:id="46"/>
      <w:r>
        <w:t xml:space="preserve">Základní pojmy pro pochopení insolvenčního práva:</w:t>
      </w:r>
    </w:p>
    <w:p>
      <w:pPr>
        <w:pStyle w:val="Compact"/>
        <w:numPr>
          <w:numId w:val="1028"/>
          <w:ilvl w:val="0"/>
        </w:numPr>
      </w:pPr>
      <w:r>
        <w:t xml:space="preserve">insolvenční řízení (insolvence): soudní řízení - předmět je dlužníkův úpadek, nebo hrozící úpadek a způsob jeho řešení,</w:t>
      </w:r>
    </w:p>
    <w:p>
      <w:pPr>
        <w:pStyle w:val="Compact"/>
        <w:numPr>
          <w:numId w:val="1028"/>
          <w:ilvl w:val="0"/>
        </w:numPr>
      </w:pPr>
      <w:r>
        <w:t xml:space="preserve">insolvenční soud: soud u kterého probíhá insolvenční řízení,</w:t>
      </w:r>
    </w:p>
    <w:p>
      <w:pPr>
        <w:pStyle w:val="Compact"/>
        <w:numPr>
          <w:numId w:val="1028"/>
          <w:ilvl w:val="0"/>
        </w:numPr>
      </w:pPr>
      <w:r>
        <w:t xml:space="preserve">insolvenční návrh: jedná se o návrh na zahájení insolvenčního řízení podaný soudu,</w:t>
      </w:r>
    </w:p>
    <w:p>
      <w:pPr>
        <w:pStyle w:val="Compact"/>
        <w:numPr>
          <w:numId w:val="1028"/>
          <w:ilvl w:val="0"/>
        </w:numPr>
      </w:pPr>
      <w:r>
        <w:t xml:space="preserve">incidenční spor: spor v rámci insolvenčního řízení podle zákona, projednává ho insolvenční soud,</w:t>
      </w:r>
    </w:p>
    <w:p>
      <w:pPr>
        <w:pStyle w:val="Compact"/>
        <w:numPr>
          <w:numId w:val="1028"/>
          <w:ilvl w:val="0"/>
        </w:numPr>
      </w:pPr>
      <w:r>
        <w:t xml:space="preserve">majetková podstata: majetek dlužníka určený k uspokojení dlužníkových věřitelů - zapisuje se do soupisu majetkové podstaty, zjišťuje se majetková podstata, postup pro určení rozsahu a výše m. p. (neplatnost a neúčinnost právních úkonů, jednání - nakládání s majetkovou podstatou - která zásadně mění jeho výši)</w:t>
      </w:r>
    </w:p>
    <w:p>
      <w:pPr>
        <w:pStyle w:val="Compact"/>
        <w:numPr>
          <w:numId w:val="1028"/>
          <w:ilvl w:val="0"/>
        </w:numPr>
      </w:pPr>
      <w:r>
        <w:t xml:space="preserve">osoba s dispozičními oprávněními: osoba oprávněná nakládat s majetkovou podstatou,</w:t>
      </w:r>
    </w:p>
    <w:p>
      <w:pPr>
        <w:pStyle w:val="Compact"/>
        <w:numPr>
          <w:numId w:val="1028"/>
          <w:ilvl w:val="0"/>
        </w:numPr>
      </w:pPr>
      <w:r>
        <w:t xml:space="preserve">zajištěný věřitel: věřitel jehož pohledávka je zajištěna majetkem, který spadá do majetkové podstaty</w:t>
      </w:r>
    </w:p>
    <w:p>
      <w:pPr>
        <w:pStyle w:val="Compact"/>
        <w:numPr>
          <w:numId w:val="1028"/>
          <w:ilvl w:val="0"/>
        </w:numPr>
      </w:pPr>
      <w:r>
        <w:t xml:space="preserve">přihláška pohledávky: procesní úkon přihlášení pohledávky do insolvenčního řízení</w:t>
      </w:r>
    </w:p>
    <w:p>
      <w:pPr>
        <w:pStyle w:val="Compact"/>
        <w:numPr>
          <w:numId w:val="1028"/>
          <w:ilvl w:val="0"/>
        </w:numPr>
      </w:pPr>
      <w:r>
        <w:t xml:space="preserve">insolvenční rejstřík: rejstřík obsahující údaje podle insolvenčního zákona, vede ho příslušný rejstříkový soud - krajský,</w:t>
      </w:r>
    </w:p>
    <w:p>
      <w:pPr>
        <w:pStyle w:val="Compact"/>
        <w:numPr>
          <w:numId w:val="1028"/>
          <w:ilvl w:val="0"/>
        </w:numPr>
      </w:pPr>
      <w:r>
        <w:t xml:space="preserve">společný zájem věřitelů: zájem věřitelů nadřazený jejich individuálním zájmům,</w:t>
      </w:r>
    </w:p>
    <w:p>
      <w:pPr>
        <w:pStyle w:val="Compact"/>
        <w:numPr>
          <w:numId w:val="1028"/>
          <w:ilvl w:val="0"/>
        </w:numPr>
      </w:pPr>
      <w:r>
        <w:t xml:space="preserve">fianční instituce: banky etc., stanovené zákonem.</w:t>
      </w:r>
    </w:p>
    <w:p>
      <w:pPr>
        <w:pStyle w:val="Heading3"/>
      </w:pPr>
      <w:bookmarkStart w:id="47" w:name="co-je-to-úpadek-kdy-je-dlužník-v-úpadku"/>
      <w:bookmarkEnd w:id="47"/>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Úpadek je neschopnost dlužníka platit své závazky více věřitelům řádně a včas.</w:t>
      </w:r>
    </w:p>
    <w:p>
      <w:pPr>
        <w:pStyle w:val="BodyText"/>
      </w:pPr>
      <w:r>
        <w:t xml:space="preserve">Existují dvě, respektive tři formy úpadku:</w:t>
      </w:r>
    </w:p>
    <w:p>
      <w:pPr>
        <w:pStyle w:val="Compact"/>
        <w:numPr>
          <w:numId w:val="1029"/>
          <w:ilvl w:val="0"/>
        </w:numPr>
      </w:pPr>
      <w:r>
        <w:t xml:space="preserve">platební neschopnost - FO, PO, podnikatel, - jedná se o test insolvence, test cash flow</w:t>
      </w:r>
    </w:p>
    <w:p>
      <w:pPr>
        <w:pStyle w:val="Compact"/>
        <w:numPr>
          <w:numId w:val="1029"/>
          <w:ilvl w:val="0"/>
        </w:numPr>
      </w:pPr>
      <w:r>
        <w:t xml:space="preserve">více věřitelů,</w:t>
      </w:r>
    </w:p>
    <w:p>
      <w:pPr>
        <w:pStyle w:val="Compact"/>
        <w:numPr>
          <w:numId w:val="1029"/>
          <w:ilvl w:val="0"/>
        </w:numPr>
      </w:pPr>
      <w:r>
        <w:rPr>
          <w:b/>
        </w:rPr>
        <w:t xml:space="preserve">peněžité</w:t>
      </w:r>
      <w:r>
        <w:t xml:space="preserve"> </w:t>
      </w:r>
      <w:r>
        <w:t xml:space="preserve">závazky více než 30 dní po splatnosti,</w:t>
      </w:r>
    </w:p>
    <w:p>
      <w:pPr>
        <w:pStyle w:val="Compact"/>
        <w:numPr>
          <w:numId w:val="1029"/>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29"/>
          <w:ilvl w:val="0"/>
        </w:numPr>
      </w:pPr>
      <w:r>
        <w:t xml:space="preserve">předlužení - PO, FO podnikatel, - jedná se o test předlužení, rozvahový test</w:t>
      </w:r>
    </w:p>
    <w:p>
      <w:pPr>
        <w:pStyle w:val="Compact"/>
        <w:numPr>
          <w:numId w:val="1029"/>
          <w:ilvl w:val="0"/>
        </w:numPr>
      </w:pPr>
      <w:r>
        <w:t xml:space="preserve">více věřitelů,</w:t>
      </w:r>
    </w:p>
    <w:p>
      <w:pPr>
        <w:pStyle w:val="Compact"/>
        <w:numPr>
          <w:numId w:val="1029"/>
          <w:ilvl w:val="0"/>
        </w:numPr>
      </w:pPr>
      <w:r>
        <w:t xml:space="preserve">souhrn jeho závazků (nikoli jen splatných) převyšuje hodnotu jeho majetku - hodnotí se i vzhledem k budoucímu vývoji majetku,</w:t>
      </w:r>
    </w:p>
    <w:p>
      <w:pPr>
        <w:pStyle w:val="Compact"/>
        <w:numPr>
          <w:numId w:val="1029"/>
          <w:ilvl w:val="0"/>
        </w:numPr>
      </w:pPr>
      <w:r>
        <w:t xml:space="preserve">hrozící úpadek,</w:t>
      </w:r>
    </w:p>
    <w:p>
      <w:pPr>
        <w:pStyle w:val="Compact"/>
        <w:numPr>
          <w:numId w:val="1029"/>
          <w:ilvl w:val="0"/>
        </w:numPr>
      </w:pPr>
      <w:r>
        <w:t xml:space="preserve">lze-li se zřetelem ke všem okolnostem důvodně předpokládat, že dlužník nebude schopen řádně a včas splnit podstatnou část svých peněžitých závazků.</w:t>
      </w:r>
    </w:p>
    <w:p>
      <w:pPr>
        <w:pStyle w:val="Heading4"/>
      </w:pPr>
      <w:bookmarkStart w:id="48" w:name="platební-neschopnost-fingování-neschopnosti-plnit"/>
      <w:bookmarkEnd w:id="48"/>
      <w:r>
        <w:t xml:space="preserve">Platební neschopnost, fingování neschopnosti plnit</w:t>
      </w:r>
    </w:p>
    <w:p>
      <w:pPr>
        <w:pStyle w:val="FirstParagraph"/>
      </w:pPr>
      <w:r>
        <w:t xml:space="preserve">O platební neschopnost se jedná jestliže dlužník:</w:t>
      </w:r>
    </w:p>
    <w:p>
      <w:pPr>
        <w:pStyle w:val="Compact"/>
        <w:numPr>
          <w:numId w:val="1030"/>
          <w:ilvl w:val="0"/>
        </w:numPr>
      </w:pPr>
      <w:r>
        <w:t xml:space="preserve">zastavil platby podstatné části svých peněžitých závazků, nebo</w:t>
      </w:r>
    </w:p>
    <w:p>
      <w:pPr>
        <w:pStyle w:val="Compact"/>
        <w:numPr>
          <w:numId w:val="1030"/>
          <w:ilvl w:val="0"/>
        </w:numPr>
      </w:pPr>
      <w:r>
        <w:t xml:space="preserve">je neplní po dobu delší 3 měsíců po lhůtě splatnosti, nebo</w:t>
      </w:r>
    </w:p>
    <w:p>
      <w:pPr>
        <w:pStyle w:val="Compact"/>
        <w:numPr>
          <w:numId w:val="1030"/>
          <w:ilvl w:val="0"/>
        </w:numPr>
      </w:pPr>
      <w:r>
        <w:t xml:space="preserve">není možné dosáhnout uspokojení některé ze splatných peněžitých pohledávek vůči dlužníku výkonem rozhodnutí nebo exekucí, nebo</w:t>
      </w:r>
    </w:p>
    <w:p>
      <w:pPr>
        <w:pStyle w:val="Compact"/>
        <w:numPr>
          <w:numId w:val="1030"/>
          <w:ilvl w:val="0"/>
        </w:numPr>
      </w:pPr>
      <w:r>
        <w:t xml:space="preserve">nesplnil povinnost předložit seznamy uvedené v § 104 odst. 1, kterou mu uložil insolvenční soud - tedy předložit seznam veškerého svého majetku včetně svých pohledávek.</w:t>
      </w:r>
    </w:p>
    <w:p>
      <w:pPr>
        <w:pStyle w:val="Heading4"/>
      </w:pPr>
      <w:bookmarkStart w:id="49" w:name="hrozící-úpadek"/>
      <w:bookmarkEnd w:id="49"/>
      <w:r>
        <w:t xml:space="preserve">Hrozící úpadek</w:t>
      </w:r>
    </w:p>
    <w:p>
      <w:pPr>
        <w:pStyle w:val="FirstParagraph"/>
      </w:pPr>
      <w:r>
        <w:t xml:space="preserve">§ 97/7 IZ</w:t>
      </w:r>
    </w:p>
    <w:p>
      <w:pPr>
        <w:pStyle w:val="BodyText"/>
      </w:pPr>
      <w:r>
        <w:t xml:space="preserve">Insolvenční návrh je oprávněn podat dlužník nebo jeho věřitel; jde-li o hrozící úpadek, může insolvenční návrh podat jen dlužník.</w:t>
      </w:r>
    </w:p>
    <w:p>
      <w:pPr>
        <w:pStyle w:val="BodyText"/>
      </w:pPr>
      <w:r>
        <w:t xml:space="preserve">§ 3/5 IZ</w:t>
      </w:r>
    </w:p>
    <w:p>
      <w:pPr>
        <w:pStyle w:val="BodyText"/>
      </w:pPr>
      <w:r>
        <w:t xml:space="preserve">O hrozící úpadek jde tehdy, lze-li se zřetelem ke všem okolnostem důvodně předpokládat, že dlužník nebude schopen řádně a včas splnit podstatnou část svých peněžitých závazků.</w:t>
      </w:r>
    </w:p>
    <w:p>
      <w:pPr>
        <w:pStyle w:val="Heading3"/>
      </w:pPr>
      <w:bookmarkStart w:id="50" w:name="způsoby-řešení-úpadku"/>
      <w:bookmarkEnd w:id="50"/>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31"/>
          <w:ilvl w:val="0"/>
        </w:numPr>
      </w:pPr>
      <w:r>
        <w:t xml:space="preserve">sanační:</w:t>
      </w:r>
    </w:p>
    <w:p>
      <w:pPr>
        <w:pStyle w:val="Compact"/>
        <w:numPr>
          <w:numId w:val="1031"/>
          <w:ilvl w:val="0"/>
        </w:numPr>
      </w:pPr>
      <w:r>
        <w:t xml:space="preserve">oddlužení - FO, PO nepodnikající,</w:t>
      </w:r>
    </w:p>
    <w:p>
      <w:pPr>
        <w:pStyle w:val="Compact"/>
        <w:numPr>
          <w:numId w:val="1031"/>
          <w:ilvl w:val="0"/>
        </w:numPr>
      </w:pPr>
      <w:r>
        <w:t xml:space="preserve">reorganizace - podnikatel,</w:t>
      </w:r>
    </w:p>
    <w:p>
      <w:pPr>
        <w:pStyle w:val="Compact"/>
        <w:numPr>
          <w:numId w:val="1031"/>
          <w:ilvl w:val="0"/>
        </w:numPr>
      </w:pPr>
      <w:r>
        <w:t xml:space="preserve">likvidační,</w:t>
      </w:r>
    </w:p>
    <w:p>
      <w:pPr>
        <w:pStyle w:val="Compact"/>
        <w:numPr>
          <w:numId w:val="1031"/>
          <w:ilvl w:val="0"/>
        </w:numPr>
      </w:pPr>
      <w:r>
        <w:t xml:space="preserve">konkurz - všichni a</w:t>
      </w:r>
    </w:p>
    <w:p>
      <w:pPr>
        <w:pStyle w:val="Compact"/>
        <w:numPr>
          <w:numId w:val="1031"/>
          <w:ilvl w:val="0"/>
        </w:numPr>
      </w:pPr>
      <w:r>
        <w:t xml:space="preserve">zvláštní způsoby řešení úpadku (likvidační),</w:t>
      </w:r>
    </w:p>
    <w:p>
      <w:pPr>
        <w:pStyle w:val="Compact"/>
        <w:numPr>
          <w:numId w:val="1031"/>
          <w:ilvl w:val="0"/>
        </w:numPr>
      </w:pPr>
      <w:r>
        <w:t xml:space="preserve">nepatrný konkurz - všichni,</w:t>
      </w:r>
    </w:p>
    <w:p>
      <w:pPr>
        <w:pStyle w:val="Compact"/>
        <w:numPr>
          <w:numId w:val="1031"/>
          <w:ilvl w:val="0"/>
        </w:numPr>
      </w:pPr>
      <w:r>
        <w:t xml:space="preserve">úpadek finančních institucí - finanční instituce.</w:t>
      </w:r>
    </w:p>
    <w:p>
      <w:pPr>
        <w:pStyle w:val="Heading3"/>
      </w:pPr>
      <w:bookmarkStart w:id="51" w:name="zásady-insolvenčního-práva"/>
      <w:bookmarkEnd w:id="51"/>
      <w:r>
        <w:t xml:space="preserve">Zásady insolvenčního práva</w:t>
      </w:r>
    </w:p>
    <w:p>
      <w:pPr>
        <w:pStyle w:val="Compact"/>
        <w:numPr>
          <w:numId w:val="1032"/>
          <w:ilvl w:val="0"/>
        </w:numPr>
      </w:pPr>
      <w:r>
        <w:t xml:space="preserve">Spravedlivé vyrovnání (zákaz nespravedlivého poškození, nebo zvýhodnění kteréhokoliv z věřitelů),</w:t>
      </w:r>
    </w:p>
    <w:p>
      <w:pPr>
        <w:pStyle w:val="Compact"/>
        <w:numPr>
          <w:numId w:val="1032"/>
          <w:ilvl w:val="0"/>
        </w:numPr>
      </w:pPr>
      <w:r>
        <w:t xml:space="preserve">rychlost,</w:t>
      </w:r>
    </w:p>
    <w:p>
      <w:pPr>
        <w:pStyle w:val="Compact"/>
        <w:numPr>
          <w:numId w:val="1032"/>
          <w:ilvl w:val="0"/>
        </w:numPr>
      </w:pPr>
      <w:r>
        <w:t xml:space="preserve">hospodárnost,</w:t>
      </w:r>
    </w:p>
    <w:p>
      <w:pPr>
        <w:pStyle w:val="Compact"/>
        <w:numPr>
          <w:numId w:val="1032"/>
          <w:ilvl w:val="0"/>
        </w:numPr>
      </w:pPr>
      <w:r>
        <w:t xml:space="preserve">co nejvyšší uspokojení věřitelů,</w:t>
      </w:r>
    </w:p>
    <w:p>
      <w:pPr>
        <w:pStyle w:val="Compact"/>
        <w:numPr>
          <w:numId w:val="1032"/>
          <w:ilvl w:val="0"/>
        </w:numPr>
      </w:pPr>
      <w:r>
        <w:t xml:space="preserve">rovnost věřitelů,</w:t>
      </w:r>
    </w:p>
    <w:p>
      <w:pPr>
        <w:pStyle w:val="Compact"/>
        <w:numPr>
          <w:numId w:val="1032"/>
          <w:ilvl w:val="0"/>
        </w:numPr>
      </w:pPr>
      <w:r>
        <w:t xml:space="preserve">nemožnost omezení práv nabytích v dobré víře,</w:t>
      </w:r>
    </w:p>
    <w:p>
      <w:pPr>
        <w:pStyle w:val="Compact"/>
        <w:numPr>
          <w:numId w:val="1032"/>
          <w:ilvl w:val="0"/>
        </w:numPr>
      </w:pPr>
      <w:r>
        <w:t xml:space="preserve">zákaz jednání vedoucího k uspokojení pohledávek mimo insolvenční zákon, ledaže to povoluje zákon,</w:t>
      </w:r>
    </w:p>
    <w:p>
      <w:pPr>
        <w:pStyle w:val="Compact"/>
        <w:numPr>
          <w:numId w:val="1032"/>
          <w:ilvl w:val="0"/>
        </w:numPr>
      </w:pPr>
      <w:r>
        <w:t xml:space="preserve">jednotnost - další insolvenční návrh - přistoupení k řízení,</w:t>
      </w:r>
    </w:p>
    <w:p>
      <w:pPr>
        <w:pStyle w:val="Compact"/>
        <w:numPr>
          <w:numId w:val="1032"/>
          <w:ilvl w:val="0"/>
        </w:numPr>
      </w:pPr>
      <w:r>
        <w:t xml:space="preserve">prevence úpadku,</w:t>
      </w:r>
    </w:p>
    <w:p>
      <w:pPr>
        <w:pStyle w:val="Compact"/>
        <w:numPr>
          <w:numId w:val="1032"/>
          <w:ilvl w:val="0"/>
        </w:numPr>
      </w:pPr>
      <w:r>
        <w:t xml:space="preserve">pluralita způsobů řešení úpadku,</w:t>
      </w:r>
    </w:p>
    <w:p>
      <w:pPr>
        <w:pStyle w:val="Compact"/>
        <w:numPr>
          <w:numId w:val="1032"/>
          <w:ilvl w:val="0"/>
        </w:numPr>
      </w:pPr>
      <w:r>
        <w:t xml:space="preserve">jednotnost řízení,</w:t>
      </w:r>
    </w:p>
    <w:p>
      <w:pPr>
        <w:pStyle w:val="Compact"/>
        <w:numPr>
          <w:numId w:val="1032"/>
          <w:ilvl w:val="0"/>
        </w:numPr>
      </w:pPr>
      <w:r>
        <w:t xml:space="preserve">a další, příklady:</w:t>
      </w:r>
    </w:p>
    <w:p>
      <w:pPr>
        <w:pStyle w:val="Compact"/>
        <w:numPr>
          <w:numId w:val="1032"/>
          <w:ilvl w:val="0"/>
        </w:numPr>
      </w:pPr>
      <w:r>
        <w:t xml:space="preserve">oddělení obecné a zvláštní úpravy</w:t>
      </w:r>
    </w:p>
    <w:p>
      <w:pPr>
        <w:pStyle w:val="Compact"/>
        <w:numPr>
          <w:numId w:val="1032"/>
          <w:ilvl w:val="0"/>
        </w:numPr>
      </w:pPr>
      <w:r>
        <w:t xml:space="preserve">principy, kterými se řídí insolvenční rejstřík</w:t>
      </w:r>
    </w:p>
    <w:p>
      <w:pPr>
        <w:pStyle w:val="Compact"/>
        <w:numPr>
          <w:numId w:val="1032"/>
          <w:ilvl w:val="0"/>
        </w:numPr>
      </w:pPr>
      <w:r>
        <w:t xml:space="preserve">rovnost věřitelů</w:t>
      </w:r>
    </w:p>
    <w:p>
      <w:pPr>
        <w:pStyle w:val="Compact"/>
        <w:numPr>
          <w:numId w:val="1032"/>
          <w:ilvl w:val="0"/>
        </w:numPr>
      </w:pPr>
      <w:r>
        <w:t xml:space="preserve">ochrana práv věřitelů nabytých v dobré víře</w:t>
      </w:r>
    </w:p>
    <w:p>
      <w:pPr>
        <w:pStyle w:val="Compact"/>
        <w:numPr>
          <w:numId w:val="1032"/>
          <w:ilvl w:val="0"/>
        </w:numPr>
      </w:pPr>
      <w:r>
        <w:t xml:space="preserve">kombinuje prvky nalézacího řízení a vykonávacího řízení, jakož i prvky řízení sporného a nesporného</w:t>
      </w:r>
    </w:p>
    <w:p>
      <w:pPr>
        <w:pStyle w:val="Compact"/>
        <w:numPr>
          <w:numId w:val="1032"/>
          <w:ilvl w:val="0"/>
        </w:numPr>
      </w:pPr>
      <w:r>
        <w:t xml:space="preserve">zásada hospodárnosti řízení</w:t>
      </w:r>
    </w:p>
    <w:p>
      <w:pPr>
        <w:pStyle w:val="Compact"/>
        <w:numPr>
          <w:numId w:val="1032"/>
          <w:ilvl w:val="0"/>
        </w:numPr>
      </w:pPr>
      <w:r>
        <w:t xml:space="preserve">zásada exkluzivity (výlučnosti) insolvenčního řízení</w:t>
      </w:r>
    </w:p>
    <w:p>
      <w:pPr>
        <w:pStyle w:val="Compact"/>
        <w:numPr>
          <w:numId w:val="1032"/>
          <w:ilvl w:val="0"/>
        </w:numPr>
      </w:pPr>
      <w:r>
        <w:t xml:space="preserve">zásada veřejnosti</w:t>
      </w:r>
    </w:p>
    <w:p>
      <w:pPr>
        <w:pStyle w:val="Compact"/>
        <w:numPr>
          <w:numId w:val="1032"/>
          <w:ilvl w:val="0"/>
        </w:numPr>
      </w:pPr>
      <w:r>
        <w:t xml:space="preserve">ochrana dobrých mravů</w:t>
      </w:r>
    </w:p>
    <w:p>
      <w:pPr>
        <w:pStyle w:val="Heading3"/>
      </w:pPr>
      <w:bookmarkStart w:id="52" w:name="výjimky-z-působnosti-zákona"/>
      <w:bookmarkEnd w:id="52"/>
      <w:r>
        <w:t xml:space="preserve">Výjimky z působnosti zákona</w:t>
      </w:r>
    </w:p>
    <w:p>
      <w:pPr>
        <w:pStyle w:val="Compact"/>
        <w:numPr>
          <w:numId w:val="1033"/>
          <w:ilvl w:val="0"/>
        </w:numPr>
      </w:pPr>
      <w:r>
        <w:t xml:space="preserve">stát,</w:t>
      </w:r>
    </w:p>
    <w:p>
      <w:pPr>
        <w:pStyle w:val="Compact"/>
        <w:numPr>
          <w:numId w:val="1033"/>
          <w:ilvl w:val="0"/>
        </w:numPr>
      </w:pPr>
      <w:r>
        <w:t xml:space="preserve">územní samosprávný celek,</w:t>
      </w:r>
    </w:p>
    <w:p>
      <w:pPr>
        <w:pStyle w:val="Compact"/>
        <w:numPr>
          <w:numId w:val="1033"/>
          <w:ilvl w:val="0"/>
        </w:numPr>
      </w:pPr>
      <w:r>
        <w:t xml:space="preserve">ČNB,</w:t>
      </w:r>
    </w:p>
    <w:p>
      <w:pPr>
        <w:pStyle w:val="Compact"/>
        <w:numPr>
          <w:numId w:val="1033"/>
          <w:ilvl w:val="0"/>
        </w:numPr>
      </w:pPr>
      <w:r>
        <w:t xml:space="preserve">VZP,</w:t>
      </w:r>
    </w:p>
    <w:p>
      <w:pPr>
        <w:pStyle w:val="Compact"/>
        <w:numPr>
          <w:numId w:val="1033"/>
          <w:ilvl w:val="0"/>
        </w:numPr>
      </w:pPr>
      <w:r>
        <w:t xml:space="preserve">Garanční systém finančního trhu a jím spravované fondy,</w:t>
      </w:r>
    </w:p>
    <w:p>
      <w:pPr>
        <w:pStyle w:val="Compact"/>
        <w:numPr>
          <w:numId w:val="1033"/>
          <w:ilvl w:val="0"/>
        </w:numPr>
      </w:pPr>
      <w:r>
        <w:t xml:space="preserve">Garanční fondy obchodníků se cennými papíry,</w:t>
      </w:r>
    </w:p>
    <w:p>
      <w:pPr>
        <w:pStyle w:val="Compact"/>
        <w:numPr>
          <w:numId w:val="1033"/>
          <w:ilvl w:val="0"/>
        </w:numPr>
      </w:pPr>
      <w:r>
        <w:t xml:space="preserve">veřejnou VŠ,</w:t>
      </w:r>
    </w:p>
    <w:p>
      <w:pPr>
        <w:pStyle w:val="Compact"/>
        <w:numPr>
          <w:numId w:val="1033"/>
          <w:ilvl w:val="0"/>
        </w:numPr>
      </w:pPr>
      <w:r>
        <w:t xml:space="preserve">PO pokud se stát, nebo ÚSC před zahájením IZ zaručil za její dluhy, nebo její dluhy převzal,</w:t>
      </w:r>
    </w:p>
    <w:p>
      <w:pPr>
        <w:pStyle w:val="Compact"/>
        <w:numPr>
          <w:numId w:val="1033"/>
          <w:ilvl w:val="0"/>
        </w:numPr>
      </w:pPr>
      <w:r>
        <w:t xml:space="preserve">finanční instituce po dobu co mají licenci,</w:t>
      </w:r>
    </w:p>
    <w:p>
      <w:pPr>
        <w:pStyle w:val="Compact"/>
        <w:numPr>
          <w:numId w:val="1033"/>
          <w:ilvl w:val="0"/>
        </w:numPr>
      </w:pPr>
      <w:r>
        <w:t xml:space="preserve">zdravotní pojišťovnu zřízenou podle zvláštního předpisu po dobu co mají licenci,</w:t>
      </w:r>
    </w:p>
    <w:p>
      <w:pPr>
        <w:pStyle w:val="Compact"/>
        <w:numPr>
          <w:numId w:val="1033"/>
          <w:ilvl w:val="0"/>
        </w:numPr>
      </w:pPr>
      <w:r>
        <w:t xml:space="preserve">politickou stranu nebo hnutí v době voleb.</w:t>
      </w:r>
    </w:p>
    <w:p>
      <w:pPr>
        <w:pStyle w:val="Heading3"/>
      </w:pPr>
      <w:bookmarkStart w:id="53" w:name="procesní-subjekty"/>
      <w:bookmarkEnd w:id="53"/>
      <w:r>
        <w:t xml:space="preserve">Procesní subjekty:</w:t>
      </w:r>
    </w:p>
    <w:p>
      <w:pPr>
        <w:pStyle w:val="FirstParagraph"/>
      </w:pPr>
      <w:r>
        <w:t xml:space="preserve">Procesními subjekty podle tohoto zákona jsou:</w:t>
      </w:r>
    </w:p>
    <w:p>
      <w:pPr>
        <w:pStyle w:val="Compact"/>
        <w:numPr>
          <w:numId w:val="1034"/>
          <w:ilvl w:val="0"/>
        </w:numPr>
      </w:pPr>
      <w:r>
        <w:t xml:space="preserve">insolvenční soud,</w:t>
      </w:r>
    </w:p>
    <w:p>
      <w:pPr>
        <w:pStyle w:val="Compact"/>
        <w:numPr>
          <w:numId w:val="1034"/>
          <w:ilvl w:val="0"/>
        </w:numPr>
      </w:pPr>
      <w:r>
        <w:t xml:space="preserve">dlužník (účastníci řízení, vedlejší účastenství je přípustné),</w:t>
      </w:r>
    </w:p>
    <w:p>
      <w:pPr>
        <w:pStyle w:val="Compact"/>
        <w:numPr>
          <w:numId w:val="1034"/>
          <w:ilvl w:val="0"/>
        </w:numPr>
      </w:pPr>
      <w:r>
        <w:t xml:space="preserve">věřitelé, kteří uplatňují svá práva vůči dlužníku a věřitelské orgány (viz Věřitelské orgány),</w:t>
      </w:r>
    </w:p>
    <w:p>
      <w:pPr>
        <w:pStyle w:val="Compact"/>
        <w:numPr>
          <w:numId w:val="1034"/>
          <w:ilvl w:val="0"/>
        </w:numPr>
      </w:pPr>
      <w:r>
        <w:t xml:space="preserve">insolvenční správce, popřípadě další správce,</w:t>
      </w:r>
    </w:p>
    <w:p>
      <w:pPr>
        <w:pStyle w:val="Compact"/>
        <w:numPr>
          <w:numId w:val="1034"/>
          <w:ilvl w:val="0"/>
        </w:numPr>
      </w:pPr>
      <w:r>
        <w:t xml:space="preserve">státní zastupitelství, které vstoupilo do insolvenčního řízení nebo do incidenčního sporu, a</w:t>
      </w:r>
    </w:p>
    <w:p>
      <w:pPr>
        <w:pStyle w:val="Compact"/>
        <w:numPr>
          <w:numId w:val="1034"/>
          <w:ilvl w:val="0"/>
        </w:numPr>
      </w:pPr>
      <w:r>
        <w:t xml:space="preserve">likvidátor dlužníka.</w:t>
      </w:r>
    </w:p>
    <w:p>
      <w:pPr>
        <w:pStyle w:val="Heading3"/>
      </w:pPr>
      <w:bookmarkStart w:id="54" w:name="úvěrové-financování"/>
      <w:bookmarkEnd w:id="54"/>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BodyText"/>
      </w:pPr>
      <w:r>
        <w:t xml:space="preserve">K uzavření smluv o úvěrovém financování je oprávněn také dlužník s dispozičními oprávněními nebo dlužník po dobu trvání moratoria.</w:t>
      </w:r>
    </w:p>
    <w:p>
      <w:pPr>
        <w:pStyle w:val="Heading3"/>
      </w:pPr>
      <w:bookmarkStart w:id="55" w:name="věřitelské-orgány"/>
      <w:bookmarkEnd w:id="55"/>
      <w:r>
        <w:t xml:space="preserve">Věřitelské orgány</w:t>
      </w:r>
    </w:p>
    <w:p>
      <w:pPr>
        <w:pStyle w:val="Compact"/>
        <w:numPr>
          <w:numId w:val="1035"/>
          <w:ilvl w:val="0"/>
        </w:numPr>
      </w:pPr>
      <w:r>
        <w:t xml:space="preserve">schůze věřitelů - nejvyšší orgán věřitelů,</w:t>
      </w:r>
    </w:p>
    <w:p>
      <w:pPr>
        <w:pStyle w:val="Compact"/>
        <w:numPr>
          <w:numId w:val="1035"/>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35"/>
          <w:ilvl w:val="0"/>
        </w:numPr>
      </w:pPr>
      <w:r>
        <w:t xml:space="preserve">zástupce věřitelů - není li volba věřitelského výboru povinná, může být zvolen, ustanovení o věřitelském výboru na něj platí obdobně - ustanovuje se v rámci nepatrného konkurzu, nebo tam kde je méně než 50 věřitelů.</w:t>
      </w:r>
    </w:p>
    <w:p>
      <w:pPr>
        <w:pStyle w:val="Heading3"/>
      </w:pPr>
      <w:bookmarkStart w:id="56" w:name="průběh-insolvence"/>
      <w:bookmarkEnd w:id="56"/>
      <w:r>
        <w:t xml:space="preserve">Průběh insolvence</w:t>
      </w:r>
    </w:p>
    <w:p>
      <w:pPr>
        <w:pStyle w:val="Compact"/>
        <w:numPr>
          <w:numId w:val="1036"/>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36"/>
          <w:ilvl w:val="0"/>
        </w:numPr>
      </w:pPr>
      <w:r>
        <w:t xml:space="preserve">Návrh může podat</w:t>
      </w:r>
      <w:r>
        <w:t xml:space="preserve"> </w:t>
      </w:r>
      <w:r>
        <w:rPr>
          <w:b/>
        </w:rPr>
        <w:t xml:space="preserve">dlužník</w:t>
      </w:r>
      <w:r>
        <w:t xml:space="preserve">, nebo</w:t>
      </w:r>
      <w:r>
        <w:t xml:space="preserve"> </w:t>
      </w:r>
      <w:r>
        <w:rPr>
          <w:b/>
        </w:rPr>
        <w:t xml:space="preserve">věřitel</w:t>
      </w:r>
      <w:r>
        <w:t xml:space="preserve">, jde-li o hrozící úpadek, může jej podat pouze dlužník, náevrh musí mít úředně ověřený, nebo uznávaný elektronický podpis.</w:t>
      </w:r>
    </w:p>
    <w:p>
      <w:pPr>
        <w:pStyle w:val="Compact"/>
        <w:numPr>
          <w:numId w:val="1036"/>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36"/>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57" w:name="účinky-spojené-se-zahájením-řízení"/>
      <w:bookmarkEnd w:id="57"/>
      <w:r>
        <w:t xml:space="preserve">Účinky spojené se zahájením řízení</w:t>
      </w:r>
    </w:p>
    <w:p>
      <w:pPr>
        <w:pStyle w:val="Compact"/>
        <w:numPr>
          <w:numId w:val="1037"/>
          <w:ilvl w:val="0"/>
        </w:numPr>
      </w:pPr>
      <w:r>
        <w:t xml:space="preserve">pohledávky nemohou být uplatněny žalobou, lze-li je uplatnit přihláškou,</w:t>
      </w:r>
    </w:p>
    <w:p>
      <w:pPr>
        <w:pStyle w:val="Compact"/>
        <w:numPr>
          <w:numId w:val="1037"/>
          <w:ilvl w:val="0"/>
        </w:numPr>
      </w:pPr>
      <w:r>
        <w:t xml:space="preserve">uplatnění ráva ze zajištění podléha podmínkám zákonu,</w:t>
      </w:r>
    </w:p>
    <w:p>
      <w:pPr>
        <w:pStyle w:val="Compact"/>
        <w:numPr>
          <w:numId w:val="1037"/>
          <w:ilvl w:val="0"/>
        </w:numPr>
      </w:pPr>
      <w:r>
        <w:t xml:space="preserve">výkon rozhodnutí či exekuci lze nařídit nebo zahájit, nelze ji však provést (mimo případy stanovené zákonem),</w:t>
      </w:r>
    </w:p>
    <w:p>
      <w:pPr>
        <w:pStyle w:val="Compact"/>
        <w:numPr>
          <w:numId w:val="1037"/>
          <w:ilvl w:val="0"/>
        </w:numPr>
      </w:pPr>
      <w:r>
        <w:t xml:space="preserve">nakládání s majetkovou podstatou (podstatné změny) - mimo zákonem stanovené výjimky,</w:t>
      </w:r>
    </w:p>
    <w:p>
      <w:pPr>
        <w:pStyle w:val="Compact"/>
        <w:numPr>
          <w:numId w:val="1037"/>
          <w:ilvl w:val="0"/>
        </w:numPr>
      </w:pPr>
      <w:r>
        <w:t xml:space="preserve">soud může rozhodnout o předběžném opatření - například dodatečné omezení dlužníka v dispozici s majetkem náležejícím do majetkové podstaty,</w:t>
      </w:r>
    </w:p>
    <w:p>
      <w:pPr>
        <w:pStyle w:val="Compact"/>
        <w:numPr>
          <w:numId w:val="1037"/>
          <w:ilvl w:val="0"/>
        </w:numPr>
      </w:pPr>
      <w:r>
        <w:t xml:space="preserve">a další body.</w:t>
      </w:r>
    </w:p>
    <w:p>
      <w:pPr>
        <w:pStyle w:val="Heading4"/>
      </w:pPr>
      <w:bookmarkStart w:id="58" w:name="moratorium"/>
      <w:bookmarkEnd w:id="58"/>
      <w:r>
        <w:t xml:space="preserve">Moratorium</w:t>
      </w:r>
    </w:p>
    <w:p>
      <w:pPr>
        <w:pStyle w:val="FirstParagraph"/>
      </w:pPr>
      <w:r>
        <w:t xml:space="preserve">§ 115 IZ</w:t>
      </w:r>
    </w:p>
    <w:p>
      <w:pPr>
        <w:pStyle w:val="BodyText"/>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 120 IZ</w:t>
      </w:r>
    </w:p>
    <w:p>
      <w:pPr>
        <w:numPr>
          <w:numId w:val="1038"/>
          <w:ilvl w:val="0"/>
        </w:numPr>
      </w:pPr>
      <w:r>
        <w:t xml:space="preserve">Po dobu trvání moratoria nelze vydat rozhodnutí o úpadku.</w:t>
      </w:r>
    </w:p>
    <w:p>
      <w:pPr>
        <w:numPr>
          <w:numId w:val="1038"/>
          <w:ilvl w:val="0"/>
        </w:numPr>
      </w:pPr>
      <w:r>
        <w:t xml:space="preserve">Není-li dále stanoveno jinak, po dobu trvání moratoria zůstávají zachovány účinky spojené se zahájením insolvenčního řízení.</w:t>
      </w:r>
    </w:p>
    <w:p>
      <w:pPr>
        <w:pStyle w:val="FirstParagraph"/>
      </w:pPr>
      <w:r>
        <w:t xml:space="preserve">K návrhu na vyhlášení moratoria musí navrhovatel připojit listiny a seznamy, poslední účetní závěrku a seznamy většiny jeho věřitelů, že s vyhlášením moratoria souhlasí.</w:t>
      </w:r>
    </w:p>
    <w:p>
      <w:pPr>
        <w:pStyle w:val="BodyText"/>
      </w:pPr>
      <w:r>
        <w:t xml:space="preserve">Návrh dále musí obsahovat všechny skutečnosti, které odůvodňují vyhlášení moratoria.</w:t>
      </w:r>
    </w:p>
    <w:p>
      <w:pPr>
        <w:pStyle w:val="BodyText"/>
      </w:pPr>
      <w:r>
        <w:rPr>
          <w:b/>
        </w:rPr>
        <w:t xml:space="preserve">Účinky moratoria:</w:t>
      </w:r>
    </w:p>
    <w:p>
      <w:pPr>
        <w:pStyle w:val="Compact"/>
        <w:numPr>
          <w:numId w:val="1039"/>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39"/>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39"/>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59" w:name="rozhodnutí-o-úpadku"/>
      <w:bookmarkEnd w:id="59"/>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BodyText"/>
      </w:pPr>
      <w:r>
        <w:t xml:space="preserve">Může tedy rozhodnout, že:</w:t>
      </w:r>
    </w:p>
    <w:p>
      <w:pPr>
        <w:pStyle w:val="Compact"/>
        <w:numPr>
          <w:numId w:val="1040"/>
          <w:ilvl w:val="0"/>
        </w:numPr>
      </w:pPr>
      <w:r>
        <w:t xml:space="preserve">byl zjištěn úpadek dlužníka (soud vydá rozhodnutí o úpadku),</w:t>
      </w:r>
    </w:p>
    <w:p>
      <w:pPr>
        <w:pStyle w:val="Compact"/>
        <w:numPr>
          <w:numId w:val="1040"/>
          <w:ilvl w:val="0"/>
        </w:numPr>
      </w:pPr>
      <w:r>
        <w:t xml:space="preserve">nebyl zjištěn úpadek dlužníka,</w:t>
      </w:r>
    </w:p>
    <w:p>
      <w:pPr>
        <w:pStyle w:val="Compact"/>
        <w:numPr>
          <w:numId w:val="1040"/>
          <w:ilvl w:val="0"/>
        </w:numPr>
      </w:pPr>
      <w:r>
        <w:t xml:space="preserve">soud zamítne/odmítne návrh.</w:t>
      </w:r>
    </w:p>
    <w:p>
      <w:pPr>
        <w:pStyle w:val="Heading4"/>
      </w:pPr>
      <w:bookmarkStart w:id="60" w:name="účinky-spojené-s-rozhodnutím-o-úpadku"/>
      <w:bookmarkEnd w:id="60"/>
      <w:r>
        <w:t xml:space="preserve">Účinky spojené s rozhodnutím o úpadku</w:t>
      </w:r>
    </w:p>
    <w:p>
      <w:pPr>
        <w:pStyle w:val="Compact"/>
        <w:numPr>
          <w:numId w:val="1041"/>
          <w:ilvl w:val="0"/>
        </w:numPr>
      </w:pPr>
      <w:r>
        <w:t xml:space="preserve">předběžná opatření trvají, soud je však může změnit,</w:t>
      </w:r>
    </w:p>
    <w:p>
      <w:pPr>
        <w:pStyle w:val="Compact"/>
        <w:numPr>
          <w:numId w:val="1041"/>
          <w:ilvl w:val="0"/>
        </w:numPr>
      </w:pPr>
      <w:r>
        <w:t xml:space="preserve">započtení je upraveno pravidly zákony,</w:t>
      </w:r>
    </w:p>
    <w:p>
      <w:pPr>
        <w:pStyle w:val="Compact"/>
        <w:numPr>
          <w:numId w:val="1041"/>
          <w:ilvl w:val="0"/>
        </w:numPr>
      </w:pPr>
      <w:r>
        <w:t xml:space="preserve">přerušují se zákonem stanovené druhy řízení,</w:t>
      </w:r>
    </w:p>
    <w:p>
      <w:pPr>
        <w:pStyle w:val="Compact"/>
        <w:numPr>
          <w:numId w:val="1041"/>
          <w:ilvl w:val="0"/>
        </w:numPr>
      </w:pPr>
      <w:r>
        <w:t xml:space="preserve">zakazuje se vydat rozhodnutí ve stanovených druzích řízení, jako například v rozhodčím řízení,</w:t>
      </w:r>
    </w:p>
    <w:p>
      <w:pPr>
        <w:pStyle w:val="Compact"/>
        <w:numPr>
          <w:numId w:val="1041"/>
          <w:ilvl w:val="0"/>
        </w:numPr>
      </w:pPr>
      <w:r>
        <w:t xml:space="preserve">nelze zahájit nová řízení týkající se pohledávek a jiných právech týkajících se majetkové pdostaty dlužníka,</w:t>
      </w:r>
    </w:p>
    <w:p>
      <w:pPr>
        <w:pStyle w:val="Compact"/>
        <w:numPr>
          <w:numId w:val="1041"/>
          <w:ilvl w:val="0"/>
        </w:numPr>
      </w:pPr>
      <w:r>
        <w:t xml:space="preserve">nelze nařídit a zahájit výkon rozhodnutí, nebo exekuci,</w:t>
      </w:r>
    </w:p>
    <w:p>
      <w:pPr>
        <w:pStyle w:val="Compact"/>
        <w:numPr>
          <w:numId w:val="1041"/>
          <w:ilvl w:val="0"/>
        </w:numPr>
      </w:pPr>
      <w:r>
        <w:t xml:space="preserve">odvolání je přípusté jenom ze strany dlužníka, pokud návrh podal věřitel.</w:t>
      </w:r>
    </w:p>
    <w:p>
      <w:pPr>
        <w:pStyle w:val="Heading4"/>
      </w:pPr>
      <w:bookmarkStart w:id="61" w:name="jiná-rozhodnutí-o-insolvenčním-návrhu"/>
      <w:bookmarkEnd w:id="61"/>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42"/>
          <w:ilvl w:val="0"/>
        </w:numPr>
      </w:pPr>
      <w:r>
        <w:t xml:space="preserve">odmítnutí insolvenčního návrhu pro vady nebo pro zjevnou bezdůvodnost,</w:t>
      </w:r>
    </w:p>
    <w:p>
      <w:pPr>
        <w:pStyle w:val="Compact"/>
        <w:numPr>
          <w:numId w:val="1042"/>
          <w:ilvl w:val="0"/>
        </w:numPr>
      </w:pPr>
      <w:r>
        <w:t xml:space="preserve">zastavení řízení pro nedostatek podmínky řízení, který nelze odstranit nebo který se nepodařilo odstranit, nebo pro zpětvzetí insolvenčního návrhu,</w:t>
      </w:r>
    </w:p>
    <w:p>
      <w:pPr>
        <w:pStyle w:val="Compact"/>
        <w:numPr>
          <w:numId w:val="1042"/>
          <w:ilvl w:val="0"/>
        </w:numPr>
      </w:pPr>
      <w:r>
        <w:t xml:space="preserve">zamítnutí insolvenčního návrhu (rozhodnutí o tom, že dlužník není v úpadku).</w:t>
      </w:r>
    </w:p>
    <w:p>
      <w:pPr>
        <w:pStyle w:val="Heading3"/>
      </w:pPr>
      <w:bookmarkStart w:id="62" w:name="stanovení-způsobů-řešení-úpadku"/>
      <w:bookmarkEnd w:id="62"/>
      <w:r>
        <w:t xml:space="preserve">Stanovení způsobů řešení úpadku</w:t>
      </w:r>
    </w:p>
    <w:p>
      <w:pPr>
        <w:pStyle w:val="Compact"/>
        <w:numPr>
          <w:numId w:val="1043"/>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43"/>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43"/>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63" w:name="uspokojování-pohledávek-a-druhy-pohledávek"/>
      <w:bookmarkEnd w:id="63"/>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(v rozvrhovém usnesení je určeno, jaká částka má být vyplacena věřiteli každé pohledávky) při konkursu, plněním reorganizačního plánu při reorganizaci nebo plněním při oddlužení, nestanoví-li zákon jinak.</w:t>
      </w:r>
    </w:p>
    <w:p>
      <w:pPr>
        <w:pStyle w:val="BodyText"/>
      </w:pPr>
      <w:r>
        <w:t xml:space="preserve">Druhy:</w:t>
      </w:r>
    </w:p>
    <w:p>
      <w:pPr>
        <w:pStyle w:val="Compact"/>
        <w:numPr>
          <w:numId w:val="1044"/>
          <w:ilvl w:val="0"/>
        </w:numPr>
      </w:pPr>
      <w:r>
        <w:t xml:space="preserve">přihlášené pohledávky,</w:t>
      </w:r>
    </w:p>
    <w:p>
      <w:pPr>
        <w:pStyle w:val="Compact"/>
        <w:numPr>
          <w:numId w:val="1044"/>
          <w:ilvl w:val="0"/>
        </w:numPr>
      </w:pPr>
      <w:r>
        <w:t xml:space="preserve">pohledávky za majetkovou podstatou - Pohledávky za majetkovou podstatou jsou zvláštní pohledávky, které vznikají až po zahájení insolvenčního řízení (popř. po vydání rozhodnutí o úpadku). - například náhrady a odměny,</w:t>
      </w:r>
    </w:p>
    <w:p>
      <w:pPr>
        <w:pStyle w:val="Compact"/>
        <w:numPr>
          <w:numId w:val="1044"/>
          <w:ilvl w:val="0"/>
        </w:numPr>
      </w:pPr>
      <w:r>
        <w:t xml:space="preserve">pohledávky postavené na roveň pohledávkám za majetkovou podstatou - Skupina pohledávek postavených na roveň pohledávkám za majetkovou podstatou má podobný režim jako pohledávky za majetkovou podstatou – také se uplatňují přímo u osoby s dispozičním oprávněním a jsou placeny v plné výši kdykoliv po rozhodnutí o úpadku.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BodyText"/>
      </w:pPr>
      <w:r>
        <w:t xml:space="preserve">Posloupnost síly přihlášených pohledávek:</w:t>
      </w:r>
    </w:p>
    <w:p>
      <w:pPr>
        <w:pStyle w:val="Compact"/>
        <w:numPr>
          <w:numId w:val="1046"/>
          <w:ilvl w:val="1"/>
        </w:numPr>
      </w:pPr>
      <w:r>
        <w:t xml:space="preserve">věřitelé s pohledávkami za podstatou</w:t>
      </w:r>
    </w:p>
    <w:p>
      <w:pPr>
        <w:pStyle w:val="Compact"/>
        <w:numPr>
          <w:numId w:val="1047"/>
          <w:ilvl w:val="1"/>
        </w:numPr>
      </w:pPr>
      <w:r>
        <w:t xml:space="preserve">věřitelé s nárokem na vyloučení majetku z majetkové podstaty</w:t>
      </w:r>
    </w:p>
    <w:p>
      <w:pPr>
        <w:pStyle w:val="Compact"/>
        <w:numPr>
          <w:numId w:val="1048"/>
          <w:ilvl w:val="1"/>
        </w:numPr>
      </w:pPr>
      <w:r>
        <w:t xml:space="preserve">zajištění věřitelé</w:t>
      </w:r>
    </w:p>
    <w:p>
      <w:pPr>
        <w:pStyle w:val="Compact"/>
        <w:numPr>
          <w:numId w:val="1049"/>
          <w:ilvl w:val="1"/>
        </w:numPr>
      </w:pPr>
      <w:r>
        <w:t xml:space="preserve">ostatní věřitelé</w:t>
      </w:r>
    </w:p>
    <w:p>
      <w:pPr>
        <w:pStyle w:val="Compact"/>
        <w:numPr>
          <w:numId w:val="1050"/>
          <w:ilvl w:val="1"/>
        </w:numPr>
      </w:pPr>
      <w:r>
        <w:t xml:space="preserve">věřitelé s pohledávkou zajištěnou zajištěním poskytnutým třetí osobou</w:t>
      </w:r>
    </w:p>
    <w:p>
      <w:pPr>
        <w:pStyle w:val="Compact"/>
        <w:numPr>
          <w:numId w:val="1051"/>
          <w:ilvl w:val="1"/>
        </w:numPr>
      </w:pPr>
      <w:r>
        <w:t xml:space="preserve">podřízené pohledávky</w:t>
      </w:r>
    </w:p>
    <w:p>
      <w:pPr>
        <w:pStyle w:val="Compact"/>
        <w:numPr>
          <w:numId w:val="1052"/>
          <w:ilvl w:val="1"/>
        </w:numPr>
      </w:pPr>
      <w:r>
        <w:t xml:space="preserve">vyloučené pohledávky</w:t>
      </w:r>
    </w:p>
    <w:p>
      <w:pPr>
        <w:pStyle w:val="FirstParagraph"/>
      </w:pPr>
      <w:r>
        <w:t xml:space="preserve">Mimo tento seznam stojí</w:t>
      </w:r>
      <w:r>
        <w:t xml:space="preserve"> </w:t>
      </w:r>
      <w:r>
        <w:rPr>
          <w:b/>
        </w:rPr>
        <w:t xml:space="preserve">nepřihlášené pohledávky</w:t>
      </w:r>
      <w:r>
        <w:t xml:space="preserve">.</w:t>
      </w:r>
    </w:p>
    <w:p>
      <w:pPr>
        <w:pStyle w:val="Heading4"/>
      </w:pPr>
      <w:bookmarkStart w:id="64" w:name="zajištění-a-utvrzení-dluhů"/>
      <w:bookmarkEnd w:id="64"/>
      <w:r>
        <w:t xml:space="preserve">Zajištění a utvrzení dluhů</w:t>
      </w:r>
    </w:p>
    <w:p>
      <w:pPr>
        <w:pStyle w:val="FirstParagraph"/>
      </w:pPr>
      <w:r>
        <w:t xml:space="preserve">Zajištění dluhu je relativní majetkový vztah, který věřiteli umožňuje hojit se z dlužníkova majetku, nebo majetku jiné osoby, pokud dlužník poruší původní závazkovou povinnost.</w:t>
      </w:r>
    </w:p>
    <w:p>
      <w:pPr>
        <w:pStyle w:val="BodyText"/>
      </w:pPr>
      <w:r>
        <w:t xml:space="preserve">Zajištění dluhu znamená, že třetí osoba, nebo sám dlužník, dá věřiteli ve prospěch jistotu, nebo se jinak zaváže za dlužníkovo plnění. Plní především funkci náhradní reparace.</w:t>
      </w:r>
    </w:p>
    <w:p>
      <w:pPr>
        <w:pStyle w:val="BodyText"/>
      </w:pPr>
      <w:r>
        <w:t xml:space="preserve">Je upravena v OZ v části relativní majetková práva.</w:t>
      </w:r>
    </w:p>
    <w:p>
      <w:pPr>
        <w:pStyle w:val="BodyText"/>
      </w:pPr>
      <w:r>
        <w:t xml:space="preserve">Obsahuje:</w:t>
      </w:r>
    </w:p>
    <w:p>
      <w:pPr>
        <w:pStyle w:val="Compact"/>
        <w:numPr>
          <w:numId w:val="1053"/>
          <w:ilvl w:val="0"/>
        </w:numPr>
      </w:pPr>
      <w:r>
        <w:t xml:space="preserve">jistotu,</w:t>
      </w:r>
    </w:p>
    <w:p>
      <w:pPr>
        <w:pStyle w:val="Compact"/>
        <w:numPr>
          <w:numId w:val="1053"/>
          <w:ilvl w:val="0"/>
        </w:numPr>
      </w:pPr>
      <w:r>
        <w:t xml:space="preserve">druhy zajištění,</w:t>
      </w:r>
    </w:p>
    <w:p>
      <w:pPr>
        <w:pStyle w:val="Compact"/>
        <w:numPr>
          <w:numId w:val="1053"/>
          <w:ilvl w:val="0"/>
        </w:numPr>
      </w:pPr>
      <w:r>
        <w:t xml:space="preserve">druhy utvrzení.</w:t>
      </w:r>
    </w:p>
    <w:p>
      <w:pPr>
        <w:pStyle w:val="FirstParagraph"/>
      </w:pPr>
      <w:r>
        <w:rPr>
          <w:b/>
        </w:rPr>
        <w:t xml:space="preserve">Jistota</w:t>
      </w:r>
      <w:r>
        <w:t xml:space="preserve">: - Není důležité pro zkoušku</w:t>
      </w:r>
    </w:p>
    <w:p>
      <w:pPr>
        <w:pStyle w:val="BodyText"/>
      </w:pPr>
      <w:r>
        <w:t xml:space="preserve">§ 2012 OZ</w:t>
      </w:r>
    </w:p>
    <w:p>
      <w:pPr>
        <w:numPr>
          <w:numId w:val="1054"/>
          <w:ilvl w:val="0"/>
        </w:numPr>
      </w:pPr>
      <w:r>
        <w:t xml:space="preserve">Kdo je povinen dát jistotu, učiní své povinnosti zadost zřízením zástavního práva.</w:t>
      </w:r>
    </w:p>
    <w:p>
      <w:pPr>
        <w:numPr>
          <w:numId w:val="1054"/>
          <w:ilvl w:val="0"/>
        </w:numPr>
      </w:pPr>
      <w:r>
        <w:t xml:space="preserve">Není-li někdo s to dát jistotu zřízením zástavního práva, dá jistotu způsobilým ručitelem. Má se za to, že způsobilým ručitelem je osoba, která může být žalována v tuzemsku a která má vhodný majetek.</w:t>
      </w:r>
    </w:p>
    <w:p>
      <w:pPr>
        <w:pStyle w:val="FirstParagraph"/>
      </w:pPr>
      <w:r>
        <w:rPr>
          <w:b/>
        </w:rPr>
        <w:t xml:space="preserve">Zajištění relativním majetkovým právem</w:t>
      </w:r>
      <w:r>
        <w:t xml:space="preserve">:</w:t>
      </w:r>
    </w:p>
    <w:p>
      <w:pPr>
        <w:pStyle w:val="Compact"/>
        <w:numPr>
          <w:numId w:val="1055"/>
          <w:ilvl w:val="0"/>
        </w:numPr>
      </w:pPr>
      <w:r>
        <w:rPr>
          <w:b/>
        </w:rPr>
        <w:t xml:space="preserve">Ručení</w:t>
      </w:r>
      <w:r>
        <w:t xml:space="preserve">:</w:t>
      </w:r>
    </w:p>
    <w:p>
      <w:pPr>
        <w:pStyle w:val="Compact"/>
        <w:numPr>
          <w:numId w:val="1055"/>
          <w:ilvl w:val="0"/>
        </w:numPr>
      </w:pPr>
      <w:r>
        <w:t xml:space="preserve">(§ 2018 an. OZ) – Předpokládá se platný dluh dlužníka. Dluh může být v době vzniku ručení již existující a účinný, nebo může vzniknout teprve v budoucnu. Ručitelský závazek vzniká dobrovolným prohlášením nebo přímo ze zákona. Ručitelský závazek je vázaný na existenci a platnost dluhu. V případě, že ručitel zcela splní dluh dlužníka, vzniká nová pohledávka ručitele a dlužníka do míry plnění ručitelem. Pohledávka nepřechází, ale vznikne nová pohledávka.</w:t>
      </w:r>
    </w:p>
    <w:p>
      <w:pPr>
        <w:pStyle w:val="Compact"/>
        <w:numPr>
          <w:numId w:val="1055"/>
          <w:ilvl w:val="0"/>
        </w:numPr>
      </w:pPr>
      <w:r>
        <w:t xml:space="preserve">Kdo věřiteli prohlásí, že ho uspokojí, jestliže dlužník věřiteli svůj dluh nesplní, stává se dlužníkovým ručitelem. Nepřijme-li věřitel ručitele, nemůže po něm nic žádat.</w:t>
      </w:r>
    </w:p>
    <w:p>
      <w:pPr>
        <w:pStyle w:val="Compact"/>
        <w:numPr>
          <w:numId w:val="1055"/>
          <w:ilvl w:val="0"/>
        </w:numPr>
      </w:pPr>
      <w:r>
        <w:rPr>
          <w:b/>
        </w:rPr>
        <w:t xml:space="preserve">Finanční záruka</w:t>
      </w:r>
      <w:r>
        <w:t xml:space="preserve">:</w:t>
      </w:r>
    </w:p>
    <w:p>
      <w:pPr>
        <w:pStyle w:val="Compact"/>
        <w:numPr>
          <w:numId w:val="1055"/>
          <w:ilvl w:val="0"/>
        </w:numPr>
      </w:pPr>
      <w:r>
        <w:t xml:space="preserve">(§ 2029 an. OZ) – Oproti ručení je zcela na vůli vystavitele, zda bude záruka subsidiární vůči původnímu dluhu nebo se od původního dluhu zcela odtrhne. Finanční záruka vzniká jednostranným prohlášením výstavce, že uspokojí věřitele do výše určité peněžní částky, pokud dluh nesplní dlužník. Finanční záruku lze zcela oddělit od původního dluhu.</w:t>
      </w:r>
    </w:p>
    <w:p>
      <w:pPr>
        <w:pStyle w:val="Compact"/>
        <w:numPr>
          <w:numId w:val="1055"/>
          <w:ilvl w:val="0"/>
        </w:numPr>
      </w:pPr>
      <w:r>
        <w:t xml:space="preserve">Finanční záruka vzniká prohlášením výstavce v záruční listině, že uspokojí věřitele podle záruční listiny do výše určité peněžní částky, nesplní-li dlužník věřiteli určitý dluh, anebo splní-li se jiné podmínky určené v záruční listině. …</w:t>
      </w:r>
    </w:p>
    <w:p>
      <w:pPr>
        <w:pStyle w:val="Compact"/>
        <w:numPr>
          <w:numId w:val="1055"/>
          <w:ilvl w:val="0"/>
        </w:numPr>
      </w:pPr>
      <w:r>
        <w:rPr>
          <w:b/>
        </w:rPr>
        <w:t xml:space="preserve">Zajišťovací převod práva</w:t>
      </w:r>
      <w:r>
        <w:t xml:space="preserve">:</w:t>
      </w:r>
    </w:p>
    <w:p>
      <w:pPr>
        <w:pStyle w:val="Compact"/>
        <w:numPr>
          <w:numId w:val="1055"/>
          <w:ilvl w:val="0"/>
        </w:numPr>
      </w:pPr>
      <w:r>
        <w:t xml:space="preserve">(§ 2040 an. OZ)</w:t>
      </w:r>
    </w:p>
    <w:p>
      <w:pPr>
        <w:pStyle w:val="Compact"/>
        <w:numPr>
          <w:numId w:val="1056"/>
          <w:ilvl w:val="1"/>
        </w:numPr>
      </w:pPr>
      <w:r>
        <w:t xml:space="preserve">Smlouvou o zajišťovacím převodu práva zajišťuje dlužník nebo třetí osoba dluh tím, že věřiteli dočasně převede své právo.</w:t>
      </w:r>
    </w:p>
    <w:p>
      <w:pPr>
        <w:pStyle w:val="Compact"/>
        <w:numPr>
          <w:numId w:val="1057"/>
          <w:ilvl w:val="1"/>
        </w:numPr>
      </w:pPr>
      <w:r>
        <w:t xml:space="preserve">Má se za to, že zajišťovací převod práva je převodem s rozvazovací podmínkou, že dluh bude splněn.</w:t>
      </w:r>
    </w:p>
    <w:p>
      <w:pPr>
        <w:pStyle w:val="Compact"/>
        <w:numPr>
          <w:numId w:val="1055"/>
          <w:ilvl w:val="0"/>
        </w:numPr>
      </w:pPr>
      <w:r>
        <w:rPr>
          <w:b/>
        </w:rPr>
        <w:t xml:space="preserve">Dohoda o srážkách ze mzdy nebo jiných příjmů</w:t>
      </w:r>
      <w:r>
        <w:t xml:space="preserve">:</w:t>
      </w:r>
    </w:p>
    <w:p>
      <w:pPr>
        <w:pStyle w:val="Compact"/>
        <w:numPr>
          <w:numId w:val="1055"/>
          <w:ilvl w:val="0"/>
        </w:numPr>
      </w:pPr>
      <w:r>
        <w:t xml:space="preserve">(§ 2045 an. OZ)</w:t>
      </w:r>
    </w:p>
    <w:p>
      <w:pPr>
        <w:pStyle w:val="Compact"/>
        <w:numPr>
          <w:numId w:val="1058"/>
          <w:ilvl w:val="1"/>
        </w:numPr>
      </w:pPr>
      <w:r>
        <w:t xml:space="preserve">Dluh lze zajistit dohodou věřitele a dlužníka o srážkách ze mzdy nebo platu, z odměny ze smlouvy o výkonu závislé práce zakládající mezi zaměstnancem a zaměstnavatelem obdobný závazek nebo z náhrady mzdy nebo platu. Nejde-li o srážky podle věty první k uspokojení práva zaměstnavatele, je třeba k uzavření dohody předchozího souhlasu zaměstnavatele.</w:t>
      </w:r>
    </w:p>
    <w:p>
      <w:pPr>
        <w:pStyle w:val="Compact"/>
        <w:numPr>
          <w:numId w:val="1059"/>
          <w:ilvl w:val="1"/>
        </w:numPr>
      </w:pPr>
      <w:r>
        <w:t xml:space="preserve">Proti plátci mzdy nebo platu nabývá věřitel práva na výplatu srážek okamžikem, kdy byla plátci dohoda předložena.</w:t>
      </w:r>
    </w:p>
    <w:p>
      <w:pPr>
        <w:pStyle w:val="Compact"/>
        <w:numPr>
          <w:numId w:val="1055"/>
          <w:ilvl w:val="0"/>
        </w:numPr>
      </w:pPr>
      <w:r>
        <w:rPr>
          <w:b/>
        </w:rPr>
        <w:t xml:space="preserve">Závdavek</w:t>
      </w:r>
      <w:r>
        <w:t xml:space="preserve"> </w:t>
      </w:r>
      <w:r>
        <w:t xml:space="preserve">(Není relevantní pro insolvenci):</w:t>
      </w:r>
    </w:p>
    <w:p>
      <w:pPr>
        <w:pStyle w:val="Compact"/>
        <w:numPr>
          <w:numId w:val="1055"/>
          <w:ilvl w:val="0"/>
        </w:numPr>
      </w:pPr>
      <w:r>
        <w:t xml:space="preserve">(§ 1808 OZ) – Závdavek je peněžitá částka nebo jiná věc, která je odevzdána před nebo při uzavření smlouvy. Závdavek plní funkci důkazní (že smlouva byla uzavřena), zajišťovací (kauce) a sankční (přijetí závdavku).</w:t>
      </w:r>
    </w:p>
    <w:p>
      <w:pPr>
        <w:pStyle w:val="FirstParagraph"/>
      </w:pPr>
      <w:r>
        <w:rPr>
          <w:b/>
        </w:rPr>
        <w:t xml:space="preserve">Zajištění věcným právem (Jistota)</w:t>
      </w:r>
      <w:r>
        <w:t xml:space="preserve">:</w:t>
      </w:r>
    </w:p>
    <w:p>
      <w:pPr>
        <w:pStyle w:val="Compact"/>
        <w:numPr>
          <w:numId w:val="1060"/>
          <w:ilvl w:val="0"/>
        </w:numPr>
      </w:pPr>
      <w:r>
        <w:rPr>
          <w:b/>
        </w:rPr>
        <w:t xml:space="preserve">Zástavní právo</w:t>
      </w:r>
      <w:r>
        <w:t xml:space="preserve">:</w:t>
      </w:r>
    </w:p>
    <w:p>
      <w:pPr>
        <w:pStyle w:val="Compact"/>
        <w:numPr>
          <w:numId w:val="1060"/>
          <w:ilvl w:val="0"/>
        </w:numPr>
      </w:pPr>
      <w:r>
        <w:t xml:space="preserve">(§ 1309 an. OZ) – Základním obsahem zástavního práva je oprávnění věřitele uspokojit se z výtěžku zpeněžení zástavy do výše pohledávky s příslušenstvím, případně do ujednané výše. Předmětem zástavy může být každá věc, se kterou lze obchodovat, tedy každá hmotná, nehmotná i hromadná.</w:t>
      </w:r>
    </w:p>
    <w:p>
      <w:pPr>
        <w:pStyle w:val="Compact"/>
        <w:numPr>
          <w:numId w:val="1060"/>
          <w:ilvl w:val="0"/>
        </w:numPr>
      </w:pPr>
      <w:r>
        <w:rPr>
          <w:b/>
        </w:rPr>
        <w:t xml:space="preserve">Podzástavní právo</w:t>
      </w:r>
      <w:r>
        <w:t xml:space="preserve">:</w:t>
      </w:r>
    </w:p>
    <w:p>
      <w:pPr>
        <w:pStyle w:val="Compact"/>
        <w:numPr>
          <w:numId w:val="1060"/>
          <w:ilvl w:val="0"/>
        </w:numPr>
      </w:pPr>
      <w:r>
        <w:t xml:space="preserve">(§ 1390 OZ) – Zástavou může být i pohledávka. Pokud původní věřitel dlužníkovi oznámí, že jeho dluh zastavil jinému věřiteli, může dlužník plnit jen tomuto novému zástavnímu věřiteli, pokud je jeho pohledávka splatná.</w:t>
      </w:r>
    </w:p>
    <w:p>
      <w:pPr>
        <w:pStyle w:val="Compact"/>
        <w:numPr>
          <w:numId w:val="1060"/>
          <w:ilvl w:val="0"/>
        </w:numPr>
      </w:pPr>
      <w:r>
        <w:rPr>
          <w:b/>
        </w:rPr>
        <w:t xml:space="preserve">Zadržovací právo</w:t>
      </w:r>
      <w:r>
        <w:t xml:space="preserve">:</w:t>
      </w:r>
    </w:p>
    <w:p>
      <w:pPr>
        <w:pStyle w:val="Compact"/>
        <w:numPr>
          <w:numId w:val="1060"/>
          <w:ilvl w:val="0"/>
        </w:numPr>
      </w:pPr>
      <w:r>
        <w:t xml:space="preserve">retenční právo (§ 1395 an. OZ) – V případě, že věřitel má movitou věc u sebe po právu, např. opravář k opravě, kterou by měl posléze vydat jejímu vlastníkovi. Osoba, jíž by měl věc vydat, má proti němu spatný dluh, např. za provedenou opravu. Ten, kdo má movitou věc u sebe, ji může zadržet k zajištění splatného dluhu osoby, jíž by věc měl jinak vydat.</w:t>
      </w:r>
    </w:p>
    <w:p>
      <w:pPr>
        <w:pStyle w:val="FirstParagraph"/>
      </w:pPr>
      <w:r>
        <w:rPr>
          <w:b/>
        </w:rPr>
        <w:t xml:space="preserve">Utvrzení</w:t>
      </w:r>
      <w:r>
        <w:t xml:space="preserve">:</w:t>
      </w:r>
    </w:p>
    <w:p>
      <w:pPr>
        <w:pStyle w:val="Compact"/>
        <w:numPr>
          <w:numId w:val="1061"/>
          <w:ilvl w:val="0"/>
        </w:numPr>
      </w:pPr>
      <w:r>
        <w:rPr>
          <w:b/>
        </w:rPr>
        <w:t xml:space="preserve">Smluvní pokuta</w:t>
      </w:r>
      <w:r>
        <w:t xml:space="preserve">:</w:t>
      </w:r>
    </w:p>
    <w:p>
      <w:pPr>
        <w:pStyle w:val="Compact"/>
        <w:numPr>
          <w:numId w:val="1061"/>
          <w:ilvl w:val="0"/>
        </w:numPr>
      </w:pPr>
      <w:r>
        <w:t xml:space="preserve">Smluvní pokuta je sankční plnění, na něž nastane věřiteli právo v případě porušení smluvené povinnosti za podmínky, že se tak obě strany dohodly. Má objektivní charakter, právo ji vyžadovat vzniká porušením závazku nezávisle na zavinění i nezávisle na tom, zda porušení smluvní povinnosti způsobila nějakou škodu. Smluvní pokuta se považuje za paušalizovanou náhradu škody.</w:t>
      </w:r>
    </w:p>
    <w:p>
      <w:pPr>
        <w:pStyle w:val="Compact"/>
        <w:numPr>
          <w:numId w:val="1061"/>
          <w:ilvl w:val="0"/>
        </w:numPr>
      </w:pPr>
      <w:r>
        <w:t xml:space="preserve">Ujednají-li strany pro případ porušení smluvené povinnosti smluvní pokutu v určité výši nebo způsob, jak se výše smluvní pokuty určí, může věřitel požadovat smluvní pokutu bez zřetele k tomu, zda mu porušením utvrzené povinnosti vznikla škoda. …</w:t>
      </w:r>
    </w:p>
    <w:p>
      <w:pPr>
        <w:pStyle w:val="Compact"/>
        <w:numPr>
          <w:numId w:val="1061"/>
          <w:ilvl w:val="0"/>
        </w:numPr>
      </w:pPr>
      <w:r>
        <w:rPr>
          <w:b/>
        </w:rPr>
        <w:t xml:space="preserve">Uznání dluhu</w:t>
      </w:r>
      <w:r>
        <w:t xml:space="preserve">:</w:t>
      </w:r>
    </w:p>
    <w:p>
      <w:pPr>
        <w:pStyle w:val="Compact"/>
        <w:numPr>
          <w:numId w:val="1061"/>
          <w:ilvl w:val="0"/>
        </w:numPr>
      </w:pPr>
      <w:r>
        <w:t xml:space="preserve">Uznání dluhu je písemné prohlášení dlužníka, v němž svůj dluh uznává. Dluh lze uznat i konkludentním jednáním, které spočívá v placení úroků nebo částečném plnění.</w:t>
      </w:r>
    </w:p>
    <w:p>
      <w:pPr>
        <w:pStyle w:val="Compact"/>
        <w:numPr>
          <w:numId w:val="1061"/>
          <w:ilvl w:val="0"/>
        </w:numPr>
      </w:pPr>
      <w:r>
        <w:t xml:space="preserve">Uzná-li někdo svůj dluh co do důvodu i výše prohlášením učiněným v písemné formě, má se za to, že dluh v rozsahu uznání v době uznání trvá.</w:t>
      </w:r>
    </w:p>
    <w:p>
      <w:pPr>
        <w:pStyle w:val="Compact"/>
        <w:numPr>
          <w:numId w:val="1061"/>
          <w:ilvl w:val="0"/>
        </w:numPr>
      </w:pPr>
      <w:r>
        <w:rPr>
          <w:b/>
        </w:rPr>
        <w:t xml:space="preserve">Směnka vlastní</w:t>
      </w:r>
      <w:r>
        <w:t xml:space="preserve"> </w:t>
      </w:r>
      <w:r>
        <w:t xml:space="preserve">(Není relevantní pro insolvenci):</w:t>
      </w:r>
    </w:p>
    <w:p>
      <w:pPr>
        <w:pStyle w:val="Compact"/>
        <w:numPr>
          <w:numId w:val="1061"/>
          <w:ilvl w:val="0"/>
        </w:numPr>
      </w:pPr>
      <w:r>
        <w:t xml:space="preserve">K utvrzení dluhu se používá i směnka vlastní. Obsahuje bezpodmínečný slib výstavce zaplatit určitou peněžní sumu. Většinou se jedná o cenný papír znějící na řad, takže se právo na zaplacení dá snadno převádět na další osobu.</w:t>
      </w:r>
    </w:p>
    <w:p>
      <w:pPr>
        <w:pStyle w:val="FirstParagraph"/>
      </w:pPr>
      <w:r>
        <w:t xml:space="preserve">Viz uspokojování pohledávek a druhy pohledávek, to zda má věřitel zajištění závazek dopadá na</w:t>
      </w:r>
      <w:r>
        <w:t xml:space="preserve"> </w:t>
      </w:r>
      <w:r>
        <w:rPr>
          <w:b/>
        </w:rPr>
        <w:t xml:space="preserve">rozvrh</w:t>
      </w:r>
      <w:r>
        <w:t xml:space="preserve">, je tím dotčena hierarchie vyplácení zpeněženého majetku/splátkového kalendáře/jiných plnění z majetkové podstaty věřiteli. Věřitel má tedy přednostní právo, neboť je zajištěný věřitel.</w:t>
      </w:r>
    </w:p>
    <w:p>
      <w:pPr>
        <w:pStyle w:val="BlockText"/>
      </w:pPr>
      <w:r>
        <w:rPr>
          <w:i/>
          <w:b/>
        </w:rPr>
        <w:t xml:space="preserve">TODO:</w:t>
      </w:r>
      <w:r>
        <w:t xml:space="preserve"> </w:t>
      </w:r>
      <w:r>
        <w:t xml:space="preserve">Do kdy může věřitel přihlásit pohledávku - myslím, že už mám někde napsáno, stane se přihlášená pohledávka splatnou?</w:t>
      </w:r>
    </w:p>
    <w:p>
      <w:pPr>
        <w:pStyle w:val="FirstParagraph"/>
      </w:pPr>
      <w:r>
        <w:t xml:space="preserve">Pohledávku je dle § 136 možné přihlásit do</w:t>
      </w:r>
      <w:r>
        <w:t xml:space="preserve"> </w:t>
      </w:r>
      <w:r>
        <w:rPr>
          <w:b/>
        </w:rPr>
        <w:t xml:space="preserve">dvou měsíců</w:t>
      </w:r>
      <w:r>
        <w:t xml:space="preserve"> </w:t>
      </w:r>
      <w:r>
        <w:t xml:space="preserve">(pokud není stanovená jiná lhůta - viz § 173), jsou i typy pohledávek, které lze přihlásit kdykoliv v průběhu insolvenčního řízení - například pohledávky na náhradu škody nebo nemajetkové újmy způsobené trestným činem.</w:t>
      </w:r>
    </w:p>
    <w:p>
      <w:pPr>
        <w:pStyle w:val="Heading4"/>
      </w:pPr>
      <w:bookmarkStart w:id="65" w:name="přihlášení-pohledávek-a-jejich-uspokojení"/>
      <w:bookmarkEnd w:id="65"/>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lockText"/>
      </w:pPr>
      <w:r>
        <w:rPr>
          <w:i/>
          <w:b/>
        </w:rPr>
        <w:t xml:space="preserve">TODO:</w:t>
      </w:r>
      <w:r>
        <w:t xml:space="preserve"> </w:t>
      </w:r>
      <w:r>
        <w:t xml:space="preserve">Ověřit - Lze přihlásit i nesplatné pohledávky, ty se stávají splatnými.</w:t>
      </w:r>
    </w:p>
    <w:p>
      <w:pPr>
        <w:pStyle w:val="FirstParagraph"/>
      </w:pPr>
      <w:r>
        <w:t xml:space="preserve">Lze přihlásit i nesplatné pohledávky, ty se stávají splatné (fikce splatnosti) v případě vyhlášení řešení úpadku konkurzem.</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66" w:name="přezkum-pohledávek"/>
      <w:bookmarkEnd w:id="66"/>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67" w:name="způsoby-řešení-úpadku-detailně"/>
      <w:bookmarkEnd w:id="67"/>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t xml:space="preserve">Obecný průběh:</w:t>
      </w:r>
    </w:p>
    <w:p>
      <w:pPr>
        <w:pStyle w:val="Compact"/>
        <w:numPr>
          <w:numId w:val="1063"/>
          <w:ilvl w:val="1"/>
        </w:numPr>
      </w:pPr>
      <w:r>
        <w:t xml:space="preserve">Schůze věřitelů</w:t>
      </w:r>
    </w:p>
    <w:p>
      <w:pPr>
        <w:pStyle w:val="Compact"/>
        <w:numPr>
          <w:numId w:val="1064"/>
          <w:ilvl w:val="1"/>
        </w:numPr>
      </w:pPr>
      <w:r>
        <w:t xml:space="preserve">Zpeněžování podstaty</w:t>
      </w:r>
    </w:p>
    <w:p>
      <w:pPr>
        <w:pStyle w:val="Compact"/>
        <w:numPr>
          <w:numId w:val="1065"/>
          <w:ilvl w:val="1"/>
        </w:numPr>
      </w:pPr>
      <w:r>
        <w:t xml:space="preserve">Konečná zpráva</w:t>
      </w:r>
    </w:p>
    <w:p>
      <w:pPr>
        <w:pStyle w:val="Compact"/>
        <w:numPr>
          <w:numId w:val="1066"/>
          <w:ilvl w:val="1"/>
        </w:numPr>
      </w:pPr>
      <w:r>
        <w:t xml:space="preserve">Rozvrh</w:t>
      </w:r>
    </w:p>
    <w:p>
      <w:pPr>
        <w:pStyle w:val="Compact"/>
        <w:numPr>
          <w:numId w:val="1067"/>
          <w:ilvl w:val="1"/>
        </w:numPr>
      </w:pPr>
      <w:r>
        <w:t xml:space="preserve">Zrušení konkursu</w:t>
      </w:r>
    </w:p>
    <w:p>
      <w:pPr>
        <w:pStyle w:val="Compact"/>
        <w:numPr>
          <w:numId w:val="1068"/>
          <w:ilvl w:val="1"/>
        </w:numPr>
      </w:pPr>
      <w:r>
        <w:t xml:space="preserve">Zánik účinků prohlášení konkursu</w:t>
      </w:r>
    </w:p>
    <w:p>
      <w:pPr>
        <w:pStyle w:val="FirstParagraph"/>
      </w:pPr>
      <w:r>
        <w:rPr>
          <w:b/>
        </w:rPr>
        <w:t xml:space="preserve">Nepatrný konkurz</w:t>
      </w:r>
      <w:r>
        <w:t xml:space="preserve">:</w:t>
      </w:r>
    </w:p>
    <w:p>
      <w:pPr>
        <w:pStyle w:val="BodyText"/>
      </w:pPr>
      <w:r>
        <w:t xml:space="preserve">O nepatrný konkurz se jedná v případě, kdy:</w:t>
      </w:r>
    </w:p>
    <w:p>
      <w:pPr>
        <w:pStyle w:val="Compact"/>
        <w:numPr>
          <w:numId w:val="1069"/>
          <w:ilvl w:val="0"/>
        </w:numPr>
      </w:pPr>
      <w:r>
        <w:t xml:space="preserve">dlužníkem je fyzická osoba, která není podnikatelem, nebo,</w:t>
      </w:r>
    </w:p>
    <w:p>
      <w:pPr>
        <w:pStyle w:val="Compact"/>
        <w:numPr>
          <w:numId w:val="1069"/>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Smyslem reorganizace je zachování fungování dlužníkova podniku za cenu použití sanačních opatření schválených a kontrolovaných soudem. Dlužníkem může být pouze podnikatel, který není v likvidaci. Další podmínkou je, že zaměstnavatel vykázal čistý obrat za období předcházející insolvenčnímu návrhu ve výši min 50.000.000 Kč, nebo má min. 50 zaměstnanců.</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70"/>
          <w:ilvl w:val="0"/>
        </w:numPr>
      </w:pPr>
      <w:r>
        <w:t xml:space="preserve">lze-li se zřetelem ke všem okolnostem důvodně předpokládat, že jím je sledován nepoctivý záměr, nebo</w:t>
      </w:r>
    </w:p>
    <w:p>
      <w:pPr>
        <w:pStyle w:val="Compact"/>
        <w:numPr>
          <w:numId w:val="1070"/>
          <w:ilvl w:val="0"/>
        </w:numPr>
      </w:pPr>
      <w:r>
        <w:t xml:space="preserve">který znovu podala osoba, o jejímž návrhu na povolení reorganizace bylo již dříve rozhodnuto, anebo</w:t>
      </w:r>
    </w:p>
    <w:p>
      <w:pPr>
        <w:pStyle w:val="Compact"/>
        <w:numPr>
          <w:numId w:val="1070"/>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t xml:space="preserve">Jak může soud rozhodnout:</w:t>
      </w:r>
    </w:p>
    <w:p>
      <w:pPr>
        <w:pStyle w:val="BodyText"/>
      </w:pPr>
      <w:r>
        <w:t xml:space="preserve">Podmínkou zahájení reorganizace je podání návrhu</w:t>
      </w:r>
      <w:r>
        <w:t xml:space="preserve"> </w:t>
      </w:r>
      <w:r>
        <w:rPr>
          <w:b/>
        </w:rPr>
        <w:t xml:space="preserve">dlužníkem</w:t>
      </w:r>
      <w:r>
        <w:t xml:space="preserve"> </w:t>
      </w:r>
      <w:r>
        <w:t xml:space="preserve">nebo</w:t>
      </w:r>
      <w:r>
        <w:t xml:space="preserve"> </w:t>
      </w:r>
      <w:r>
        <w:rPr>
          <w:b/>
        </w:rPr>
        <w:t xml:space="preserve">přihlášeným věřitelem</w:t>
      </w:r>
      <w:r>
        <w:t xml:space="preserve">.</w:t>
      </w:r>
    </w:p>
    <w:p>
      <w:pPr>
        <w:pStyle w:val="BodyText"/>
      </w:pPr>
      <w:r>
        <w:t xml:space="preserve">Soud rozhodne o návrhu některým z následujících způsobů:</w:t>
      </w:r>
    </w:p>
    <w:p>
      <w:pPr>
        <w:pStyle w:val="Compact"/>
        <w:numPr>
          <w:numId w:val="1072"/>
          <w:ilvl w:val="1"/>
        </w:numPr>
      </w:pPr>
      <w:r>
        <w:t xml:space="preserve">povolení,</w:t>
      </w:r>
    </w:p>
    <w:p>
      <w:pPr>
        <w:pStyle w:val="Compact"/>
        <w:numPr>
          <w:numId w:val="1073"/>
          <w:ilvl w:val="1"/>
        </w:numPr>
      </w:pPr>
      <w:r>
        <w:t xml:space="preserve">zamítnutí– pokračuje se v insolvenčním řízení,</w:t>
      </w:r>
    </w:p>
    <w:p>
      <w:pPr>
        <w:pStyle w:val="Compact"/>
        <w:numPr>
          <w:numId w:val="1074"/>
          <w:ilvl w:val="1"/>
        </w:numPr>
      </w:pPr>
      <w:r>
        <w:t xml:space="preserve">zpětvzetí návrhu – soud vezme na vědomí a nepokračuje se v reorganizaci – pokračuje se v insolvenčním řízení,</w:t>
      </w:r>
    </w:p>
    <w:p>
      <w:pPr>
        <w:pStyle w:val="Compact"/>
        <w:numPr>
          <w:numId w:val="1075"/>
          <w:ilvl w:val="1"/>
        </w:numPr>
      </w:pPr>
      <w:r>
        <w:t xml:space="preserve">odmítnutí– pokračuje se v insolvenčním řízení.</w:t>
      </w:r>
    </w:p>
    <w:p>
      <w:pPr>
        <w:pStyle w:val="FirstParagraph"/>
      </w:pPr>
      <w:r>
        <w:t xml:space="preserve">Konkurz: Vyhlášením konkurzu přecházejí na insolvenčního správce veškerá práva nakládat s majetkovou podstatou, vykonává akcionářská práva. Toto platí více méně i při reorganizaci, vše musí schválit insolvenční správce. Insolvenční správce dále vykonává dohled.</w:t>
      </w:r>
      <w:r>
        <w:t xml:space="preserve"> </w:t>
      </w:r>
      <w:r>
        <w:rPr>
          <w:strike/>
        </w:rPr>
        <w:t xml:space="preserve">Insolvenční správce vykonává funkci statutárního orgánu.</w:t>
      </w:r>
    </w:p>
    <w:p>
      <w:pPr>
        <w:pStyle w:val="BodyText"/>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76"/>
          <w:ilvl w:val="0"/>
        </w:numPr>
      </w:pPr>
      <w:r>
        <w:t xml:space="preserve">banky a spořitelního a úvěrového družstva poté, kdy zanikla licence nebo povolení podle zvláštních právních předpisů upravujících jejich činnosti,</w:t>
      </w:r>
    </w:p>
    <w:p>
      <w:pPr>
        <w:pStyle w:val="Compact"/>
        <w:numPr>
          <w:numId w:val="1076"/>
          <w:ilvl w:val="0"/>
        </w:numPr>
      </w:pPr>
      <w:r>
        <w:t xml:space="preserve">zahraniční banky podnikající na území České republiky na základě jednotné licence podle zvláštního právního předpisu52),</w:t>
      </w:r>
    </w:p>
    <w:p>
      <w:pPr>
        <w:pStyle w:val="Compact"/>
        <w:numPr>
          <w:numId w:val="1076"/>
          <w:ilvl w:val="0"/>
        </w:numPr>
      </w:pPr>
      <w:r>
        <w:t xml:space="preserve">pobočky zahraniční banky jiné než uvedené v písmenu b),</w:t>
      </w:r>
    </w:p>
    <w:p>
      <w:pPr>
        <w:pStyle w:val="Compact"/>
        <w:numPr>
          <w:numId w:val="1076"/>
          <w:ilvl w:val="0"/>
        </w:numPr>
      </w:pPr>
      <w:r>
        <w:t xml:space="preserve">obchodníka s cennými papíry,</w:t>
      </w:r>
    </w:p>
    <w:p>
      <w:pPr>
        <w:pStyle w:val="Compact"/>
        <w:numPr>
          <w:numId w:val="1076"/>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76"/>
          <w:ilvl w:val="0"/>
        </w:numPr>
      </w:pPr>
      <w:r>
        <w:t xml:space="preserve">pobočky zahraničního obchodníka s cennými papíry jiného než uvedeného v písmenu e),</w:t>
      </w:r>
    </w:p>
    <w:p>
      <w:pPr>
        <w:pStyle w:val="Compact"/>
        <w:numPr>
          <w:numId w:val="1076"/>
          <w:ilvl w:val="0"/>
        </w:numPr>
      </w:pPr>
      <w:r>
        <w:t xml:space="preserve">povinných osob podle § 3 písm. b) a c) zákona o ozdravných postupech a řešení krize na finančním trhu,</w:t>
      </w:r>
    </w:p>
    <w:p>
      <w:pPr>
        <w:pStyle w:val="Compact"/>
        <w:numPr>
          <w:numId w:val="1076"/>
          <w:ilvl w:val="0"/>
        </w:numPr>
      </w:pPr>
      <w:r>
        <w:t xml:space="preserve">pojišťovny a zajišťovny.</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Oddlužení patří mezi sanační způsoby řešení úpadku.</w:t>
      </w:r>
    </w:p>
    <w:p>
      <w:pPr>
        <w:pStyle w:val="BodyText"/>
      </w:pPr>
      <w:r>
        <w:t xml:space="preserve">Dlužník může podle § 389 odst. 1 IZ insolvenčnímu soudu navrhnout, aby jeho úpadek nebo jeho hrozící úpadek řešil oddlužením, jde-li o</w:t>
      </w:r>
    </w:p>
    <w:p>
      <w:pPr>
        <w:pStyle w:val="Compact"/>
        <w:numPr>
          <w:numId w:val="1077"/>
          <w:ilvl w:val="0"/>
        </w:numPr>
      </w:pPr>
      <w:r>
        <w:t xml:space="preserve">právnickou osobu, která podle zákona není považována za podnikatele a současně nemá dluhy z podnikání, nebo</w:t>
      </w:r>
    </w:p>
    <w:p>
      <w:pPr>
        <w:pStyle w:val="Compact"/>
        <w:numPr>
          <w:numId w:val="1077"/>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78"/>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78"/>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78"/>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79"/>
          <w:ilvl w:val="0"/>
        </w:numPr>
      </w:pPr>
      <w:r>
        <w:t xml:space="preserve">advokát, notář, soudní exekutor, insolvenční správce</w:t>
      </w:r>
    </w:p>
    <w:p>
      <w:pPr>
        <w:pStyle w:val="Compact"/>
        <w:numPr>
          <w:numId w:val="1079"/>
          <w:ilvl w:val="0"/>
        </w:numPr>
      </w:pPr>
      <w:r>
        <w:t xml:space="preserve">akreditovanou osobou - akreditována ministerstvem,</w:t>
      </w:r>
    </w:p>
    <w:p>
      <w:pPr>
        <w:pStyle w:val="Compact"/>
        <w:numPr>
          <w:numId w:val="1079"/>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80"/>
          <w:ilvl w:val="0"/>
        </w:numPr>
      </w:pPr>
      <w:r>
        <w:t xml:space="preserve">že jím je sledován nepoctivý záměr, nebo</w:t>
      </w:r>
    </w:p>
    <w:p>
      <w:pPr>
        <w:pStyle w:val="Compact"/>
        <w:numPr>
          <w:numId w:val="1080"/>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81"/>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81"/>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082"/>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083"/>
          <w:ilvl w:val="0"/>
        </w:numPr>
      </w:pPr>
      <w:r>
        <w:t xml:space="preserve">dlužník splatil nezajištěným věřitelům jejich pohledávky v plné výši,</w:t>
      </w:r>
    </w:p>
    <w:p>
      <w:pPr>
        <w:pStyle w:val="Compact"/>
        <w:numPr>
          <w:numId w:val="1083"/>
          <w:ilvl w:val="0"/>
        </w:numPr>
      </w:pPr>
      <w:r>
        <w:t xml:space="preserve">dlužník v době 3 let od schválení oddlužení splatil nezajištěným věřitelům alespoň 60 % jejich pohledávek,</w:t>
      </w:r>
    </w:p>
    <w:p>
      <w:pPr>
        <w:pStyle w:val="Compact"/>
        <w:numPr>
          <w:numId w:val="1083"/>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FirstParagraph"/>
      </w:pPr>
      <w:r>
        <w:t xml:space="preserve">Jak může soud rozhodnout:</w:t>
      </w:r>
    </w:p>
    <w:p>
      <w:pPr>
        <w:pStyle w:val="BodyText"/>
      </w:pPr>
      <w:r>
        <w:t xml:space="preserve">Insolvenční soud rozhodne tak, že návrh:</w:t>
      </w:r>
    </w:p>
    <w:p>
      <w:pPr>
        <w:pStyle w:val="Compact"/>
        <w:numPr>
          <w:numId w:val="1085"/>
          <w:ilvl w:val="1"/>
        </w:numPr>
      </w:pPr>
      <w:r>
        <w:t xml:space="preserve">odmítne - odmítnutí insolvenčního návrhu pro vady nebo pro zjevnou bezdůvodnost,</w:t>
      </w:r>
    </w:p>
    <w:p>
      <w:pPr>
        <w:pStyle w:val="Compact"/>
        <w:numPr>
          <w:numId w:val="1086"/>
          <w:ilvl w:val="1"/>
        </w:numPr>
      </w:pPr>
      <w:r>
        <w:t xml:space="preserve">zamítne - Insolvenční soud insolvenční návrh zamítne, nejsou-li splněny zákonem stanovené předpoklady pro vydání rozhodnutí o úpadku,</w:t>
      </w:r>
    </w:p>
    <w:p>
      <w:pPr>
        <w:pStyle w:val="Compact"/>
        <w:numPr>
          <w:numId w:val="1087"/>
          <w:ilvl w:val="1"/>
        </w:numPr>
      </w:pPr>
      <w:r>
        <w:t xml:space="preserve">vezme na vědomí zpětvzetí návrhu dlužníkem,</w:t>
      </w:r>
    </w:p>
    <w:p>
      <w:pPr>
        <w:pStyle w:val="Compact"/>
        <w:numPr>
          <w:numId w:val="1088"/>
          <w:ilvl w:val="1"/>
        </w:numPr>
      </w:pPr>
      <w:r>
        <w:t xml:space="preserve">povolí.</w:t>
      </w:r>
    </w:p>
    <w:p>
      <w:pPr>
        <w:pStyle w:val="FirstParagraph"/>
      </w:pPr>
      <w:r>
        <w:t xml:space="preserve">Soud může rovněž</w:t>
      </w:r>
      <w:r>
        <w:t xml:space="preserve"> </w:t>
      </w:r>
      <w:r>
        <w:rPr>
          <w:b/>
        </w:rPr>
        <w:t xml:space="preserve">zamítnout insolvenční návrh</w:t>
      </w:r>
      <w:r>
        <w:t xml:space="preserve">.</w:t>
      </w:r>
    </w:p>
    <w:p>
      <w:pPr>
        <w:pStyle w:val="BodyText"/>
      </w:pPr>
      <w:r>
        <w:t xml:space="preserve">Jestliže insolvenční soud návrh na povolení oddlužení odmítne, vezme na vědomí jeho zpětvzetí nebo jej zamítne, může podle § 396 odst. 1 IZ současně rozhodnout o způsobu řešení dlužníkova úpadku konkursem.</w:t>
      </w:r>
    </w:p>
    <w:p>
      <w:pPr>
        <w:pStyle w:val="Heading2"/>
      </w:pPr>
      <w:bookmarkStart w:id="68" w:name="insolvenční-rejstřík"/>
      <w:bookmarkEnd w:id="68"/>
      <w:r>
        <w:t xml:space="preserve">Insolvenční rejstřík:</w:t>
      </w:r>
    </w:p>
    <w:p>
      <w:pPr>
        <w:pStyle w:val="Compact"/>
        <w:numPr>
          <w:numId w:val="1089"/>
          <w:ilvl w:val="0"/>
        </w:numPr>
      </w:pPr>
      <w:r>
        <w:t xml:space="preserve">Insolvenční rejstřík je informačním systémem veřejné správy, jehož správcem je Ministerstvo spravedlnosti (dále jen "ministerstvo").</w:t>
      </w:r>
    </w:p>
    <w:p>
      <w:pPr>
        <w:pStyle w:val="Compact"/>
        <w:numPr>
          <w:numId w:val="1089"/>
          <w:ilvl w:val="0"/>
        </w:numPr>
      </w:pPr>
      <w:r>
        <w:t xml:space="preserve">Insolvenční rejstřík obsahuje seznam insolvenčních správců, seznam dlužníků a insolvenční spisy. Pro každého dlužníka se vede jeden insolvenční spis.</w:t>
      </w:r>
    </w:p>
    <w:p>
      <w:pPr>
        <w:pStyle w:val="Compact"/>
        <w:numPr>
          <w:numId w:val="1089"/>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089"/>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69" w:name="slovníček-insolvenčních-pojmů-extenze-základních-pojmů"/>
      <w:bookmarkEnd w:id="69"/>
      <w:r>
        <w:t xml:space="preserve">Slovníček insolvenčních pojmů (extenze základních pojmů)</w:t>
      </w:r>
    </w:p>
    <w:p>
      <w:pPr>
        <w:pStyle w:val="FirstParagraph"/>
      </w:pPr>
      <w:r>
        <w:t xml:space="preserve">Tento slovníček obsahuje nejdůležitější pojmy, které se nevešly do bodů sepsaných výše:</w:t>
      </w:r>
    </w:p>
    <w:p>
      <w:pPr>
        <w:pStyle w:val="Compact"/>
        <w:numPr>
          <w:numId w:val="1090"/>
          <w:ilvl w:val="0"/>
        </w:numPr>
      </w:pPr>
      <w:r>
        <w:rPr>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pStyle w:val="Compact"/>
        <w:numPr>
          <w:numId w:val="1090"/>
          <w:ilvl w:val="0"/>
        </w:numPr>
      </w:pPr>
      <w:r>
        <w:rPr>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pStyle w:val="Compact"/>
        <w:numPr>
          <w:numId w:val="1090"/>
          <w:ilvl w:val="0"/>
        </w:numPr>
      </w:pPr>
      <w:r>
        <w:rPr>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pStyle w:val="Compact"/>
        <w:numPr>
          <w:numId w:val="1090"/>
          <w:ilvl w:val="0"/>
        </w:numPr>
      </w:pPr>
      <w:r>
        <w:rPr>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pStyle w:val="Compact"/>
        <w:numPr>
          <w:numId w:val="1090"/>
          <w:ilvl w:val="0"/>
        </w:numPr>
      </w:pPr>
      <w:r>
        <w:rPr>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pStyle w:val="Compact"/>
        <w:numPr>
          <w:numId w:val="1090"/>
          <w:ilvl w:val="0"/>
        </w:numPr>
      </w:pPr>
      <w:r>
        <w:rPr>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pStyle w:val="Compact"/>
        <w:numPr>
          <w:numId w:val="1090"/>
          <w:ilvl w:val="0"/>
        </w:numPr>
      </w:pPr>
      <w:r>
        <w:rPr>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 po přihlášení se považují za nepodmíněné.</w:t>
      </w:r>
    </w:p>
    <w:p>
      <w:pPr>
        <w:pStyle w:val="Compact"/>
        <w:numPr>
          <w:numId w:val="1090"/>
          <w:ilvl w:val="0"/>
        </w:numPr>
      </w:pPr>
      <w:r>
        <w:rPr>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pStyle w:val="Compact"/>
        <w:numPr>
          <w:numId w:val="1090"/>
          <w:ilvl w:val="0"/>
        </w:numPr>
      </w:pPr>
      <w:r>
        <w:rPr>
          <w:b/>
        </w:rPr>
        <w:t xml:space="preserve">Pohledávka vykonatelná</w:t>
      </w:r>
      <w:r>
        <w:t xml:space="preserve">: Vykonatelná pohledávka je taková pohledávka, jejíž splnění si může věřitel vynutit prostřednictvím soudního výkonu rozhodnutí nebo exekuce.</w:t>
      </w:r>
    </w:p>
    <w:p>
      <w:pPr>
        <w:pStyle w:val="Compact"/>
        <w:numPr>
          <w:numId w:val="1090"/>
          <w:ilvl w:val="0"/>
        </w:numPr>
      </w:pPr>
      <w:r>
        <w:rPr>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pStyle w:val="Compact"/>
        <w:numPr>
          <w:numId w:val="1091"/>
          <w:ilvl w:val="0"/>
        </w:numPr>
      </w:pPr>
      <w:r>
        <w:t xml:space="preserve">úroky, které se staly splatné až po rozhodnutí o úpadku</w:t>
      </w:r>
    </w:p>
    <w:p>
      <w:pPr>
        <w:numPr>
          <w:numId w:val="1091"/>
          <w:ilvl w:val="0"/>
        </w:numPr>
      </w:pPr>
      <w:r>
        <w:t xml:space="preserve">náklady, které účastníkům vznikly účastí v insolvenčním řízení – př. odměna advokáta.</w:t>
      </w:r>
    </w:p>
    <w:p>
      <w:pPr>
        <w:pStyle w:val="Compact"/>
        <w:numPr>
          <w:numId w:val="1091"/>
          <w:ilvl w:val="0"/>
        </w:numPr>
      </w:pPr>
      <w:r>
        <w:rPr>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p>
      <w:pPr>
        <w:pStyle w:val="Compact"/>
        <w:numPr>
          <w:numId w:val="1091"/>
          <w:ilvl w:val="0"/>
        </w:numPr>
      </w:pPr>
      <w:r>
        <w:rPr>
          <w:b/>
        </w:rPr>
        <w:t xml:space="preserve">Zajištěný věřitel</w:t>
      </w:r>
      <w:r>
        <w:t xml:space="preserve">: Podle zákona je zajištěným věřitelem takový věřitel, jehož pohledávka je zajištěna majetkem náležejícím do majetkové podstaty dlužníka. Podrobnější informace naleznete pod heslem Pohledávka zajištěná a Nezajištěný věřitel.</w:t>
      </w:r>
    </w:p>
    <w:p>
      <w:pPr>
        <w:pStyle w:val="Compact"/>
        <w:numPr>
          <w:numId w:val="1091"/>
          <w:ilvl w:val="0"/>
        </w:numPr>
      </w:pPr>
      <w:r>
        <w:rPr>
          <w:b/>
        </w:rPr>
        <w:t xml:space="preserve">Zpráva o přezkumu</w:t>
      </w:r>
      <w:r>
        <w:t xml:space="preserve">: Zpráva o přezkumu je dokument, který obsahuje seznam přihlášených pohledávek se stanoviskem insolvenčního správce i dlužníka, zápis o osobním jednání správce s dlužníkem (podepsaný dlužníkem) a také doklady o písemném vyrozumění věřitele, jehož nevykonatelná pohledávka byla popřena. Předkládá ji insolvenční správce insolvenčnímu soudu v případě, že je způsobem řešení úpadku oddlužení (při konkursu nebo reorganizaci se koná přezkumné jednání před soudem). Soud se následně rozhodne, zda ji schválí, nebo vrátí správci k doplnění, nebo zcela zamítne.</w:t>
      </w:r>
    </w:p>
    <w:p>
      <w:pPr>
        <w:numPr>
          <w:numId w:val="1091"/>
          <w:ilvl w:val="0"/>
        </w:numPr>
      </w:pPr>
      <w:r>
        <w:rPr>
          <w:b/>
        </w:rPr>
        <w:t xml:space="preserve">Zpráva pro oddlužení</w:t>
      </w:r>
      <w:r>
        <w:t xml:space="preserve">: Zpráva pro oddlužení je dokument, ve kterém insolvenční správce zhodnotí předpokládané plnění věřitelům podle možných způsobů oddlužení (tedy přibližně vypočítá, kolik by věřitelé mohli dostat zaplaceno při oddlužení splátkovým kalendářem, zpeněžením majetku nebo kombinací obou způsobů) majetkové podstatě. Pokud je v majetkové podstatě nemovitost, musí přiložit znalecký posudek, kterým byla oceněna její hodnota. Kromě toho správce popíše osobní a majetkové poměry dlužníka (rodinný stav, počet dětí, příjmy dlužníka, dary, soupis majetkové podstaty…). Ve zprávě pro oddlužení správce též uvede doporučený způsob oddlužení – pokud doporučí splátkový kalendář, musí rovnou připravit tzv. distribuční schéma (tabulku, ve které bude napsáno, kolik bude zaplaceno kterému věřiteli na kterou pohledávku).</w:t>
      </w:r>
    </w:p>
    <w:p>
      <w:pPr>
        <w:pStyle w:val="Heading1"/>
      </w:pPr>
      <w:bookmarkStart w:id="70" w:name="otázka-3"/>
      <w:bookmarkEnd w:id="70"/>
      <w:r>
        <w:t xml:space="preserve">Otázka 3</w:t>
      </w:r>
    </w:p>
    <w:p>
      <w:pPr>
        <w:pStyle w:val="BlockText"/>
      </w:pPr>
      <w:r>
        <w:t xml:space="preserve">Zjištění úpadku a jeho vliv na dosavadní členy orgánů korporace (odměny, vydání odměn, ručení, vyloučení z výkonu funkce, trestní odpovědnost).</w:t>
      </w:r>
    </w:p>
    <w:p>
      <w:pPr>
        <w:pStyle w:val="FirstParagraph"/>
      </w:pPr>
      <w:r>
        <w:t xml:space="preserve">Otázky (Kontrolní otázky):</w:t>
      </w:r>
    </w:p>
    <w:p>
      <w:pPr>
        <w:pStyle w:val="BodyText"/>
      </w:pPr>
      <w:r>
        <w:t xml:space="preserve">Student bude umět uvést způsoby zjištění úpadku. Student bude znát důvody vyloučení člena statutárního orgánu z výkonu funkce. Student bude umět vymezit skutkové podstaty úpadkových trestných činů.</w:t>
      </w:r>
    </w:p>
    <w:p>
      <w:pPr>
        <w:pStyle w:val="Compact"/>
        <w:numPr>
          <w:numId w:val="1092"/>
          <w:ilvl w:val="0"/>
        </w:numPr>
      </w:pPr>
      <w:r>
        <w:t xml:space="preserve">Jak lze zjistit, že je obchodní korporace v úpadku? - Insolvenčním testem, compliance -</w:t>
      </w:r>
      <w:r>
        <w:t xml:space="preserve"> </w:t>
      </w:r>
      <w:r>
        <w:rPr>
          <w:b/>
        </w:rPr>
        <w:t xml:space="preserve">Zodpovězeno</w:t>
      </w:r>
    </w:p>
    <w:p>
      <w:pPr>
        <w:pStyle w:val="Compact"/>
        <w:numPr>
          <w:numId w:val="1092"/>
          <w:ilvl w:val="0"/>
        </w:numPr>
      </w:pPr>
      <w:r>
        <w:t xml:space="preserve">Jaké musejí být splněny podmínky pro to, aby insolvenční soud rozhodl o povinnosti člena statutárního orgánu vydat majetkový prospěch získaný od obchodní korporace? -</w:t>
      </w:r>
      <w:r>
        <w:t xml:space="preserve"> </w:t>
      </w:r>
      <w:r>
        <w:rPr>
          <w:b/>
        </w:rPr>
        <w:t xml:space="preserve">Zodpovězeno</w:t>
      </w:r>
    </w:p>
    <w:p>
      <w:pPr>
        <w:pStyle w:val="Compact"/>
        <w:numPr>
          <w:numId w:val="1092"/>
          <w:ilvl w:val="0"/>
        </w:numPr>
      </w:pPr>
      <w:r>
        <w:t xml:space="preserve">Jaké znáte úpadkové trestné činy? -</w:t>
      </w:r>
      <w:r>
        <w:t xml:space="preserve"> </w:t>
      </w:r>
      <w:r>
        <w:rPr>
          <w:b/>
        </w:rPr>
        <w:t xml:space="preserve">Zodpovězeno</w:t>
      </w:r>
    </w:p>
    <w:p>
      <w:pPr>
        <w:pStyle w:val="Compact"/>
        <w:numPr>
          <w:numId w:val="1092"/>
          <w:ilvl w:val="0"/>
        </w:numPr>
      </w:pPr>
      <w:r>
        <w:t xml:space="preserve">Jaké musejí být splněny podmínky pro rozhodnutí soudu o vyloučení člena statutárního orgánu? -</w:t>
      </w:r>
      <w:r>
        <w:t xml:space="preserve"> </w:t>
      </w:r>
      <w:r>
        <w:rPr>
          <w:b/>
        </w:rPr>
        <w:t xml:space="preserve">Zodpovězeno</w:t>
      </w:r>
    </w:p>
    <w:p>
      <w:pPr>
        <w:pStyle w:val="Compact"/>
        <w:numPr>
          <w:numId w:val="1092"/>
          <w:ilvl w:val="0"/>
        </w:numPr>
      </w:pPr>
      <w:r>
        <w:t xml:space="preserve">Jaký vliv má zjištění úpadku na dosavadní členy orgánů korporace? - Především jde o povinnost doplnění pasiv a podání návrhu -</w:t>
      </w:r>
      <w:r>
        <w:t xml:space="preserve"> </w:t>
      </w:r>
      <w:r>
        <w:rPr>
          <w:b/>
        </w:rPr>
        <w:t xml:space="preserve">Zodpovězeno</w:t>
      </w:r>
    </w:p>
    <w:p>
      <w:pPr>
        <w:pStyle w:val="FirstParagraph"/>
      </w:pPr>
      <w:r>
        <w:t xml:space="preserve">Ze zákona vyplývá, že:</w:t>
      </w:r>
    </w:p>
    <w:p>
      <w:pPr>
        <w:pStyle w:val="Compact"/>
        <w:numPr>
          <w:numId w:val="1093"/>
          <w:ilvl w:val="0"/>
        </w:numPr>
      </w:pPr>
      <w:r>
        <w:t xml:space="preserve">§ 6/1 OZ - Každý má povinnost jednat v právním styku poctivě.</w:t>
      </w:r>
    </w:p>
    <w:p>
      <w:pPr>
        <w:pStyle w:val="Compact"/>
        <w:numPr>
          <w:numId w:val="1093"/>
          <w:ilvl w:val="0"/>
        </w:numPr>
      </w:pPr>
      <w:r>
        <w:t xml:space="preserve">§ 159/1 OZ - Kdo přijme funkci člena voleného orgánu, zavazuje se, že ji bude vykonávat s nezbytnou loajalitou i s potřebnými znalostmi a pečlivostí. Má se za to, že jedná nedbale, kdo není této</w:t>
      </w:r>
      <w:r>
        <w:t xml:space="preserve"> </w:t>
      </w:r>
      <w:r>
        <w:rPr>
          <w:b/>
        </w:rPr>
        <w:t xml:space="preserve">péče řádného hospodáře</w:t>
      </w:r>
      <w:r>
        <w:t xml:space="preserve"> </w:t>
      </w:r>
      <w:r>
        <w:t xml:space="preserve">schopen, ač to musel zjistit při přijetí funkce nebo při jejím výkonu, a nevyvodí z toho pro sebe důsledky.</w:t>
      </w:r>
    </w:p>
    <w:p>
      <w:pPr>
        <w:pStyle w:val="Compact"/>
        <w:numPr>
          <w:numId w:val="1093"/>
          <w:ilvl w:val="0"/>
        </w:numPr>
      </w:pPr>
      <w:r>
        <w:t xml:space="preserve">§ 51/1 ZOK - Pečlivě a s potřebnými znalostmi jedná ten, kdo mohl při podnikatelském rozhodování v dobré víře rozumně předpokládat, že jedná informovaně a v obhajitelném zájmu obchodní korporace; to neplatí, pokud takovéto rozhodování nebylo učiněno s nezbytnou loajalitou.</w:t>
      </w:r>
    </w:p>
    <w:p>
      <w:pPr>
        <w:pStyle w:val="Heading2"/>
      </w:pPr>
      <w:bookmarkStart w:id="71" w:name="kdy-musí-podat-člen-orgánu-korporace-návrh-na-zahájení-insolvenčního-řízení"/>
      <w:bookmarkEnd w:id="71"/>
      <w:r>
        <w:t xml:space="preserve">Kdy musí podat člen orgánu korporace návrh na zahájení insolvenčního řízení:</w:t>
      </w:r>
    </w:p>
    <w:p>
      <w:pPr>
        <w:pStyle w:val="Compact"/>
        <w:numPr>
          <w:numId w:val="1095"/>
          <w:ilvl w:val="1"/>
        </w:numPr>
      </w:pPr>
      <w:r>
        <w:t xml:space="preserve">zák. č. 182/2006 Sb., o úpadku a způsobech jeho řešení (insolvenční zákon)</w:t>
      </w:r>
    </w:p>
    <w:p>
      <w:pPr>
        <w:pStyle w:val="Compact"/>
        <w:numPr>
          <w:numId w:val="1094"/>
          <w:ilvl w:val="0"/>
        </w:numPr>
      </w:pPr>
      <w:r>
        <w:t xml:space="preserve">§ 98</w:t>
      </w:r>
    </w:p>
    <w:p>
      <w:pPr>
        <w:pStyle w:val="Compact"/>
        <w:numPr>
          <w:numId w:val="1097"/>
          <w:ilvl w:val="2"/>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098"/>
          <w:ilvl w:val="2"/>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Compact"/>
        <w:numPr>
          <w:numId w:val="1099"/>
          <w:ilvl w:val="2"/>
        </w:numPr>
      </w:pPr>
      <w:r>
        <w:t xml:space="preserve">Povinnost podat insolvenční návrh podle odstavců 1 a 2 není splněna, bylo-li řízení o insolvenčním návrhu vinou navrhovatele zastaveno nebo byl-li jeho insolvenční návrh odmítnut.</w:t>
      </w:r>
    </w:p>
    <w:p>
      <w:pPr>
        <w:pStyle w:val="Heading2"/>
      </w:pPr>
      <w:bookmarkStart w:id="72" w:name="odpovědnost-za-škodu-ručení"/>
      <w:bookmarkEnd w:id="72"/>
      <w:r>
        <w:t xml:space="preserve">Odpovědnost za škodu (ručení)</w:t>
      </w:r>
    </w:p>
    <w:p>
      <w:pPr>
        <w:pStyle w:val="Compact"/>
        <w:numPr>
          <w:numId w:val="1100"/>
          <w:ilvl w:val="0"/>
        </w:numPr>
      </w:pPr>
      <w:r>
        <w:t xml:space="preserve">§ 99</w:t>
      </w:r>
    </w:p>
    <w:p>
      <w:pPr>
        <w:pStyle w:val="Compact"/>
        <w:numPr>
          <w:numId w:val="1101"/>
          <w:ilvl w:val="1"/>
        </w:numPr>
      </w:pPr>
      <w:r>
        <w:t xml:space="preserve">Osoba, která v rozporu s ustanovením § 98 nepodala insolvenční návrh, odpovídá věřiteli za škodu nebo jinou újmu, kterou způsobí porušením této povinnosti.</w:t>
      </w:r>
    </w:p>
    <w:p>
      <w:pPr>
        <w:pStyle w:val="Compact"/>
        <w:numPr>
          <w:numId w:val="1102"/>
          <w:ilvl w:val="1"/>
        </w:numPr>
      </w:pPr>
      <w:r>
        <w:t xml:space="preserve">Škoda nebo jiná újma podle odstavce 1 spočívá v rozdílu mezi v insolvenčním řízení zjištěnou výší pohledávky přihlášené věřitelem k uspokojení a částkou, kterou věřitel v insolvenčním řízení na uspokojení této pohledávky obdržel.</w:t>
      </w:r>
    </w:p>
    <w:p>
      <w:pPr>
        <w:pStyle w:val="Compact"/>
        <w:numPr>
          <w:numId w:val="1103"/>
          <w:ilvl w:val="1"/>
        </w:numPr>
      </w:pPr>
      <w:r>
        <w:t xml:space="preserve">Osoba uvedená v odstavci 1 se odpovědnosti za škodu nebo jinou újmu podle odstavce 2 zprostí, jen prokáže-li, že porušení povinnosti podat insolvenční návrh nemělo vliv na rozsah částky určené k uspokojení pohledávky přihlášené věřitelem v insolvenčním řízení, nebo že tuto povinnost nesplnila vzhledem ke skutečnostem, které nastaly nezávisle na její vůli a které nemohla odvrátit ani při vynaložení veškerého úsilí, které lze po ní spravedlivě požadovat.</w:t>
      </w:r>
    </w:p>
    <w:p>
      <w:pPr>
        <w:pStyle w:val="Compact"/>
        <w:numPr>
          <w:numId w:val="1100"/>
          <w:ilvl w:val="0"/>
        </w:numPr>
      </w:pPr>
      <w:r>
        <w:t xml:space="preserve">§ 53/1 ZOK (Odměna, vydání odměny)</w:t>
      </w:r>
    </w:p>
    <w:p>
      <w:pPr>
        <w:numPr>
          <w:numId w:val="1100"/>
          <w:ilvl w:val="0"/>
        </w:numPr>
      </w:pPr>
      <w:r>
        <w:t xml:space="preserve">Osoba, která porušila povinnost péče řádného hospodáře, vydá obchodní korporaci prospěch, který v souvislosti s takovým svým jednáním získala. Není-li vydání prospěchu možné, nahradí ho povinná osoba obchodní korporaci v penězích.</w:t>
      </w:r>
    </w:p>
    <w:p>
      <w:pPr>
        <w:numPr>
          <w:numId w:val="1100"/>
          <w:ilvl w:val="0"/>
        </w:numPr>
      </w:pPr>
      <w:r>
        <w:t xml:space="preserve">Pokud je korporace v úpadku, tak například rozdělení zisku (nové odměny) musí projít schválením insolvenčního správce a věřitelů.</w:t>
      </w:r>
    </w:p>
    <w:p>
      <w:pPr>
        <w:pStyle w:val="Heading2"/>
      </w:pPr>
      <w:bookmarkStart w:id="73" w:name="vyloučení-člena-statutárního-orgánu"/>
      <w:bookmarkEnd w:id="73"/>
      <w:r>
        <w:t xml:space="preserve">Vyloučení člena statutárního orgánu</w:t>
      </w:r>
    </w:p>
    <w:p>
      <w:pPr>
        <w:pStyle w:val="Compact"/>
        <w:numPr>
          <w:numId w:val="1105"/>
          <w:ilvl w:val="1"/>
        </w:numPr>
      </w:pPr>
      <w:r>
        <w:t xml:space="preserve">zák. č. 90/2012 Sb., o obchodních společnostech a družstvech (zákon o obchodních korporacích)</w:t>
      </w:r>
    </w:p>
    <w:p>
      <w:pPr>
        <w:pStyle w:val="Compact"/>
        <w:numPr>
          <w:numId w:val="1104"/>
          <w:ilvl w:val="0"/>
        </w:numPr>
      </w:pPr>
      <w:r>
        <w:t xml:space="preserve">Vyloučení člena statutárního orgánu z výkonu funkce</w:t>
      </w:r>
    </w:p>
    <w:p>
      <w:pPr>
        <w:pStyle w:val="Compact"/>
        <w:numPr>
          <w:numId w:val="1104"/>
          <w:ilvl w:val="0"/>
        </w:numPr>
      </w:pPr>
      <w:r>
        <w:t xml:space="preserve">§ 63</w:t>
      </w:r>
    </w:p>
    <w:p>
      <w:pPr>
        <w:pStyle w:val="Compact"/>
        <w:numPr>
          <w:numId w:val="1107"/>
          <w:ilvl w:val="2"/>
        </w:numPr>
      </w:pPr>
      <w:r>
        <w:t xml:space="preserve">Soud může i bez návrhu rozhodnout, že člen statutárního orgánu obchodní korporace, který v posledních 3 letech před zahájením řízení opakovaně nebo závažně porušil své povinnosti při výkonu funkce, nesmí až po dobu 3 let od právní moci rozhodnutí o vyloučení vykonávat funkci člena statutárního orgánu jakékoli obchodní korporace (dále jen „vyloučení člena statutárního orgánu“).</w:t>
      </w:r>
    </w:p>
    <w:p>
      <w:pPr>
        <w:pStyle w:val="Compact"/>
        <w:numPr>
          <w:numId w:val="1108"/>
          <w:ilvl w:val="2"/>
        </w:numPr>
      </w:pPr>
      <w:r>
        <w:t xml:space="preserve">Soud rozhodne i bez návrhu o vyloučení člena statutárního orgánu, jestliže byla tomuto členovi statutárního orgánu uložena povinnost podle § 66 odst. 1.</w:t>
      </w:r>
    </w:p>
    <w:p>
      <w:pPr>
        <w:pStyle w:val="Compact"/>
        <w:numPr>
          <w:numId w:val="1109"/>
          <w:ilvl w:val="2"/>
        </w:numPr>
      </w:pPr>
      <w:r>
        <w:t xml:space="preserve">Návrh na vydání rozhodnutí o vyloučení člena statutárního orgánu může podat každý, kdo na něm má důležitý zájem.</w:t>
      </w:r>
    </w:p>
    <w:p>
      <w:pPr>
        <w:pStyle w:val="Compact"/>
        <w:numPr>
          <w:numId w:val="1104"/>
          <w:ilvl w:val="0"/>
        </w:numPr>
      </w:pPr>
      <w:r>
        <w:t xml:space="preserve">§ 66 odst. 1</w:t>
      </w:r>
    </w:p>
    <w:p>
      <w:pPr>
        <w:pStyle w:val="Compact"/>
        <w:numPr>
          <w:numId w:val="1104"/>
          <w:ilvl w:val="0"/>
        </w:numPr>
      </w:pPr>
      <w:r>
        <w:t xml:space="preserve">Zvláštní povinnosti při úpadku obchodní korporace</w:t>
      </w:r>
    </w:p>
    <w:p>
      <w:pPr>
        <w:pStyle w:val="Compact"/>
        <w:numPr>
          <w:numId w:val="1111"/>
          <w:ilvl w:val="2"/>
        </w:numPr>
      </w:pPr>
      <w:r>
        <w:t xml:space="preserve">Přispěl-li člen statutárního orgánu porušením svých povinností k úpadku obchodní korporace a bylo-li v insolvenčním řízení již rozhodnuto o způsobu řešení úpadku obchodní korporace, insolvenční soud na návrh insolvenčního správce</w:t>
      </w:r>
    </w:p>
    <w:p>
      <w:pPr>
        <w:pStyle w:val="Compact"/>
        <w:numPr>
          <w:numId w:val="1112"/>
          <w:ilvl w:val="2"/>
        </w:numPr>
      </w:pPr>
      <w:r>
        <w:t xml:space="preserve">rozhodne o povinnosti tohoto člena vydat do majetkové podstaty prospěch získaný ze smlouvy o výkonu funkce, jakož i případný jiný prospěch, který od obchodní korporace obdržel, a to až za období 2 let zpět před zahájením insolvenčního řízení, jedná-li se o insolvenční řízení zahájené na návrh jiné osoby než dlužníka; není-li vydání prospěchu možné, nahradí jej člen statutárního orgánu v penězích, a</w:t>
      </w:r>
    </w:p>
    <w:p>
      <w:pPr>
        <w:pStyle w:val="Compact"/>
        <w:numPr>
          <w:numId w:val="1113"/>
          <w:ilvl w:val="2"/>
        </w:numPr>
      </w:pPr>
      <w:r>
        <w:t xml:space="preserve">byl-li na majetek obchodní korporace prohlášen konkurs, může také rozhodnout, že tento člen je povinen poskytnout do majetkové podstaty plnění až do výše rozdílu mezi souhrnem dluhů a hodnotou majetku obchodní korporace; při určení výše plnění insolvenční soud přihlédne zejména k tomu, jakou měrou přispělo porušení povinnosti k nedostatečné výši majetkové podstaty - doplnění pasiv.</w:t>
      </w:r>
    </w:p>
    <w:p>
      <w:pPr>
        <w:pStyle w:val="Compact"/>
        <w:numPr>
          <w:numId w:val="1104"/>
          <w:ilvl w:val="0"/>
        </w:numPr>
      </w:pPr>
      <w:r>
        <w:t xml:space="preserve">§ 66 odst. 2, 3 ZOK</w:t>
      </w:r>
    </w:p>
    <w:p>
      <w:pPr>
        <w:pStyle w:val="Compact"/>
        <w:numPr>
          <w:numId w:val="1115"/>
          <w:ilvl w:val="2"/>
        </w:numPr>
      </w:pPr>
      <w:r>
        <w:t xml:space="preserve">Insolvenční správce podá návrh podle odstavce 1 také tehdy, rozhodne-li o tom věřitelský výbor. Nejsou-li v majetkové podstatě peněžní prostředky potřebné ke krytí nákladů na podání návrhu a vedení řízení, může insolvenční správce podmínit podání návrhu nebo další pokračování v řízení tím, aby mu věřitelé poskytli na úhradu těchto nákladů přiměřenou zálohu. Skončí-li řízení úspěchem insolvenčního správce, mohou věřitelé, kteří zálohu poskytli, požadovat její náhradu jako pohledávku za majetkovou podstatou.</w:t>
      </w:r>
    </w:p>
    <w:p>
      <w:pPr>
        <w:pStyle w:val="Compact"/>
        <w:numPr>
          <w:numId w:val="1116"/>
          <w:ilvl w:val="2"/>
        </w:numPr>
      </w:pPr>
      <w:r>
        <w:t xml:space="preserve">Řízení podle odstavce 1 je incidenčním sporem podle insolvenčního zákona. Insolvenční soud oznámí bez zbytečného odkladu své rozhodnutí soudu, který je oprávněn rozhodnout o vyloučení člena statutárního orgánu obchodní korporace.</w:t>
      </w:r>
    </w:p>
    <w:p>
      <w:pPr>
        <w:pStyle w:val="Compact"/>
        <w:numPr>
          <w:numId w:val="1104"/>
          <w:ilvl w:val="0"/>
        </w:numPr>
      </w:pPr>
      <w:r>
        <w:t xml:space="preserve">§ 64</w:t>
      </w:r>
    </w:p>
    <w:p>
      <w:pPr>
        <w:pStyle w:val="Compact"/>
        <w:numPr>
          <w:numId w:val="1118"/>
          <w:ilvl w:val="2"/>
        </w:numPr>
      </w:pPr>
      <w:r>
        <w:t xml:space="preserve">Právní mocí rozhodnutí o vyloučení člena statutárního orgánu přestává být osoba, které se rozhodnutí týká, členem statutárního orgánu ve všech obchodních korporacích; zánik funkce oznámí soud, který o tom rozhodl, bez zbytečného odkladu soudu, který podle jiného právního předpisu vede obchodní rejstřík (dále jen „rejstříkový soud“).</w:t>
      </w:r>
    </w:p>
    <w:p>
      <w:pPr>
        <w:pStyle w:val="Compact"/>
        <w:numPr>
          <w:numId w:val="1119"/>
          <w:ilvl w:val="2"/>
        </w:numPr>
      </w:pPr>
      <w:r>
        <w:t xml:space="preserve">Soud může rozhodnout, že osoba, u níž jsou dány důvody pro vyloučení člena statutárního orgánu, může za podmínek stanovených v tomto rozhodnutí zůstat členem statutárního orgánu jiné obchodní korporace, pokud okolnosti případu dokládají, že dosavadní výkon její funkce v této obchodní korporaci neodůvodňuje vyloučení z výkonu funkce, a pokud by vyloučení mohlo vést k poškození oprávněných zájmů této obchodní korporace nebo jejích věřitelů. Rozhodnutí může být vydáno jen na návrh osoby, o jejímž vyloučení soud rozhoduje, nebo dotčené obchodní korporace.</w:t>
      </w:r>
    </w:p>
    <w:p>
      <w:pPr>
        <w:pStyle w:val="Compact"/>
        <w:numPr>
          <w:numId w:val="1104"/>
          <w:ilvl w:val="0"/>
        </w:numPr>
      </w:pPr>
      <w:r>
        <w:t xml:space="preserve">§ 65</w:t>
      </w:r>
    </w:p>
    <w:p>
      <w:pPr>
        <w:pStyle w:val="Compact"/>
        <w:numPr>
          <w:numId w:val="1120"/>
          <w:ilvl w:val="1"/>
        </w:numPr>
      </w:pPr>
      <w:r>
        <w:t xml:space="preserve">Osoba, která poruší zákaz uložený jí rozhodnutím o vyloučení člena statutárního orgánu, ručí za splnění všech povinností obchodní korporace, které vznikly v době, kdy přes zákaz fakticky vykonávala činnost člena jejího statutárního orgánu. Soud i bez návrhu rozhodne, že se této osobě opětovně zakazuje vykonávat funkci člena statutárního orgánu, a to až na dobu 10 let; ustanovení § 63 odst. 3 se použije obdobně.</w:t>
      </w:r>
    </w:p>
    <w:p>
      <w:pPr>
        <w:pStyle w:val="Heading2"/>
      </w:pPr>
      <w:bookmarkStart w:id="74" w:name="zvláštní-povinnosti-při-úpadku-obchodní-korporace"/>
      <w:bookmarkEnd w:id="74"/>
      <w:r>
        <w:t xml:space="preserve">Zvláštní povinnosti při úpadku obchodní korporace</w:t>
      </w:r>
    </w:p>
    <w:p>
      <w:pPr>
        <w:pStyle w:val="Compact"/>
        <w:numPr>
          <w:numId w:val="1121"/>
          <w:ilvl w:val="0"/>
        </w:numPr>
      </w:pPr>
      <w:r>
        <w:t xml:space="preserve">Viz předchozí bod § 66/1 ZOK.</w:t>
      </w:r>
    </w:p>
    <w:p>
      <w:pPr>
        <w:pStyle w:val="Heading2"/>
      </w:pPr>
      <w:bookmarkStart w:id="75" w:name="trestní-odpovědnost"/>
      <w:bookmarkEnd w:id="75"/>
      <w:r>
        <w:t xml:space="preserve">Trestní odpovědnost</w:t>
      </w:r>
    </w:p>
    <w:p>
      <w:pPr>
        <w:pStyle w:val="Compact"/>
        <w:numPr>
          <w:numId w:val="1122"/>
          <w:ilvl w:val="0"/>
        </w:numPr>
      </w:pPr>
      <w:r>
        <w:t xml:space="preserve">Je řešena v rámci Trestního zákoníku 40/2009 Sb..</w:t>
      </w:r>
    </w:p>
    <w:p>
      <w:pPr>
        <w:pStyle w:val="FirstParagraph"/>
      </w:pPr>
      <w:r>
        <w:t xml:space="preserve">Trestní delikty:</w:t>
      </w:r>
    </w:p>
    <w:p>
      <w:pPr>
        <w:pStyle w:val="Compact"/>
        <w:numPr>
          <w:numId w:val="1123"/>
          <w:ilvl w:val="0"/>
        </w:numPr>
      </w:pPr>
      <w:r>
        <w:t xml:space="preserve">poškození věřitele - tím, že bude machinovan se svým majetkem - například zatajení, zničení, zcizení atd. a způsobí škodu nikoli malou - odnětí svobody až na 2 léta, nebo zákaz činnosti,</w:t>
      </w:r>
    </w:p>
    <w:p>
      <w:pPr>
        <w:pStyle w:val="Compact"/>
        <w:numPr>
          <w:numId w:val="1123"/>
          <w:ilvl w:val="0"/>
        </w:numPr>
      </w:pPr>
      <w:r>
        <w:t xml:space="preserve">zvýhodnění věřitele - zvýhodní jednoho věřitele a tím poškodí jiného - odnětí svobody na 1 léto, nebo zákaz činnosti,</w:t>
      </w:r>
    </w:p>
    <w:p>
      <w:pPr>
        <w:pStyle w:val="Compact"/>
        <w:numPr>
          <w:numId w:val="1123"/>
          <w:ilvl w:val="0"/>
        </w:numPr>
      </w:pPr>
      <w:r>
        <w:t xml:space="preserve">způsobení úpadku - kdo činí tak, že si tím přivodí úpadek - odnětí svobody na 1 léto, nebo zákaz činnosti,</w:t>
      </w:r>
    </w:p>
    <w:p>
      <w:pPr>
        <w:pStyle w:val="Compact"/>
        <w:numPr>
          <w:numId w:val="1123"/>
          <w:ilvl w:val="0"/>
        </w:numPr>
      </w:pPr>
      <w:r>
        <w:t xml:space="preserve">porušení povinnosti v insolvenčním řízení - maření, nebo hrubé ztěžování výkonu funkce insolvenčního správce - odnětí svobody na 6 měsíců až 3 léta, nebo zákaz činnosti,</w:t>
      </w:r>
    </w:p>
    <w:p>
      <w:pPr>
        <w:pStyle w:val="Compact"/>
        <w:numPr>
          <w:numId w:val="1123"/>
          <w:ilvl w:val="0"/>
        </w:numPr>
      </w:pPr>
      <w:r>
        <w:t xml:space="preserve">pletichy v insolvenčním řízení - věřitel, úplatkářství v souvislosti s hlasováním věřitelů - odnětí svobody až na 1 rok, nebo zákaz činnosti,</w:t>
      </w:r>
    </w:p>
    <w:p>
      <w:pPr>
        <w:pStyle w:val="Compact"/>
        <w:numPr>
          <w:numId w:val="1123"/>
          <w:ilvl w:val="0"/>
        </w:numPr>
      </w:pPr>
      <w:r>
        <w:t xml:space="preserve">porušení povinnosti učinit pravdivé prohlášení o majetku - lhaní, vyhýbání, odmítnutí splnění povinnosti - odnětí svobody na šest měsíců až 3 léta, peněžitým trestem, nebo zákazem činnosti.</w:t>
      </w:r>
    </w:p>
    <w:p>
      <w:pPr>
        <w:pStyle w:val="Heading2"/>
      </w:pPr>
      <w:bookmarkStart w:id="76" w:name="compliance"/>
      <w:bookmarkEnd w:id="76"/>
      <w:r>
        <w:t xml:space="preserve">Compliance</w:t>
      </w:r>
    </w:p>
    <w:p>
      <w:pPr>
        <w:pStyle w:val="FirstParagraph"/>
      </w:pPr>
      <w:r>
        <w:t xml:space="preserve">Compliance je všeobecný název pro soulad s pravidly. Z hlediska podnikání podnikové sféry rozumíme slovem compliance zejména jednání společnosti, zaměstnanců a vedení v souladu s právními předpisy a vnitropodnikovými směrnicemi. Velký důraz je kladen na dodržování firemních etických kodexů. Pro tuto odnož compliance vznikl výraz korporátní compliance, jelikož pojednává o obchodních korporacích.</w:t>
      </w:r>
    </w:p>
    <w:p>
      <w:pPr>
        <w:pStyle w:val="BodyText"/>
      </w:pPr>
      <w:r>
        <w:t xml:space="preserve">Compliance není čistě právní tematikou, svůj původ má v oblasti korporátního řízení (Corporate Governance). Pro systém vnitropodnikových směrnic a organizačních opatření se ve světě uchytil název Compliance Management System (zkratka CMS). Pro moderní obchodní korporace by měla být compliance přirozenou součástí interní strategie a firemní kultury.</w:t>
      </w:r>
    </w:p>
    <w:p>
      <w:pPr>
        <w:pStyle w:val="Compact"/>
        <w:numPr>
          <w:numId w:val="1124"/>
          <w:ilvl w:val="0"/>
        </w:numPr>
      </w:pPr>
      <w:r>
        <w:t xml:space="preserve">definice,</w:t>
      </w:r>
    </w:p>
    <w:p>
      <w:pPr>
        <w:pStyle w:val="Compact"/>
        <w:numPr>
          <w:numId w:val="1124"/>
          <w:ilvl w:val="0"/>
        </w:numPr>
      </w:pPr>
      <w:r>
        <w:t xml:space="preserve">cíle,</w:t>
      </w:r>
    </w:p>
    <w:p>
      <w:pPr>
        <w:pStyle w:val="Compact"/>
        <w:numPr>
          <w:numId w:val="1124"/>
          <w:ilvl w:val="0"/>
        </w:numPr>
      </w:pPr>
      <w:r>
        <w:t xml:space="preserve">compliance programy.</w:t>
      </w:r>
    </w:p>
    <w:p>
      <w:pPr>
        <w:pStyle w:val="FirstParagraph"/>
      </w:pPr>
      <w:r>
        <w:t xml:space="preserve">Je současně očekávatelné, že je-li korporace hospodářsky rozsáhlejší strukturou, měla by mít nastaven funkční model compliance, který bude včas indikovat hospodářskou nedostatečnost, zejména tehdy, není-li při běžné správě možné, aby statutární orgán tuto informaci zachytil nebo vyhodnotil sám. I tento (obchodními korporacemi často opomíjený aspekt) lze podřadit pod povinnost péče řádného hospodáře.</w:t>
      </w:r>
    </w:p>
    <w:p>
      <w:pPr>
        <w:pStyle w:val="BodyText"/>
      </w:pPr>
      <w:r>
        <w:t xml:space="preserve">Součástí péče řádného hospodáře je nejen mít schopnost možný budoucí úpadek zachytit a vyhodnotit (např. pomocí výše zmiňovaného compliance modelu), ale také mu předcházet, resp. ho odvracet, a to již ve fázi, kdy ještě ani nehrozí, ale korporace vykazuje nedostatečnou kondici (spojeno s aplikací ust. § 40 odst. 1 ZOK, které zakazuje výplatu zisku, pokud by si tím korporace přivodila úpadek). V případě, že nelze úpadku zabránit, musí nastoupit buď včasná likvidace, nebo podání insolvenčního návrhu. Odvrácení hrozícího úpadku je totiž v zásadě spojeno s uspokojením pohledávek věřitelů.</w:t>
      </w:r>
    </w:p>
    <w:p>
      <w:pPr>
        <w:pStyle w:val="Heading1"/>
      </w:pPr>
      <w:bookmarkStart w:id="77" w:name="otázka-4"/>
      <w:bookmarkEnd w:id="77"/>
      <w:r>
        <w:t xml:space="preserve">Otázka 4</w:t>
      </w:r>
    </w:p>
    <w:p>
      <w:pPr>
        <w:pStyle w:val="BlockText"/>
      </w:pPr>
      <w:r>
        <w:t xml:space="preserve">Osoba s disposičním oprávněním, součinnost orgánů dlužníka a insolvenčního správce, samostatná působnost dlužníka, vazba na věřitelské orgány a jejich rozhodování.</w:t>
      </w:r>
    </w:p>
    <w:p>
      <w:pPr>
        <w:pStyle w:val="FirstParagraph"/>
      </w:pPr>
      <w:r>
        <w:t xml:space="preserve">Otázky (Kontrolní otázky):</w:t>
      </w:r>
    </w:p>
    <w:p>
      <w:pPr>
        <w:pStyle w:val="BodyText"/>
      </w:pPr>
      <w:r>
        <w:t xml:space="preserve">Student bude umět vymezit osobu, resp. okruh osob s dispozičním oprávněním. Student se seznámí s rozsahem součinnosti orgánů dlužníka a insolvenčního správce. Student bude znát mechanismus rozhodování věřitelských orgánů.</w:t>
      </w:r>
    </w:p>
    <w:p>
      <w:pPr>
        <w:pStyle w:val="Compact"/>
        <w:numPr>
          <w:numId w:val="1125"/>
          <w:ilvl w:val="0"/>
        </w:numPr>
      </w:pPr>
      <w:r>
        <w:t xml:space="preserve">Jaké znáte věřitelské orgány? - Schůze, Výbor, Zástupce -</w:t>
      </w:r>
      <w:r>
        <w:t xml:space="preserve"> </w:t>
      </w:r>
      <w:r>
        <w:rPr>
          <w:b/>
        </w:rPr>
        <w:t xml:space="preserve">Zodpovězeno</w:t>
      </w:r>
    </w:p>
    <w:p>
      <w:pPr>
        <w:pStyle w:val="Compact"/>
        <w:numPr>
          <w:numId w:val="1125"/>
          <w:ilvl w:val="0"/>
        </w:numPr>
      </w:pPr>
      <w:r>
        <w:t xml:space="preserve">Kdo svolává schůzi věřitelů? - Insolvenční soud -</w:t>
      </w:r>
      <w:r>
        <w:t xml:space="preserve"> </w:t>
      </w:r>
      <w:r>
        <w:rPr>
          <w:b/>
        </w:rPr>
        <w:t xml:space="preserve">Zodpovězeno.</w:t>
      </w:r>
    </w:p>
    <w:p>
      <w:pPr>
        <w:pStyle w:val="Compact"/>
        <w:numPr>
          <w:numId w:val="1125"/>
          <w:ilvl w:val="0"/>
        </w:numPr>
      </w:pPr>
      <w:r>
        <w:t xml:space="preserve">Je možné hlasovat na schůzi věřitelů písemně? - Ano -</w:t>
      </w:r>
      <w:r>
        <w:t xml:space="preserve"> </w:t>
      </w:r>
      <w:r>
        <w:rPr>
          <w:b/>
        </w:rPr>
        <w:t xml:space="preserve">Zodpovězeno.</w:t>
      </w:r>
    </w:p>
    <w:p>
      <w:pPr>
        <w:pStyle w:val="Compact"/>
        <w:numPr>
          <w:numId w:val="1125"/>
          <w:ilvl w:val="0"/>
        </w:numPr>
      </w:pPr>
      <w:r>
        <w:t xml:space="preserve">V jakých případech může hlasovat na schůzi věřitelů věřitel, který s dlužníkem tvoří koncern? - obecně žádný věřitel nesmí hlasovat o žádných věcech, které se ho týkají, pokud zákon nestanoví jinak (§ 53 IZ.) -</w:t>
      </w:r>
      <w:r>
        <w:t xml:space="preserve"> </w:t>
      </w:r>
      <w:r>
        <w:rPr>
          <w:b/>
        </w:rPr>
        <w:t xml:space="preserve">Zodpovězeno.</w:t>
      </w:r>
    </w:p>
    <w:p>
      <w:pPr>
        <w:pStyle w:val="Compact"/>
        <w:numPr>
          <w:numId w:val="1125"/>
          <w:ilvl w:val="0"/>
        </w:numPr>
      </w:pPr>
      <w:r>
        <w:t xml:space="preserve">Jakým způsobem se zveřejnuje oznámení o svolání schůze věřitelů? - Vyhláškou -</w:t>
      </w:r>
      <w:r>
        <w:t xml:space="preserve"> </w:t>
      </w:r>
      <w:r>
        <w:rPr>
          <w:b/>
        </w:rPr>
        <w:t xml:space="preserve">Zodpovězeno.</w:t>
      </w:r>
    </w:p>
    <w:p>
      <w:pPr>
        <w:pStyle w:val="Heading2"/>
      </w:pPr>
      <w:bookmarkStart w:id="78" w:name="osoba-s-dispozičním-oprávněním"/>
      <w:bookmarkEnd w:id="78"/>
      <w:r>
        <w:t xml:space="preserve">Osoba s dispozičním oprávněním</w:t>
      </w:r>
    </w:p>
    <w:p>
      <w:pPr>
        <w:pStyle w:val="FirstParagraph"/>
      </w:pPr>
      <w:r>
        <w:t xml:space="preserve">Osob s dispozičním oprávněním může být více, v jednotlivých fázích insolvenčního řízení. Důležitá jsou rovněž předběžná opatření, která mohou dispoziční oprávnění dodatečně omezit.</w:t>
      </w:r>
    </w:p>
    <w:p>
      <w:pPr>
        <w:pStyle w:val="Compact"/>
        <w:numPr>
          <w:numId w:val="1126"/>
          <w:ilvl w:val="0"/>
        </w:numPr>
      </w:pPr>
      <w:r>
        <w:t xml:space="preserve">Věřitelský výbor zejména uděluje insolvenčnímu správci nebo dlužníku s dispozičními oprávněními souhlas k uzavírání smluv o úvěrovém financování.</w:t>
      </w:r>
    </w:p>
    <w:p>
      <w:pPr>
        <w:pStyle w:val="FirstParagraph"/>
      </w:pPr>
      <w:r>
        <w:t xml:space="preserve">Osobou s dispozičními oprávněními je osoba, které v průběhu insolvenčního řízení přísluší právo nakládat s majetkovou podstatou ohledně všech oprávnění, ze kterých se skládá.</w:t>
      </w:r>
    </w:p>
    <w:p>
      <w:pPr>
        <w:pStyle w:val="BodyText"/>
      </w:pPr>
      <w:r>
        <w:t xml:space="preserve">§ 229</w:t>
      </w:r>
    </w:p>
    <w:p>
      <w:pPr>
        <w:pStyle w:val="Compact"/>
        <w:numPr>
          <w:numId w:val="1128"/>
          <w:ilvl w:val="1"/>
        </w:numPr>
      </w:pPr>
      <w:r>
        <w:t xml:space="preserve">Zákon stanoví v závislosti na průběhu řízení, způsobech řešení úpadku a vlastnictví majetku náležejícího do majetkové podstaty, kdo je ve vztahu k majetkové podstatě osobou s dispozičními oprávněními, případně komu přísluší právo nakládat s majetkovou podstatou ohledně části těchto oprávnění nebo pouze ohledně některých z nich.</w:t>
      </w:r>
    </w:p>
    <w:p>
      <w:pPr>
        <w:pStyle w:val="Compact"/>
        <w:numPr>
          <w:numId w:val="1129"/>
          <w:ilvl w:val="1"/>
        </w:numPr>
      </w:pPr>
      <w:r>
        <w:t xml:space="preserve">Je-li majetek náležející do majetkové podstaty ve vlastnictví jiné osoby než dlužníka, lze právo této osoby s takovým majetkem nakládat omezit jen zákonem nebo rozhodnutím insolvenčního soudu.</w:t>
      </w:r>
    </w:p>
    <w:p>
      <w:pPr>
        <w:pStyle w:val="Compact"/>
        <w:numPr>
          <w:numId w:val="1130"/>
          <w:ilvl w:val="1"/>
        </w:numPr>
      </w:pPr>
      <w:r>
        <w:t xml:space="preserve">Nestanoví-li tento zákon jinak, je ve vztahu k majetkové podstatě osobou s dispozičními oprávněními</w:t>
      </w:r>
    </w:p>
    <w:p>
      <w:pPr>
        <w:pStyle w:val="Compact"/>
        <w:numPr>
          <w:numId w:val="1131"/>
          <w:ilvl w:val="1"/>
        </w:numPr>
      </w:pPr>
      <w:r>
        <w:t xml:space="preserve">dlužník v době do rozhodnutí o úpadku,</w:t>
      </w:r>
    </w:p>
    <w:p>
      <w:pPr>
        <w:pStyle w:val="Compact"/>
        <w:numPr>
          <w:numId w:val="1132"/>
          <w:ilvl w:val="1"/>
        </w:numPr>
      </w:pPr>
      <w:r>
        <w:t xml:space="preserve">dlužník v době od rozhodnutí o úpadku do rozhodnutí o způsobu řešení úpadku,</w:t>
      </w:r>
    </w:p>
    <w:p>
      <w:pPr>
        <w:pStyle w:val="Compact"/>
        <w:numPr>
          <w:numId w:val="1133"/>
          <w:ilvl w:val="1"/>
        </w:numPr>
      </w:pPr>
      <w:r>
        <w:t xml:space="preserve">insolvenční správce v době od prohlášení konkursu,</w:t>
      </w:r>
    </w:p>
    <w:p>
      <w:pPr>
        <w:pStyle w:val="Compact"/>
        <w:numPr>
          <w:numId w:val="1134"/>
          <w:ilvl w:val="1"/>
        </w:numPr>
      </w:pPr>
      <w:r>
        <w:t xml:space="preserve">dlužník v době od povolení reorganizace a</w:t>
      </w:r>
    </w:p>
    <w:p>
      <w:pPr>
        <w:pStyle w:val="Compact"/>
        <w:numPr>
          <w:numId w:val="1135"/>
          <w:ilvl w:val="1"/>
        </w:numPr>
      </w:pPr>
      <w:r>
        <w:t xml:space="preserve">dlužník v době od povolení oddlužení.</w:t>
      </w:r>
    </w:p>
    <w:p>
      <w:pPr>
        <w:pStyle w:val="Compact"/>
        <w:numPr>
          <w:numId w:val="1136"/>
          <w:ilvl w:val="1"/>
        </w:numPr>
      </w:pPr>
      <w:r>
        <w:t xml:space="preserve">Ustanovením odstavce 3 nejsou dotčena omezení uložená dlužníku s dispozičními oprávněními insolvenčním zákonem nebo rozhodnutím insolvenčního soudu v průběhu insolvenčního řízení (Předběžná opatření). Má-li dispoziční oprávnění jiná osoba než dlužník, nejsou tím dotčeny povinnosti uložené dlužníku tímto zákonem.</w:t>
      </w:r>
    </w:p>
    <w:p>
      <w:pPr>
        <w:pStyle w:val="Compact"/>
        <w:numPr>
          <w:numId w:val="1137"/>
          <w:ilvl w:val="1"/>
        </w:numPr>
      </w:pPr>
      <w:r>
        <w:t xml:space="preserve">Od rozhodnutí o úpadku a je-li dlužník insolvenčním navrhovatelem, od okamžiku, kdy se jím stal, platí o povinnostech dlužníka s dispozičními oprávněními ustanovení § 36 a 37 přiměřeně.</w:t>
      </w:r>
    </w:p>
    <w:p>
      <w:pPr>
        <w:pStyle w:val="FirstParagraph"/>
      </w:pPr>
      <w:r>
        <w:t xml:space="preserve">§ 111</w:t>
      </w:r>
    </w:p>
    <w:p>
      <w:pPr>
        <w:pStyle w:val="Compact"/>
        <w:numPr>
          <w:numId w:val="1139"/>
          <w:ilvl w:val="1"/>
        </w:numPr>
      </w:pPr>
      <w:r>
        <w:t xml:space="preserve">Nerozhodne-li insolvenční soud jinak, je dlužník povinen zdržet se od okamžiku, kdy nastaly účinky spojené se zahájením insolvenčního řízení, nakládání s majetkovou podstatou a s majetkem, který do ní může náležet, pokud by mělo jít o podstatné změny ve skladbě, využití nebo určení tohoto majetku anebo o jeho nikoli zanedbatelné zmenšení. Peněžité závazky vzniklé před zahájením insolvenčního řízení je dlužník oprávněn plnit jen v rozsahu a za podmínek stanovených tímto zákonem.</w:t>
      </w:r>
    </w:p>
    <w:p>
      <w:pPr>
        <w:pStyle w:val="FirstParagraph"/>
      </w:pPr>
      <w:r>
        <w:rPr>
          <w:b/>
        </w:rPr>
        <w:t xml:space="preserve">Nakládání s majetkovou podstatou po dobu trvání moratoria</w:t>
      </w:r>
      <w:r>
        <w:t xml:space="preserve">:</w:t>
      </w:r>
    </w:p>
    <w:p>
      <w:pPr>
        <w:pStyle w:val="Compact"/>
        <w:numPr>
          <w:numId w:val="1140"/>
          <w:ilvl w:val="0"/>
        </w:numPr>
      </w:pPr>
      <w:r>
        <w:t xml:space="preserve">§ 122 IZ</w:t>
      </w:r>
    </w:p>
    <w:p>
      <w:pPr>
        <w:pStyle w:val="Compact"/>
        <w:numPr>
          <w:numId w:val="1140"/>
          <w:ilvl w:val="0"/>
        </w:numPr>
      </w:pPr>
      <w:r>
        <w:t xml:space="preserve">Nakládání s majetkovou podstatou po dobu trvání moratoria</w:t>
      </w:r>
    </w:p>
    <w:p>
      <w:pPr>
        <w:pStyle w:val="Compact"/>
        <w:numPr>
          <w:numId w:val="1142"/>
          <w:ilvl w:val="2"/>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FirstParagraph"/>
      </w:pPr>
      <w:r>
        <w:rPr>
          <w:b/>
        </w:rPr>
        <w:t xml:space="preserve">Reorganizace</w:t>
      </w:r>
      <w:r>
        <w:t xml:space="preserve">:</w:t>
      </w:r>
    </w:p>
    <w:p>
      <w:pPr>
        <w:pStyle w:val="BodyText"/>
      </w:pPr>
      <w:r>
        <w:t xml:space="preserve">§ 353/1 IZ</w:t>
      </w:r>
    </w:p>
    <w:p>
      <w:pPr>
        <w:pStyle w:val="BodyText"/>
      </w:pPr>
      <w:r>
        <w:t xml:space="preserve">Od účinnosti reorganizačního plánu je oprávněn nakládat s majetkovou podstatou dlužník. …</w:t>
      </w:r>
    </w:p>
    <w:p>
      <w:pPr>
        <w:pStyle w:val="BodyText"/>
      </w:pPr>
      <w:r>
        <w:t xml:space="preserve">§ 112</w:t>
      </w:r>
    </w:p>
    <w:p>
      <w:pPr>
        <w:pStyle w:val="Compact"/>
        <w:numPr>
          <w:numId w:val="1144"/>
          <w:ilvl w:val="1"/>
        </w:numPr>
      </w:pPr>
      <w:r>
        <w:t xml:space="preserve">Insolvenční soud ustanoví předběžným opatřením předběžného správce i bez návrhu, jestliže nařídil předběžné opatření, kterým omezil dlužníka v nakládání s majetkovou podstatou v širším rozsahu, než je uvedeno v § 111.</w:t>
      </w:r>
    </w:p>
    <w:p>
      <w:pPr>
        <w:pStyle w:val="Heading2"/>
      </w:pPr>
      <w:bookmarkStart w:id="79" w:name="věřitelské-orgány-viz-otázka-2"/>
      <w:bookmarkEnd w:id="79"/>
      <w:r>
        <w:t xml:space="preserve">Věřitelské orgány (Viz otázka 2):</w:t>
      </w:r>
    </w:p>
    <w:p>
      <w:pPr>
        <w:pStyle w:val="Compact"/>
        <w:numPr>
          <w:numId w:val="1145"/>
          <w:ilvl w:val="0"/>
        </w:numPr>
      </w:pPr>
      <w:r>
        <w:t xml:space="preserve">Věřitelský výbor</w:t>
      </w:r>
    </w:p>
    <w:p>
      <w:pPr>
        <w:pStyle w:val="Compact"/>
        <w:numPr>
          <w:numId w:val="1145"/>
          <w:ilvl w:val="0"/>
        </w:numPr>
      </w:pPr>
      <w:r>
        <w:t xml:space="preserve">Věřitelský výbor je jedním z věřitelských orgánů, a to „výkonný“ orgán (nejvyšším orgánem je schůze věřitelů).</w:t>
      </w:r>
    </w:p>
    <w:p>
      <w:pPr>
        <w:pStyle w:val="Compact"/>
        <w:numPr>
          <w:numId w:val="1145"/>
          <w:ilvl w:val="0"/>
        </w:numPr>
      </w:pPr>
      <w:r>
        <w:t xml:space="preserve">Věřitelský výbor je volen schůzí věřitelů</w:t>
      </w:r>
    </w:p>
    <w:p>
      <w:pPr>
        <w:pStyle w:val="Compact"/>
        <w:numPr>
          <w:numId w:val="1145"/>
          <w:ilvl w:val="0"/>
        </w:numPr>
      </w:pPr>
      <w:r>
        <w:t xml:space="preserve">Schůze věřitelů</w:t>
      </w:r>
    </w:p>
    <w:p>
      <w:pPr>
        <w:pStyle w:val="Compact"/>
        <w:numPr>
          <w:numId w:val="1145"/>
          <w:ilvl w:val="0"/>
        </w:numPr>
      </w:pPr>
      <w:r>
        <w:t xml:space="preserve">Zástupce věřitelů</w:t>
      </w:r>
    </w:p>
    <w:p>
      <w:pPr>
        <w:pStyle w:val="Heading2"/>
      </w:pPr>
      <w:bookmarkStart w:id="80" w:name="součinnost"/>
      <w:bookmarkEnd w:id="80"/>
      <w:r>
        <w:t xml:space="preserve">Součinnost</w:t>
      </w:r>
    </w:p>
    <w:p>
      <w:pPr>
        <w:pStyle w:val="FirstParagraph"/>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t xml:space="preserve">§ 58 IZ</w:t>
      </w:r>
    </w:p>
    <w:p>
      <w:pPr>
        <w:pStyle w:val="Compact"/>
        <w:numPr>
          <w:numId w:val="1146"/>
          <w:ilvl w:val="0"/>
        </w:numPr>
      </w:pPr>
      <w:r>
        <w:t xml:space="preserve">Věřitelský výbor chrání společný zájem věřitelů a v součinnosti s insolvenčním správcem přispívá k naplnění účelu insolvenčního řízení.</w:t>
      </w:r>
    </w:p>
    <w:p>
      <w:pPr>
        <w:pStyle w:val="Heading2"/>
      </w:pPr>
      <w:bookmarkStart w:id="81" w:name="insolvenční-správce"/>
      <w:bookmarkEnd w:id="81"/>
      <w:r>
        <w:t xml:space="preserve">Insolvenční správce</w:t>
      </w:r>
    </w:p>
    <w:p>
      <w:pPr>
        <w:pStyle w:val="FirstParagraph"/>
      </w:pPr>
      <w:r>
        <w:t xml:space="preserve">§ 21/1 IZ</w:t>
      </w:r>
    </w:p>
    <w:p>
      <w:pPr>
        <w:pStyle w:val="BodyText"/>
      </w:pPr>
      <w:r>
        <w:t xml:space="preserve">Insolvenční správce se ustanovuje ze seznamu insolvenčních správců, který vede Ministerstvo spravedlnosti…</w:t>
      </w:r>
    </w:p>
    <w:p>
      <w:pPr>
        <w:pStyle w:val="BodyText"/>
      </w:pPr>
      <w:r>
        <w:t xml:space="preserve">§ 27/1 IZ</w:t>
      </w:r>
    </w:p>
    <w:p>
      <w:pPr>
        <w:pStyle w:val="BodyText"/>
      </w:pPr>
      <w:r>
        <w:t xml:space="preserve">Insolvenční soud ustanoví insolvenčního správce nejpozději v rozhodnutí o úpadku. Za podmínek stanovených IZ může insolvenční soud ustanovit před rozhodnutím o úpadku</w:t>
      </w:r>
      <w:r>
        <w:t xml:space="preserve"> </w:t>
      </w:r>
      <w:r>
        <w:rPr>
          <w:b/>
        </w:rPr>
        <w:t xml:space="preserve">předběžného insolvenčního správce</w:t>
      </w:r>
      <w:r>
        <w:t xml:space="preserve"> </w:t>
      </w:r>
      <w:r>
        <w:t xml:space="preserve">…</w:t>
      </w:r>
    </w:p>
    <w:p>
      <w:pPr>
        <w:pStyle w:val="BodyText"/>
      </w:pPr>
      <w:r>
        <w:t xml:space="preserve">§ 33 IZ</w:t>
      </w:r>
    </w:p>
    <w:p>
      <w:pPr>
        <w:pStyle w:val="BodyText"/>
      </w:pPr>
      <w:r>
        <w:t xml:space="preserve">Je-li to účelné, může insolvenční soud ustanovit insolvenčnímu správci</w:t>
      </w:r>
      <w:r>
        <w:t xml:space="preserve"> </w:t>
      </w:r>
      <w:r>
        <w:rPr>
          <w:b/>
        </w:rPr>
        <w:t xml:space="preserve">zástupce</w:t>
      </w:r>
      <w:r>
        <w:t xml:space="preserve"> </w:t>
      </w:r>
      <w:r>
        <w:t xml:space="preserve">pro případ, že by ze závažných důvodů nemohl přechodně svou funkci vykonávat. …</w:t>
      </w:r>
    </w:p>
    <w:p>
      <w:pPr>
        <w:pStyle w:val="BodyText"/>
      </w:pPr>
      <w:r>
        <w:t xml:space="preserve">§ 34/1 IZ</w:t>
      </w:r>
    </w:p>
    <w:p>
      <w:pPr>
        <w:pStyle w:val="BodyText"/>
      </w:pPr>
      <w:r>
        <w:t xml:space="preserve">Je-li insolvenční správce vyloučen z některých úkonů pro svůj poměr jen k některému z dlužníkových věřitelů nebo jen k některému ze zástupců dlužníkových věřitelů a není-li se zřetelem k charakteru pohledávky dlužníkova věřitele a jeho postavení v insolvenčním řízení důvod pochybovat, že tento vztah ovlivní celkový způsob výkonu práv a povinností insolvenčního správce, může insolvenční soud ustanovit pro tyto úkony</w:t>
      </w:r>
      <w:r>
        <w:t xml:space="preserve"> </w:t>
      </w:r>
      <w:r>
        <w:rPr>
          <w:b/>
        </w:rPr>
        <w:t xml:space="preserve">odděleného insolvenčního správce</w:t>
      </w:r>
      <w:r>
        <w:t xml:space="preserve">.</w:t>
      </w:r>
    </w:p>
    <w:p>
      <w:pPr>
        <w:pStyle w:val="BodyText"/>
      </w:pPr>
      <w:r>
        <w:t xml:space="preserve">§ 35/1 IZ</w:t>
      </w:r>
    </w:p>
    <w:p>
      <w:pPr>
        <w:pStyle w:val="BodyText"/>
      </w:pPr>
      <w:r>
        <w:t xml:space="preserve">V případech, kdy je nutné v rámci insolvenčního řízení řešit zvláštní problematiku vyžadující odborné specializace, může insolvenční soud ustanovit i</w:t>
      </w:r>
      <w:r>
        <w:t xml:space="preserve"> </w:t>
      </w:r>
      <w:r>
        <w:rPr>
          <w:b/>
        </w:rPr>
        <w:t xml:space="preserve">zvláštního insolvenčního správce</w:t>
      </w:r>
      <w:r>
        <w:t xml:space="preserve"> </w:t>
      </w:r>
      <w:r>
        <w:t xml:space="preserve">a upravit jeho vztah k insolvenčnímu správci. …</w:t>
      </w:r>
    </w:p>
    <w:p>
      <w:pPr>
        <w:pStyle w:val="Compact"/>
        <w:numPr>
          <w:numId w:val="1147"/>
          <w:ilvl w:val="0"/>
        </w:numPr>
      </w:pPr>
      <w:r>
        <w:t xml:space="preserve">Insolvenční správce – právní úprava postavení insolvenčního správce v zákoně č. 312/2006 Sb. o insolvenčních správcích.</w:t>
      </w:r>
    </w:p>
    <w:p>
      <w:pPr>
        <w:pStyle w:val="FirstParagraph"/>
      </w:pPr>
      <w:r>
        <w:t xml:space="preserve">Insolvenčním správcem je:</w:t>
      </w:r>
    </w:p>
    <w:p>
      <w:pPr>
        <w:pStyle w:val="Compact"/>
        <w:numPr>
          <w:numId w:val="1149"/>
          <w:ilvl w:val="1"/>
        </w:numPr>
      </w:pPr>
      <w:r>
        <w:t xml:space="preserve">fyzická osoba, která je oprávněna vykonávat činnost insolvenčního správce.</w:t>
      </w:r>
    </w:p>
    <w:p>
      <w:pPr>
        <w:pStyle w:val="Compact"/>
        <w:numPr>
          <w:numId w:val="1150"/>
          <w:ilvl w:val="1"/>
        </w:numPr>
      </w:pPr>
      <w:r>
        <w:t xml:space="preserve">veřejná obchodní společnost nebo zahraniční obchodní společnost nebo zahraniční sdružení, které poskytuje stejné záruky ručení společníků jako veřejná obchodní společnost, a je založená podle práva členského státu Evropské unie, členských států Dohody o evropském hospodářském prostoru a která je oprávněna vykonávat činnost insolvenčního správce.</w:t>
      </w:r>
    </w:p>
    <w:p>
      <w:pPr>
        <w:pStyle w:val="FirstParagraph"/>
      </w:pPr>
      <w:r>
        <w:t xml:space="preserve">§ 36 IZ</w:t>
      </w:r>
    </w:p>
    <w:p>
      <w:pPr>
        <w:pStyle w:val="Compact"/>
        <w:numPr>
          <w:numId w:val="1152"/>
          <w:ilvl w:val="1"/>
        </w:numPr>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FirstParagraph"/>
      </w:pPr>
      <w:r>
        <w:t xml:space="preserve">§ 37 IZ</w:t>
      </w:r>
    </w:p>
    <w:p>
      <w:pPr>
        <w:pStyle w:val="Compact"/>
        <w:numPr>
          <w:numId w:val="1154"/>
          <w:ilvl w:val="1"/>
        </w:numPr>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 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FirstParagraph"/>
      </w:pPr>
      <w:r>
        <w:t xml:space="preserve">§ 31 IZ</w:t>
      </w:r>
    </w:p>
    <w:p>
      <w:pPr>
        <w:pStyle w:val="Compact"/>
        <w:numPr>
          <w:numId w:val="1156"/>
          <w:ilvl w:val="1"/>
        </w:numPr>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FirstParagraph"/>
      </w:pPr>
      <w:r>
        <w:t xml:space="preserve">§ 32</w:t>
      </w:r>
    </w:p>
    <w:p>
      <w:pPr>
        <w:pStyle w:val="Compact"/>
        <w:numPr>
          <w:numId w:val="1158"/>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Heading3"/>
      </w:pPr>
      <w:bookmarkStart w:id="82" w:name="povolení-k-výkonu-funkce-insolvenčního-správce-není-důležité-pro-tuto-zkoušku"/>
      <w:bookmarkEnd w:id="82"/>
      <w:r>
        <w:t xml:space="preserve">Povolení k výkonu funkce insolvenčního správce (není důležité pro tuto zkoušku):</w:t>
      </w:r>
    </w:p>
    <w:p>
      <w:pPr>
        <w:pStyle w:val="FirstParagraph"/>
      </w:pPr>
      <w:r>
        <w:t xml:space="preserve">Na návrh vydá Ministerstvo spravedlnosti povolení fyzické osobě, která splňuje podmínky podle zvláštního zákona (Zákon o insolvenčních správcích).</w:t>
      </w:r>
    </w:p>
    <w:p>
      <w:pPr>
        <w:pStyle w:val="BodyText"/>
      </w:pPr>
      <w:r>
        <w:t xml:space="preserve">Je veden v insolvenčním rejstříku.</w:t>
      </w:r>
    </w:p>
    <w:p>
      <w:pPr>
        <w:pStyle w:val="Heading3"/>
      </w:pPr>
      <w:bookmarkStart w:id="83" w:name="pozastavení-práva-vykonávat-insolvenčního-správce"/>
      <w:bookmarkEnd w:id="83"/>
      <w:r>
        <w:t xml:space="preserve">Pozastavení práva vykonávat insolvenčního správce</w:t>
      </w:r>
    </w:p>
    <w:p>
      <w:pPr>
        <w:pStyle w:val="FirstParagraph"/>
      </w:pPr>
      <w:r>
        <w:t xml:space="preserve">Právo vykonávat činnost insolvenčního správce se insolvenčnímu správci pozastavuje z důvodů vymezené ve zvláštním předpisu (Zákon o insolvenčních správcích).</w:t>
      </w:r>
    </w:p>
    <w:p>
      <w:pPr>
        <w:pStyle w:val="Heading3"/>
      </w:pPr>
      <w:bookmarkStart w:id="84" w:name="zánik-práva-vykonávat-činnost-insolvenčního-správce"/>
      <w:bookmarkEnd w:id="84"/>
      <w:r>
        <w:t xml:space="preserve">Zánik práva vykonávat činnost insolvenčního správce</w:t>
      </w:r>
    </w:p>
    <w:p>
      <w:pPr>
        <w:pStyle w:val="FirstParagraph"/>
      </w:pPr>
      <w:r>
        <w:t xml:space="preserve">Právo vykonávat činnost insolvenčního správce insolvenčnímu správci zaniká z důvodů vymezených ve zvláštním předpisu (Zákon o insolvenčních správcích).</w:t>
      </w:r>
    </w:p>
    <w:p>
      <w:pPr>
        <w:pStyle w:val="Heading3"/>
      </w:pPr>
      <w:bookmarkStart w:id="85" w:name="dohled-nad-insolvenčními-správci"/>
      <w:bookmarkEnd w:id="85"/>
      <w:r>
        <w:t xml:space="preserve">Dohled nad insolvenčními správci</w:t>
      </w:r>
    </w:p>
    <w:p>
      <w:pPr>
        <w:pStyle w:val="FirstParagraph"/>
      </w:pPr>
      <w:r>
        <w:t xml:space="preserve">Ministerstvo spravedlnosti vykonává dohled nad insolvenčními správci a hostujícími insolvenčními (insolvenční správce z jiného státu, který má právo vykonávat činnost insolvenčního správce v České republice) správci.</w:t>
      </w:r>
    </w:p>
    <w:p>
      <w:pPr>
        <w:pStyle w:val="BodyText"/>
      </w:pPr>
      <w:r>
        <w:t xml:space="preserve">Přestupky právnických a podnikajících fyzických osob</w:t>
      </w:r>
    </w:p>
    <w:p>
      <w:pPr>
        <w:pStyle w:val="Compact"/>
        <w:numPr>
          <w:numId w:val="1160"/>
          <w:ilvl w:val="1"/>
        </w:numPr>
      </w:pPr>
      <w:r>
        <w:t xml:space="preserve">Přestupky podle ZIS projednává ministerstvo.</w:t>
      </w:r>
    </w:p>
    <w:p>
      <w:pPr>
        <w:pStyle w:val="Compact"/>
        <w:numPr>
          <w:numId w:val="1161"/>
          <w:ilvl w:val="1"/>
        </w:numPr>
      </w:pPr>
      <w:r>
        <w:t xml:space="preserve">Pokuty vybírá a vymáhá ministerstvo spravedlnosti.</w:t>
      </w:r>
    </w:p>
    <w:p>
      <w:pPr>
        <w:pStyle w:val="Heading2"/>
      </w:pPr>
      <w:bookmarkStart w:id="86" w:name="samostatná-působnost-dlužníka"/>
      <w:bookmarkEnd w:id="86"/>
      <w:r>
        <w:t xml:space="preserve">Samostatná působnost dlužníka</w:t>
      </w:r>
    </w:p>
    <w:p>
      <w:pPr>
        <w:pStyle w:val="FirstParagraph"/>
      </w:pPr>
      <w:r>
        <w:t xml:space="preserve">Samostatná působnost dlužníka - nakládání s majetkovou podstatou, dispoziční úkony a úkony v řízení, procesní úkony.</w:t>
      </w:r>
    </w:p>
    <w:p>
      <w:pPr>
        <w:pStyle w:val="Heading2"/>
      </w:pPr>
      <w:bookmarkStart w:id="87" w:name="další-související-ustanovení"/>
      <w:bookmarkEnd w:id="87"/>
      <w:r>
        <w:t xml:space="preserve">Další související ustanovení</w:t>
      </w:r>
    </w:p>
    <w:p>
      <w:pPr>
        <w:pStyle w:val="Compact"/>
        <w:numPr>
          <w:numId w:val="1163"/>
          <w:ilvl w:val="1"/>
        </w:numPr>
      </w:pPr>
      <w:r>
        <w:t xml:space="preserve">zák. č. 182/2006 Sb., o úpadku a způsobech jeho řešení (insolvenční zákon)</w:t>
      </w:r>
    </w:p>
    <w:p>
      <w:pPr>
        <w:pStyle w:val="Compact"/>
        <w:numPr>
          <w:numId w:val="1162"/>
          <w:ilvl w:val="0"/>
        </w:numPr>
      </w:pPr>
      <w:r>
        <w:t xml:space="preserve">Věřitelské orgány</w:t>
      </w:r>
    </w:p>
    <w:p>
      <w:pPr>
        <w:pStyle w:val="Compact"/>
        <w:numPr>
          <w:numId w:val="1162"/>
          <w:ilvl w:val="0"/>
        </w:numPr>
      </w:pPr>
      <w:r>
        <w:t xml:space="preserve">§ 46</w:t>
      </w:r>
    </w:p>
    <w:p>
      <w:pPr>
        <w:pStyle w:val="Compact"/>
        <w:numPr>
          <w:numId w:val="1164"/>
          <w:ilvl w:val="1"/>
        </w:numPr>
      </w:pPr>
      <w:r>
        <w:t xml:space="preserve">Schůze věřitelů, věřitelský výbor a zástupce věřitelů</w:t>
      </w:r>
    </w:p>
    <w:p>
      <w:pPr>
        <w:pStyle w:val="Compact"/>
        <w:numPr>
          <w:numId w:val="1165"/>
          <w:ilvl w:val="2"/>
        </w:numPr>
      </w:pPr>
      <w:r>
        <w:t xml:space="preserve">Věřitelskými orgány jsou schůze věřitelů a věřitelský výbor nebo zástupce věřitelů.</w:t>
      </w:r>
    </w:p>
    <w:p>
      <w:pPr>
        <w:pStyle w:val="Compact"/>
        <w:numPr>
          <w:numId w:val="1166"/>
          <w:ilvl w:val="2"/>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tomto zákoně stanoveno jinak, vykonává schůze věřitelů i jejich působnost.</w:t>
      </w:r>
    </w:p>
    <w:p>
      <w:pPr>
        <w:pStyle w:val="Compact"/>
        <w:numPr>
          <w:numId w:val="1167"/>
          <w:ilvl w:val="2"/>
        </w:numPr>
      </w:pPr>
      <w:r>
        <w:t xml:space="preserve">Věřitelský výbor vykonává působnost věřitelských orgánů s výjimkou věcí, které patří do působnosti schůze věřitelů nebo které si schůze věřitelů vyhradila.</w:t>
      </w:r>
    </w:p>
    <w:p>
      <w:pPr>
        <w:pStyle w:val="Compact"/>
        <w:numPr>
          <w:numId w:val="1162"/>
          <w:ilvl w:val="0"/>
        </w:numPr>
      </w:pPr>
      <w:r>
        <w:t xml:space="preserve">§ 210</w:t>
      </w:r>
    </w:p>
    <w:p>
      <w:pPr>
        <w:pStyle w:val="Compact"/>
        <w:numPr>
          <w:numId w:val="1169"/>
          <w:ilvl w:val="2"/>
        </w:numPr>
      </w:pPr>
      <w:r>
        <w:t xml:space="preserve">Dlužník je povinen poskytnout insolvenčnímu správci nebo předběžnému správci při zjišťování majetkové podstaty všestrannou součinnost, zejména dbát pokynů insolvenčního správce nebo</w:t>
      </w:r>
      <w:r>
        <w:t xml:space="preserve"> </w:t>
      </w:r>
      <w:r>
        <w:rPr>
          <w:b/>
        </w:rPr>
        <w:t xml:space="preserve">předběžného správce</w:t>
      </w:r>
      <w:r>
        <w:t xml:space="preserve"> </w:t>
      </w:r>
      <w:r>
        <w:t xml:space="preserve">- předběžný správce je .</w:t>
      </w:r>
    </w:p>
    <w:p>
      <w:pPr>
        <w:pStyle w:val="Compact"/>
        <w:numPr>
          <w:numId w:val="1170"/>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171"/>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172"/>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Heading2"/>
      </w:pPr>
      <w:bookmarkStart w:id="88" w:name="mechanismus-věřitelských-orgánů"/>
      <w:bookmarkEnd w:id="88"/>
      <w:r>
        <w:t xml:space="preserve">Mechanismus věřitelských orgánů</w:t>
      </w:r>
    </w:p>
    <w:p>
      <w:pPr>
        <w:pStyle w:val="Compact"/>
        <w:numPr>
          <w:numId w:val="1173"/>
          <w:ilvl w:val="0"/>
        </w:numPr>
      </w:pPr>
      <w:r>
        <w:t xml:space="preserve">schůzi svolává a řídí insolvenční soud</w:t>
      </w:r>
    </w:p>
    <w:p>
      <w:pPr>
        <w:pStyle w:val="Compact"/>
        <w:numPr>
          <w:numId w:val="1173"/>
          <w:ilvl w:val="0"/>
        </w:numPr>
      </w:pPr>
      <w:r>
        <w:t xml:space="preserve">svolává ji z vlastní iniciativy, na návrh insolvenčního správce, věřitelského výboru, nebo za zákonem stanovených situací sami věřitelé</w:t>
      </w:r>
    </w:p>
    <w:p>
      <w:pPr>
        <w:pStyle w:val="Compact"/>
        <w:numPr>
          <w:numId w:val="1173"/>
          <w:ilvl w:val="0"/>
        </w:numPr>
      </w:pPr>
      <w:r>
        <w:t xml:space="preserve">svolá ji tak, aby se konala do 30 dnů, co je insolvenční soud požádán o svolání schůze věřitelů</w:t>
      </w:r>
    </w:p>
    <w:p>
      <w:pPr>
        <w:pStyle w:val="Compact"/>
        <w:numPr>
          <w:numId w:val="1173"/>
          <w:ilvl w:val="0"/>
        </w:numPr>
      </w:pPr>
      <w:r>
        <w:t xml:space="preserve">právo účastnit se mají: insolvenční správce, dlužník, věřitelé, státní zastupitelství a odborové organizace dlužníka</w:t>
      </w:r>
    </w:p>
    <w:p>
      <w:pPr>
        <w:pStyle w:val="Compact"/>
        <w:numPr>
          <w:numId w:val="1173"/>
          <w:ilvl w:val="0"/>
        </w:numPr>
      </w:pPr>
      <w:r>
        <w:t xml:space="preserve">oznámení o svolání schůze učiní soud formou vyhlášky (obsahuje předmět a místo jednání) - projednává se jen předmět, který byl uveden v pozvánce, jiné předměty jednání je možné jednat jen pokud se na tom usnesou věřitelé (musí však proto být všichni přítomni)</w:t>
      </w:r>
    </w:p>
    <w:p>
      <w:pPr>
        <w:pStyle w:val="Compact"/>
        <w:numPr>
          <w:numId w:val="1173"/>
          <w:ilvl w:val="0"/>
        </w:numPr>
      </w:pPr>
      <w:r>
        <w:t xml:space="preserve">K platnosti hlasování se vyžaduje, pokud zákon nestanoví jinak, prostá většina hlasů (každá koruna pohledávky má hodnotu jednoho hlasu)</w:t>
      </w:r>
    </w:p>
    <w:p>
      <w:pPr>
        <w:pStyle w:val="Compact"/>
        <w:numPr>
          <w:numId w:val="1173"/>
          <w:ilvl w:val="0"/>
        </w:numPr>
      </w:pPr>
      <w:r>
        <w:t xml:space="preserve">Věřitelé mohou hlasovat písemně pomocí listiny s názvem hlasovací lístek, musí být úředně ověřený podpis</w:t>
      </w:r>
    </w:p>
    <w:p>
      <w:pPr>
        <w:pStyle w:val="Compact"/>
        <w:numPr>
          <w:numId w:val="1173"/>
          <w:ilvl w:val="0"/>
        </w:numPr>
      </w:pPr>
      <w:r>
        <w:t xml:space="preserve">Věřitel, který s dlužníkem tvoří koncern anebo je osobou dlužníkovi blízkou, nesmí na schůzi věřitelů hlasovat, nestanoví-li zákon jinak; o reorganizačním plánu předloženém jinou osobou než dlužníkem nebo věřitelem podle věty před středníkem hlasovat může.</w:t>
      </w:r>
    </w:p>
    <w:p>
      <w:pPr>
        <w:pStyle w:val="Compact"/>
        <w:numPr>
          <w:numId w:val="1173"/>
          <w:ilvl w:val="0"/>
        </w:numPr>
      </w:pPr>
      <w:r>
        <w:t xml:space="preserve">Věřitel nesmí hlasovat ve věcech, kterých se účastní nebo kterých je nebo má být stranou, které se týkají zákonem stanovených věcí.</w:t>
      </w:r>
    </w:p>
    <w:p>
      <w:pPr>
        <w:pStyle w:val="Compact"/>
        <w:numPr>
          <w:numId w:val="1173"/>
          <w:ilvl w:val="0"/>
        </w:numPr>
      </w:pPr>
      <w:r>
        <w:t xml:space="preserve">Odporuje-li usnesení schůze věřitelů společnému zájmu věřitelů, může je insolvenční soud zrušit.</w:t>
      </w:r>
    </w:p>
    <w:p>
      <w:pPr>
        <w:pStyle w:val="FirstParagraph"/>
      </w:pPr>
      <w:r>
        <w:rPr>
          <w:b/>
        </w:rPr>
        <w:t xml:space="preserve">Specifické ustanovení týkající se věřitelského výboru</w:t>
      </w:r>
      <w:r>
        <w:t xml:space="preserve">:</w:t>
      </w:r>
    </w:p>
    <w:p>
      <w:pPr>
        <w:pStyle w:val="Compact"/>
        <w:numPr>
          <w:numId w:val="1174"/>
          <w:ilvl w:val="0"/>
        </w:numPr>
      </w:pPr>
      <w:r>
        <w:t xml:space="preserve">Je-li přihlášených věřitelů více než 50</w:t>
      </w:r>
    </w:p>
    <w:p>
      <w:pPr>
        <w:pStyle w:val="Compact"/>
        <w:numPr>
          <w:numId w:val="1174"/>
          <w:ilvl w:val="0"/>
        </w:numPr>
      </w:pPr>
      <w:r>
        <w:t xml:space="preserve">Nejméně 3, nejvýše 7 členů (je možné jmenovat zástupce)</w:t>
      </w:r>
    </w:p>
    <w:p>
      <w:pPr>
        <w:pStyle w:val="Compact"/>
        <w:numPr>
          <w:numId w:val="1174"/>
          <w:ilvl w:val="0"/>
        </w:numPr>
      </w:pPr>
      <w:r>
        <w:t xml:space="preserve">Je-li způsobem řešení úpadku nepatrný konkurs nebo oddlužení, není volba věřitelského výboru povinná</w:t>
      </w:r>
    </w:p>
    <w:p>
      <w:pPr>
        <w:pStyle w:val="Compact"/>
        <w:numPr>
          <w:numId w:val="1174"/>
          <w:ilvl w:val="0"/>
        </w:numPr>
      </w:pPr>
      <w:r>
        <w:t xml:space="preserve">Ve věřitelském výboru mají být zastoupeni zajištění i nezajištění věřitelé</w:t>
      </w:r>
    </w:p>
    <w:p>
      <w:pPr>
        <w:pStyle w:val="Compact"/>
        <w:numPr>
          <w:numId w:val="1174"/>
          <w:ilvl w:val="0"/>
        </w:numPr>
      </w:pPr>
      <w:r>
        <w:t xml:space="preserve">Věřitelský výbor chrání společný zájem věřitelů a v součinnosti s insolvenčním správcem přispívá k naplnění účelu insolvenčního řízení - dohlíží, poskytuje podporu, uděluje souhlas k uzavírání smluv o úvěrovém financování, schvaluje výdaje, nahlíží do dokumentů, podává návrhy insolvenčnímu soudu ohledně průběhu insolvenčního řízení etc.</w:t>
      </w:r>
    </w:p>
    <w:p>
      <w:pPr>
        <w:pStyle w:val="Compact"/>
        <w:numPr>
          <w:numId w:val="1174"/>
          <w:ilvl w:val="0"/>
        </w:numPr>
      </w:pPr>
      <w:r>
        <w:t xml:space="preserve">Volí předsedu - svolává a řídí schůze</w:t>
      </w:r>
    </w:p>
    <w:p>
      <w:pPr>
        <w:pStyle w:val="Compact"/>
        <w:numPr>
          <w:numId w:val="1174"/>
          <w:ilvl w:val="0"/>
        </w:numPr>
      </w:pPr>
      <w:r>
        <w:t xml:space="preserve">Do doby, než dojde k ustanovení věřitelského výboru a k potvrzení volby jeho členů a náhradníků, může insolvenční soud, a to i před první schůzí věřitelů a před rozhodnutím o úpadku, jmenovat prozatímní věřitelský výbor; navrhne-li to dlužník, přihlášený věřitel nebo předběžný správce, učiní tak neprodleně.</w:t>
      </w:r>
    </w:p>
    <w:p>
      <w:pPr>
        <w:pStyle w:val="Compact"/>
        <w:numPr>
          <w:numId w:val="1174"/>
          <w:ilvl w:val="0"/>
        </w:numPr>
      </w:pPr>
      <w:r>
        <w:t xml:space="preserve">Jestliže v průběhu insolvenčního řízení poklesne počet členů věřitelského výboru ustanoveného schůzí věřitelů na méně než 3 nebo pod většinu, vykonává působnost věřitelského výboru až do potvrzení nové volby nebo doplňující volby členů věřitelského výboru do počtu nejméně 3 nebo do počtu většiny členů insolvenční soud.</w:t>
      </w:r>
    </w:p>
    <w:p>
      <w:pPr>
        <w:pStyle w:val="Compact"/>
        <w:numPr>
          <w:numId w:val="1174"/>
          <w:ilvl w:val="0"/>
        </w:numPr>
      </w:pPr>
      <w:r>
        <w:t xml:space="preserve">Jestliže chybějící členy věřitelského výboru do počtu nejméně 3 nebo do počtu většiny členů nezvolila schůze věřitelů k tomu účelu svolaná, vykonává po jejím skončení působnost věřitelského výboru insolvenční soud; § 61 odst. 2 věta druhá a § 61 odst. 3 platí obdobně.</w:t>
      </w:r>
    </w:p>
    <w:p>
      <w:pPr>
        <w:pStyle w:val="Compact"/>
        <w:numPr>
          <w:numId w:val="1174"/>
          <w:ilvl w:val="0"/>
        </w:numPr>
      </w:pPr>
      <w:r>
        <w:t xml:space="preserve">Úkon, který insolvenční soud provádí při výkonu působnosti věřitelského výboru, tak musí být označen.</w:t>
      </w:r>
    </w:p>
    <w:p>
      <w:pPr>
        <w:pStyle w:val="FirstParagraph"/>
      </w:pPr>
      <w:r>
        <w:rPr>
          <w:b/>
        </w:rPr>
        <w:t xml:space="preserve">Specifická ustanovení týkající se zástupce věřitelů:</w:t>
      </w:r>
    </w:p>
    <w:p>
      <w:pPr>
        <w:pStyle w:val="Compact"/>
        <w:numPr>
          <w:numId w:val="1175"/>
          <w:ilvl w:val="0"/>
        </w:numPr>
      </w:pPr>
      <w:r>
        <w:t xml:space="preserve">Ustanovení týkající se věřitelského výboru se použijí obdobně.</w:t>
      </w:r>
    </w:p>
    <w:p>
      <w:pPr>
        <w:pStyle w:val="Heading1"/>
      </w:pPr>
      <w:bookmarkStart w:id="89" w:name="otázka-5"/>
      <w:bookmarkEnd w:id="89"/>
      <w:r>
        <w:t xml:space="preserve">Otázka 5</w:t>
      </w:r>
    </w:p>
    <w:p>
      <w:pPr>
        <w:pStyle w:val="BlockText"/>
      </w:pPr>
      <w:r>
        <w:t xml:space="preserve">Oprávnění a součinnost orgánů dlužníka a insolvenčního správce v konkursu.</w:t>
      </w:r>
    </w:p>
    <w:p>
      <w:pPr>
        <w:pStyle w:val="FirstParagraph"/>
      </w:pPr>
      <w:r>
        <w:t xml:space="preserve">Otázky (Kontrolní otázky):</w:t>
      </w:r>
    </w:p>
    <w:p>
      <w:pPr>
        <w:pStyle w:val="BodyText"/>
      </w:pPr>
      <w:r>
        <w:t xml:space="preserve">Student bude znát rozsah oprávnění a součinnosti orgánů dlužníka v konkursu. Student bude umět vymezit rozsah oprávnění a součinnosti insolvenčního správce v konkursu. Student se seznámí s možnými následky porušení povinnosti k součinnosti, které zákon ukládá orgánům dlužníka a insolvenčnímu správci.</w:t>
      </w:r>
    </w:p>
    <w:p>
      <w:pPr>
        <w:pStyle w:val="Compact"/>
        <w:numPr>
          <w:numId w:val="1176"/>
          <w:ilvl w:val="0"/>
        </w:numPr>
      </w:pPr>
      <w:r>
        <w:t xml:space="preserve">V jakém rozsahu je povinen dlužník poskytnout součinnost insolvenčnímu správci?</w:t>
      </w:r>
    </w:p>
    <w:p>
      <w:pPr>
        <w:pStyle w:val="Compact"/>
        <w:numPr>
          <w:numId w:val="1176"/>
          <w:ilvl w:val="0"/>
        </w:numPr>
      </w:pPr>
      <w:r>
        <w:t xml:space="preserve">V jakém rozsahu je povinen insolvenční správce poskytovat součinnost insolvenčnímu soudu v průběhu konkursu?</w:t>
      </w:r>
    </w:p>
    <w:p>
      <w:pPr>
        <w:pStyle w:val="Compact"/>
        <w:numPr>
          <w:numId w:val="1176"/>
          <w:ilvl w:val="0"/>
        </w:numPr>
      </w:pPr>
      <w:r>
        <w:t xml:space="preserve">Jaké následky může mít porušení povinnosti k součinnosti pro orgány dlužníka, resp. jejich členy?</w:t>
      </w:r>
    </w:p>
    <w:p>
      <w:pPr>
        <w:pStyle w:val="Compact"/>
        <w:numPr>
          <w:numId w:val="1176"/>
          <w:ilvl w:val="0"/>
        </w:numPr>
      </w:pPr>
      <w:r>
        <w:t xml:space="preserve">Jaké následky může mít porušení povinnosti k součinnosti pro insolvenčního správce?</w:t>
      </w:r>
    </w:p>
    <w:p>
      <w:pPr>
        <w:pStyle w:val="Compact"/>
        <w:numPr>
          <w:numId w:val="1176"/>
          <w:ilvl w:val="0"/>
        </w:numPr>
      </w:pPr>
      <w:r>
        <w:t xml:space="preserve">Které orgány dlužníka mají povinnost poskytovat součinnost insolvenčnímu správci v průběhu konkursu?</w:t>
      </w:r>
    </w:p>
    <w:p>
      <w:pPr>
        <w:pStyle w:val="Heading2"/>
      </w:pPr>
      <w:bookmarkStart w:id="90" w:name="oprávnění-a-součinnost-v-konkursu"/>
      <w:bookmarkEnd w:id="90"/>
      <w:r>
        <w:t xml:space="preserve">Oprávnění a součinnost v konkursu</w:t>
      </w:r>
    </w:p>
    <w:p>
      <w:pPr>
        <w:pStyle w:val="FirstParagraph"/>
      </w:pPr>
      <w:r>
        <w:t xml:space="preserve">V insolvenčním řízení můžeme osoby dělit na ty, které:</w:t>
      </w:r>
    </w:p>
    <w:p>
      <w:pPr>
        <w:pStyle w:val="Compact"/>
        <w:numPr>
          <w:numId w:val="1178"/>
          <w:ilvl w:val="1"/>
        </w:numPr>
      </w:pPr>
      <w:r>
        <w:t xml:space="preserve">mají právo na poskytnutí součinnosti a</w:t>
      </w:r>
    </w:p>
    <w:p>
      <w:pPr>
        <w:pStyle w:val="Compact"/>
        <w:numPr>
          <w:numId w:val="1179"/>
          <w:ilvl w:val="1"/>
        </w:numPr>
      </w:pPr>
      <w:r>
        <w:t xml:space="preserve">mají povinnost poskytnout součinnost.</w:t>
      </w:r>
    </w:p>
    <w:p>
      <w:pPr>
        <w:pStyle w:val="FirstParagraph"/>
      </w:pPr>
      <w:r>
        <w:t xml:space="preserve">Povinnost součinnosti má:</w:t>
      </w:r>
    </w:p>
    <w:p>
      <w:pPr>
        <w:pStyle w:val="Compact"/>
        <w:numPr>
          <w:numId w:val="1181"/>
          <w:ilvl w:val="1"/>
        </w:numPr>
      </w:pPr>
      <w:r>
        <w:t xml:space="preserve">Dlužník</w:t>
      </w:r>
    </w:p>
    <w:p>
      <w:pPr>
        <w:pStyle w:val="Compact"/>
        <w:numPr>
          <w:numId w:val="1182"/>
          <w:ilvl w:val="1"/>
        </w:numPr>
      </w:pPr>
      <w:r>
        <w:t xml:space="preserve">Předběžný správce vůči insolvenčnímu správci</w:t>
      </w:r>
    </w:p>
    <w:p>
      <w:pPr>
        <w:pStyle w:val="Compact"/>
        <w:numPr>
          <w:numId w:val="1183"/>
          <w:ilvl w:val="1"/>
        </w:numPr>
      </w:pPr>
      <w:r>
        <w:t xml:space="preserve">Insolvenční správce</w:t>
      </w:r>
    </w:p>
    <w:p>
      <w:pPr>
        <w:pStyle w:val="Compact"/>
        <w:numPr>
          <w:numId w:val="1180"/>
          <w:ilvl w:val="0"/>
        </w:numPr>
      </w:pPr>
      <w:r>
        <w:t xml:space="preserve">ca) vůči věřitelským orgánům</w:t>
      </w:r>
    </w:p>
    <w:p>
      <w:pPr>
        <w:pStyle w:val="Compact"/>
        <w:numPr>
          <w:numId w:val="1180"/>
          <w:ilvl w:val="0"/>
        </w:numPr>
      </w:pPr>
      <w:r>
        <w:t xml:space="preserve">cb) vůči insolvenčnímu soudu</w:t>
      </w:r>
    </w:p>
    <w:p>
      <w:pPr>
        <w:pStyle w:val="Compact"/>
        <w:numPr>
          <w:numId w:val="1184"/>
          <w:ilvl w:val="1"/>
        </w:numPr>
      </w:pPr>
      <w:r>
        <w:t xml:space="preserve">další formy součinnosti</w:t>
      </w:r>
    </w:p>
    <w:p>
      <w:pPr>
        <w:pStyle w:val="Compact"/>
        <w:numPr>
          <w:numId w:val="1185"/>
          <w:ilvl w:val="1"/>
        </w:numPr>
      </w:pPr>
      <w:r>
        <w:t xml:space="preserve">Osoby a orgány uvedené v § 43 IZ vůči insolvenčnímu správci a soudu</w:t>
      </w:r>
    </w:p>
    <w:p>
      <w:pPr>
        <w:pStyle w:val="Compact"/>
        <w:numPr>
          <w:numId w:val="1186"/>
          <w:ilvl w:val="1"/>
        </w:numPr>
      </w:pPr>
      <w:r>
        <w:t xml:space="preserve">Věřitelský výbor vůči insolvenčnímu správci</w:t>
      </w:r>
    </w:p>
    <w:p>
      <w:pPr>
        <w:pStyle w:val="Compact"/>
        <w:numPr>
          <w:numId w:val="1187"/>
          <w:ilvl w:val="1"/>
        </w:numPr>
      </w:pPr>
      <w:r>
        <w:t xml:space="preserve">Likvidátor dlužníka vůči insolvenčnímu správci</w:t>
      </w:r>
    </w:p>
    <w:p>
      <w:pPr>
        <w:pStyle w:val="Compact"/>
        <w:numPr>
          <w:numId w:val="1188"/>
          <w:ilvl w:val="1"/>
        </w:numPr>
      </w:pPr>
      <w:r>
        <w:t xml:space="preserve">Správce podniku</w:t>
      </w:r>
    </w:p>
    <w:p>
      <w:pPr>
        <w:pStyle w:val="Heading3"/>
      </w:pPr>
      <w:bookmarkStart w:id="91" w:name="rozsah-oprávnění-a-součinnost-dlužníka-v-konkursu"/>
      <w:bookmarkEnd w:id="91"/>
      <w:r>
        <w:t xml:space="preserve">Rozsah oprávnění a součinnost dlužníka v konkursu</w:t>
      </w:r>
    </w:p>
    <w:p>
      <w:pPr>
        <w:pStyle w:val="FirstParagraph"/>
      </w:pPr>
      <w:r>
        <w:t xml:space="preserve">Jsou stanoveny obecné podmínky součinnosti, které se aplikují na všechny způsoby řešení úpadku.</w:t>
      </w:r>
    </w:p>
    <w:p>
      <w:pPr>
        <w:pStyle w:val="BodyText"/>
      </w:pPr>
      <w:r>
        <w:t xml:space="preserve">Obecné povinnosti dlužníka lze rozdělina na:</w:t>
      </w:r>
    </w:p>
    <w:p>
      <w:pPr>
        <w:pStyle w:val="Compact"/>
        <w:numPr>
          <w:numId w:val="1190"/>
          <w:ilvl w:val="1"/>
        </w:numPr>
      </w:pPr>
      <w:r>
        <w:t xml:space="preserve">Obecná povinnost součinnosti dlužníka</w:t>
      </w:r>
    </w:p>
    <w:p>
      <w:pPr>
        <w:pStyle w:val="Compact"/>
        <w:numPr>
          <w:numId w:val="1191"/>
          <w:ilvl w:val="1"/>
        </w:numPr>
      </w:pPr>
      <w:r>
        <w:t xml:space="preserve">Povinnost součinnosti statutárního orgánu dlužníka</w:t>
      </w:r>
    </w:p>
    <w:p>
      <w:pPr>
        <w:pStyle w:val="Compact"/>
        <w:numPr>
          <w:numId w:val="1192"/>
          <w:ilvl w:val="1"/>
        </w:numPr>
      </w:pPr>
      <w:r>
        <w:t xml:space="preserve">Povinnost součinnosti společníků, zaměstnanců nebo členů právnické osoby</w:t>
      </w:r>
    </w:p>
    <w:p>
      <w:pPr>
        <w:pStyle w:val="Compact"/>
        <w:numPr>
          <w:numId w:val="1193"/>
          <w:ilvl w:val="1"/>
        </w:numPr>
      </w:pPr>
      <w:r>
        <w:t xml:space="preserve">Součinnost při zjišťování podstaty</w:t>
      </w:r>
    </w:p>
    <w:p>
      <w:pPr>
        <w:pStyle w:val="Heading3"/>
      </w:pPr>
      <w:bookmarkStart w:id="92" w:name="rozsah-oprávnění-a-součinnost-insolvenčního-správce-v-konkursu"/>
      <w:bookmarkEnd w:id="92"/>
      <w:r>
        <w:t xml:space="preserve">Rozsah oprávnění a součinnost insolvenčního správce v konkursu</w:t>
      </w:r>
    </w:p>
    <w:p>
      <w:pPr>
        <w:pStyle w:val="FirstParagraph"/>
      </w:pPr>
      <w:r>
        <w:rPr>
          <w:b/>
        </w:rPr>
        <w:t xml:space="preserve">Povinnosti insolvenčního správce:</w:t>
      </w:r>
    </w:p>
    <w:p>
      <w:pPr>
        <w:pStyle w:val="BodyText"/>
      </w:pPr>
      <w:r>
        <w:t xml:space="preserve">§ 36/1 IZ</w:t>
      </w:r>
    </w:p>
    <w:p>
      <w:pPr>
        <w:pStyle w:val="BodyText"/>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BodyText"/>
      </w:pPr>
      <w:r>
        <w:rPr>
          <w:b/>
        </w:rPr>
        <w:t xml:space="preserve">Odpovědnost insolvenčního správce za škodu:</w:t>
      </w:r>
    </w:p>
    <w:p>
      <w:pPr>
        <w:pStyle w:val="BodyText"/>
      </w:pPr>
      <w:r>
        <w:t xml:space="preserve">§ 37/1 IZ</w:t>
      </w:r>
    </w:p>
    <w:p>
      <w:pPr>
        <w:pStyle w:val="BodyText"/>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w:t>
      </w:r>
    </w:p>
    <w:p>
      <w:pPr>
        <w:pStyle w:val="BodyText"/>
      </w:pPr>
      <w:r>
        <w:t xml:space="preserve">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BodyText"/>
      </w:pPr>
      <w:r>
        <w:rPr>
          <w:b/>
        </w:rPr>
        <w:t xml:space="preserve">Odvolání insolvenčního správce:</w:t>
      </w:r>
    </w:p>
    <w:p>
      <w:pPr>
        <w:pStyle w:val="BodyText"/>
      </w:pPr>
      <w:r>
        <w:t xml:space="preserve">§ 31/1 IZ</w:t>
      </w:r>
    </w:p>
    <w:p>
      <w:pPr>
        <w:pStyle w:val="BodyText"/>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BodyText"/>
      </w:pPr>
      <w:r>
        <w:rPr>
          <w:b/>
        </w:rPr>
        <w:t xml:space="preserve">Zproštění insolvenčního správce:</w:t>
      </w:r>
    </w:p>
    <w:p>
      <w:pPr>
        <w:pStyle w:val="BodyText"/>
      </w:pPr>
      <w:r>
        <w:t xml:space="preserve">§ 32/1 IZ</w:t>
      </w:r>
    </w:p>
    <w:p>
      <w:pPr>
        <w:pStyle w:val="Compact"/>
        <w:numPr>
          <w:numId w:val="1194"/>
          <w:ilvl w:val="0"/>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w:t>
      </w:r>
    </w:p>
    <w:p>
      <w:pPr>
        <w:pStyle w:val="Heading3"/>
      </w:pPr>
      <w:bookmarkStart w:id="93" w:name="následky-porušení-součinnosti-dlužníka-a-insolvenčního-správce"/>
      <w:bookmarkEnd w:id="93"/>
      <w:r>
        <w:t xml:space="preserve">Následky porušení součinnosti dlužníka a insolvenčního správce</w:t>
      </w:r>
    </w:p>
    <w:p>
      <w:pPr>
        <w:pStyle w:val="Compact"/>
        <w:numPr>
          <w:numId w:val="1196"/>
          <w:ilvl w:val="1"/>
        </w:numPr>
      </w:pPr>
      <w:r>
        <w:t xml:space="preserve">zák. č. 182/2006 Sb., o úpadku a způsobech jeho řešení (insolvenční zákon)</w:t>
      </w:r>
    </w:p>
    <w:p>
      <w:pPr>
        <w:pStyle w:val="Compact"/>
        <w:numPr>
          <w:numId w:val="1195"/>
          <w:ilvl w:val="0"/>
        </w:numPr>
      </w:pPr>
      <w:r>
        <w:t xml:space="preserve">§ 212</w:t>
      </w:r>
    </w:p>
    <w:p>
      <w:pPr>
        <w:pStyle w:val="Compact"/>
        <w:numPr>
          <w:numId w:val="1198"/>
          <w:ilvl w:val="2"/>
        </w:numPr>
      </w:pPr>
      <w:r>
        <w:t xml:space="preserve">Dlužník musí umožnit insolvenčnímu správci přístup na všechna místa, kde má umístěn majetek náležející do majetkové podstaty.</w:t>
      </w:r>
    </w:p>
    <w:p>
      <w:pPr>
        <w:pStyle w:val="Compact"/>
        <w:numPr>
          <w:numId w:val="1199"/>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Heading1"/>
      </w:pPr>
      <w:bookmarkStart w:id="94" w:name="otázka-6"/>
      <w:bookmarkEnd w:id="94"/>
      <w:r>
        <w:t xml:space="preserve">Otázka 6</w:t>
      </w:r>
    </w:p>
    <w:p>
      <w:pPr>
        <w:pStyle w:val="BlockText"/>
      </w:pPr>
      <w:r>
        <w:t xml:space="preserve">Oprávnění a součinnost orgánů dlužníka a insolvenčního správce v oddlužení a reorganizaci.</w:t>
      </w:r>
    </w:p>
    <w:p>
      <w:pPr>
        <w:pStyle w:val="FirstParagraph"/>
      </w:pPr>
      <w:r>
        <w:t xml:space="preserve">Otázky (Kontrolní otázky):</w:t>
      </w:r>
    </w:p>
    <w:p>
      <w:pPr>
        <w:pStyle w:val="BodyText"/>
      </w:pPr>
      <w:r>
        <w:t xml:space="preserve">Student bude umět vymezit oprávnění a součinnost orgánů dlužníka v oddlužení a v reorganizaci. Student bude umět vymezit oprávnění a součinnost insolvenčního správce v oddlužení a v reorganizaci.</w:t>
      </w:r>
    </w:p>
    <w:p>
      <w:pPr>
        <w:pStyle w:val="Compact"/>
        <w:numPr>
          <w:numId w:val="1200"/>
          <w:ilvl w:val="0"/>
        </w:numPr>
      </w:pPr>
      <w:r>
        <w:t xml:space="preserve">Jaká oprávnění mají orgány dlužníka v oddlužení a reorganizaci?</w:t>
      </w:r>
    </w:p>
    <w:p>
      <w:pPr>
        <w:pStyle w:val="Compact"/>
        <w:numPr>
          <w:numId w:val="1200"/>
          <w:ilvl w:val="0"/>
        </w:numPr>
      </w:pPr>
      <w:r>
        <w:t xml:space="preserve">V jakém rozsahu mají stanovenou povinnost součinnosti orgány dlužníka v oddlužení a v reorganizaci?</w:t>
      </w:r>
    </w:p>
    <w:p>
      <w:pPr>
        <w:pStyle w:val="Compact"/>
        <w:numPr>
          <w:numId w:val="1200"/>
          <w:ilvl w:val="0"/>
        </w:numPr>
      </w:pPr>
      <w:r>
        <w:t xml:space="preserve">Jaká oprávnění má insolvenční správce v oddlužení a reorganizaci?</w:t>
      </w:r>
    </w:p>
    <w:p>
      <w:pPr>
        <w:pStyle w:val="Compact"/>
        <w:numPr>
          <w:numId w:val="1200"/>
          <w:ilvl w:val="0"/>
        </w:numPr>
      </w:pPr>
      <w:r>
        <w:t xml:space="preserve">V jakém rozsahu má povinnost součinnosti insolvenční správce v oddlužení a reorganizaci?</w:t>
      </w:r>
    </w:p>
    <w:p>
      <w:pPr>
        <w:pStyle w:val="Compact"/>
        <w:numPr>
          <w:numId w:val="1200"/>
          <w:ilvl w:val="0"/>
        </w:numPr>
      </w:pPr>
      <w:r>
        <w:t xml:space="preserve">Jaké následky má porušení povinnosti orgánů dlužníka v průběhu oddlužení a reorganizace?</w:t>
      </w:r>
    </w:p>
    <w:p>
      <w:pPr>
        <w:pStyle w:val="Heading2"/>
      </w:pPr>
      <w:bookmarkStart w:id="95" w:name="oprávnění-a-součinnosti"/>
      <w:bookmarkEnd w:id="95"/>
      <w:r>
        <w:t xml:space="preserve">Oprávnění a součinnosti:</w:t>
      </w:r>
    </w:p>
    <w:p>
      <w:pPr>
        <w:pStyle w:val="Compact"/>
        <w:numPr>
          <w:numId w:val="1202"/>
          <w:ilvl w:val="1"/>
        </w:numPr>
      </w:pPr>
      <w:r>
        <w:t xml:space="preserve">zák. č. 182/2006 Sb., o úpadku a způsobech jeho řešení (insolvenční zákon)</w:t>
      </w:r>
    </w:p>
    <w:p>
      <w:pPr>
        <w:pStyle w:val="Compact"/>
        <w:numPr>
          <w:numId w:val="1201"/>
          <w:ilvl w:val="0"/>
        </w:numPr>
      </w:pPr>
      <w:r>
        <w:t xml:space="preserve">§ 210</w:t>
      </w:r>
    </w:p>
    <w:p>
      <w:pPr>
        <w:pStyle w:val="Compact"/>
        <w:numPr>
          <w:numId w:val="1204"/>
          <w:ilvl w:val="2"/>
        </w:numPr>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Compact"/>
        <w:numPr>
          <w:numId w:val="1205"/>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206"/>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207"/>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Compact"/>
        <w:numPr>
          <w:numId w:val="1201"/>
          <w:ilvl w:val="0"/>
        </w:numPr>
      </w:pPr>
      <w:r>
        <w:t xml:space="preserve">§ 211</w:t>
      </w:r>
    </w:p>
    <w:p>
      <w:pPr>
        <w:pStyle w:val="Compact"/>
        <w:numPr>
          <w:numId w:val="1209"/>
          <w:ilvl w:val="2"/>
        </w:numPr>
      </w:pPr>
      <w:r>
        <w:t xml:space="preserve">Východiskem zjišťování majetkové podstaty je seznam majetku, který je dlužník povinen předložit současně s insolvenčním návrhem, případně na základě rozhodnutí insolvenčního soudu.</w:t>
      </w:r>
    </w:p>
    <w:p>
      <w:pPr>
        <w:pStyle w:val="Compact"/>
        <w:numPr>
          <w:numId w:val="1210"/>
          <w:ilvl w:val="2"/>
        </w:numPr>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Compact"/>
        <w:numPr>
          <w:numId w:val="1211"/>
          <w:ilvl w:val="2"/>
        </w:numPr>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Compact"/>
        <w:numPr>
          <w:numId w:val="1201"/>
          <w:ilvl w:val="0"/>
        </w:numPr>
      </w:pPr>
      <w:r>
        <w:t xml:space="preserve">§ 212</w:t>
      </w:r>
    </w:p>
    <w:p>
      <w:pPr>
        <w:pStyle w:val="Compact"/>
        <w:numPr>
          <w:numId w:val="1213"/>
          <w:ilvl w:val="2"/>
        </w:numPr>
      </w:pPr>
      <w:r>
        <w:t xml:space="preserve">Dlužník musí umožnit insolvenčnímu správci přístup na všechna místa, kde má umístěn majetek náležející do majetkové podstaty.</w:t>
      </w:r>
    </w:p>
    <w:p>
      <w:pPr>
        <w:pStyle w:val="Compact"/>
        <w:numPr>
          <w:numId w:val="1214"/>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Compact"/>
        <w:numPr>
          <w:numId w:val="1215"/>
          <w:ilvl w:val="2"/>
        </w:numPr>
      </w:pPr>
      <w:r>
        <w:t xml:space="preserve">Písemné vyhotovení rozhodnutí podle odstavce 2 nemusí obsahovat odůvodnění; proti tomuto rozhodnutí není odvolání přípustné. Rozhodnutí se doručuje pouze insolvenčnímu správci a dlužníku. Insolvenční soud doručí rozhodnutí insolvenčnímu správci spolu se stejnopisem rozhodnutí, který má být doručen dlužníku. Dlužníku doručí rozhodnutí insolvenční správce při prohlídce místností, kterých se usnesení týká. Nepodaří-li se insolvenčnímu správci doručit rozhodnutí dlužníku při tomto úkonu, vrátí je k doručení insolvenčnímu soudu.</w:t>
      </w:r>
    </w:p>
    <w:p>
      <w:pPr>
        <w:pStyle w:val="Compact"/>
        <w:numPr>
          <w:numId w:val="1216"/>
          <w:ilvl w:val="2"/>
        </w:numPr>
      </w:pPr>
      <w:r>
        <w:t xml:space="preserve">Každý, v jehož objektu má dlužník svůj byt, sídlo nebo jiné své místnosti, je povinen strpět, aby insolvenční správce, který provádí soupis nebo činí úkony směřující k řádnému zajištění a správě majetkové podstaty, provedl prohlídku bytu a jiných místností dlužníka. Nesplní-li tuto povinnost, je insolvenční správce oprávněn zjednat si k bytu nebo jiné místnosti dlužníka přístup.</w:t>
      </w:r>
    </w:p>
    <w:p>
      <w:pPr>
        <w:pStyle w:val="FirstParagraph"/>
      </w:pPr>
      <w:r>
        <w:t xml:space="preserve">V rámci životního cyklu společnosti se může stát, že se společnost dostane do insolvence.</w:t>
      </w:r>
    </w:p>
    <w:p>
      <w:pPr>
        <w:pStyle w:val="BlockText"/>
      </w:pPr>
      <w:r>
        <w:rPr>
          <w:i/>
          <w:b/>
        </w:rPr>
        <w:t xml:space="preserve">TODO</w:t>
      </w:r>
      <w:r>
        <w:t xml:space="preserve">: Jak je to s likvidací?</w:t>
      </w:r>
    </w:p>
    <w:p>
      <w:pPr>
        <w:pStyle w:val="Compact"/>
        <w:numPr>
          <w:numId w:val="1218"/>
          <w:ilvl w:val="1"/>
        </w:numPr>
      </w:pPr>
      <w:r>
        <w:t xml:space="preserve">Prohlášením konkursu se přerušuje likvidace právnické osoby, končí nucená správa, a pokud insolvenční soud nerozhodne jinak, zaniká předběžné opatření, bylo-li nařízeno.</w:t>
      </w:r>
    </w:p>
    <w:p>
      <w:pPr>
        <w:pStyle w:val="Compact"/>
        <w:numPr>
          <w:numId w:val="1219"/>
          <w:ilvl w:val="1"/>
        </w:numPr>
      </w:pPr>
      <w:r>
        <w:t xml:space="preserve">Za dlužníka, který je právnickou osobou, jednají opět jeho statutární orgány nebo likvidátor, jde-li o právnickou osobu v likvidaci; přerušení likvidace právnické osoby končí.</w:t>
      </w:r>
    </w:p>
    <w:p>
      <w:pPr>
        <w:pStyle w:val="Compact"/>
        <w:numPr>
          <w:numId w:val="1220"/>
          <w:ilvl w:val="1"/>
        </w:numPr>
      </w:pPr>
      <w:r>
        <w:t xml:space="preserve">Reorganizace není přípustná, je-li dlužníkem právnická osoba v likvidaci, obchodník s cennými papíry nebo osoba oprávněná k obchodování na komoditní burze podle zvláštního právního předpisu.</w:t>
      </w:r>
    </w:p>
    <w:p>
      <w:pPr>
        <w:pStyle w:val="BlockText"/>
      </w:pPr>
      <w:r>
        <w:rPr>
          <w:i/>
          <w:b/>
        </w:rPr>
        <w:t xml:space="preserve">TODO</w:t>
      </w:r>
      <w:r>
        <w:t xml:space="preserve">: Projet ještě Konkurs a Reorganizaci v insolvenčním zákoně, zda tam nenajdu další dodatečné užitečné informace.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ec4a8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260a03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777539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6943ecd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88c83313"/>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31">
    <w:nsid w:val="b7ecb2a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23">
    <w:nsid w:val="5639bc0b"/>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502931a1"/>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31210b0d"/>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26">
    <w:nsid w:val="9c8ad252"/>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5a165aba"/>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432">
    <w:nsid w:val="76d5111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1">
    <w:nsid w:val="7a7e832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3">
    <w:nsid w:val="c045f15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2">
    <w:nsid w:val="331e487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4">
    <w:nsid w:val="8ec35918"/>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f1cfdcf4"/>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52200">
    <w:nsid w:val="ea8cf4b9"/>
    <w:multiLevelType w:val="multilevel"/>
    <w:lvl w:ilvl="0">
      <w:start w:val="200"/>
      <w:numFmt w:val="lowerRoman"/>
      <w:lvlText w:val="%1)"/>
      <w:lvlJc w:val="left"/>
      <w:pPr>
        <w:tabs>
          <w:tab w:val="num" w:pos="0"/>
        </w:tabs>
        <w:ind w:left="480" w:hanging="480"/>
      </w:pPr>
    </w:lvl>
    <w:lvl w:ilvl="1">
      <w:start w:val="200"/>
      <w:numFmt w:val="lowerRoman"/>
      <w:lvlText w:val="%2)"/>
      <w:lvlJc w:val="left"/>
      <w:pPr>
        <w:tabs>
          <w:tab w:val="num" w:pos="720"/>
        </w:tabs>
        <w:ind w:left="1200" w:hanging="480"/>
      </w:pPr>
    </w:lvl>
    <w:lvl w:ilvl="2">
      <w:start w:val="200"/>
      <w:numFmt w:val="lowerRoman"/>
      <w:lvlText w:val="%3)"/>
      <w:lvlJc w:val="left"/>
      <w:pPr>
        <w:tabs>
          <w:tab w:val="num" w:pos="1440"/>
        </w:tabs>
        <w:ind w:left="1920" w:hanging="480"/>
      </w:pPr>
    </w:lvl>
    <w:lvl w:ilvl="3">
      <w:start w:val="200"/>
      <w:numFmt w:val="lowerRoman"/>
      <w:lvlText w:val="%4)"/>
      <w:lvlJc w:val="left"/>
      <w:pPr>
        <w:tabs>
          <w:tab w:val="num" w:pos="2160"/>
        </w:tabs>
        <w:ind w:left="2640" w:hanging="480"/>
      </w:pPr>
    </w:lvl>
    <w:lvl w:ilvl="4">
      <w:start w:val="200"/>
      <w:numFmt w:val="lowerRoman"/>
      <w:lvlText w:val="%5)"/>
      <w:lvlJc w:val="left"/>
      <w:pPr>
        <w:tabs>
          <w:tab w:val="num" w:pos="2880"/>
        </w:tabs>
        <w:ind w:left="3360" w:hanging="480"/>
      </w:pPr>
    </w:lvl>
    <w:lvl w:ilvl="5">
      <w:start w:val="200"/>
      <w:numFmt w:val="lowerRoman"/>
      <w:lvlText w:val="%6)"/>
      <w:lvlJc w:val="left"/>
      <w:pPr>
        <w:tabs>
          <w:tab w:val="num" w:pos="3600"/>
        </w:tabs>
        <w:ind w:left="4080" w:hanging="480"/>
      </w:pPr>
    </w:lvl>
    <w:lvl w:ilvl="6">
      <w:start w:val="200"/>
      <w:numFmt w:val="lowerRoman"/>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1"/>
  </w:num>
  <w:num w:numId="103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1"/>
  </w:num>
  <w:num w:numId="1045">
    <w:abstractNumId w:val="991"/>
  </w:num>
  <w:num w:numId="104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9">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50">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51">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52">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53">
    <w:abstractNumId w:val="991"/>
  </w:num>
  <w:num w:numId="105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1"/>
  </w:num>
  <w:num w:numId="10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0">
    <w:abstractNumId w:val="991"/>
  </w:num>
  <w:num w:numId="1061">
    <w:abstractNumId w:val="991"/>
  </w:num>
  <w:num w:numId="1062">
    <w:abstractNumId w:val="991"/>
  </w:num>
  <w:num w:numId="106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7">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8">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1">
    <w:abstractNumId w:val="991"/>
  </w:num>
  <w:num w:numId="107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7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4">
    <w:abstractNumId w:val="991"/>
  </w:num>
  <w:num w:numId="108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8">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3">
    <w:abstractNumId w:val="991"/>
  </w:num>
  <w:num w:numId="1094">
    <w:abstractNumId w:val="991"/>
  </w:num>
  <w:num w:numId="109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1"/>
  </w:num>
  <w:num w:numId="109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0">
    <w:abstractNumId w:val="991"/>
  </w:num>
  <w:num w:numId="11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4">
    <w:abstractNumId w:val="991"/>
  </w:num>
  <w:num w:numId="110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6">
    <w:abstractNumId w:val="991"/>
  </w:num>
  <w:num w:numId="110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0">
    <w:abstractNumId w:val="991"/>
  </w:num>
  <w:num w:numId="111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4">
    <w:abstractNumId w:val="991"/>
  </w:num>
  <w:num w:numId="111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6">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7">
    <w:abstractNumId w:val="991"/>
  </w:num>
  <w:num w:numId="111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0">
    <w:abstractNumId w:val="991"/>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1"/>
  </w:num>
  <w:num w:numId="1127">
    <w:abstractNumId w:val="991"/>
  </w:num>
  <w:num w:numId="112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3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36">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37">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38">
    <w:abstractNumId w:val="991"/>
  </w:num>
  <w:num w:numId="113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0">
    <w:abstractNumId w:val="991"/>
  </w:num>
  <w:num w:numId="1141">
    <w:abstractNumId w:val="991"/>
  </w:num>
  <w:num w:numId="114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3">
    <w:abstractNumId w:val="991"/>
  </w:num>
  <w:num w:numId="114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5">
    <w:abstractNumId w:val="991"/>
  </w:num>
  <w:num w:numId="114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7">
    <w:abstractNumId w:val="991"/>
  </w:num>
  <w:num w:numId="1148">
    <w:abstractNumId w:val="991"/>
  </w:num>
  <w:num w:numId="114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1">
    <w:abstractNumId w:val="991"/>
  </w:num>
  <w:num w:numId="115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3">
    <w:abstractNumId w:val="991"/>
  </w:num>
  <w:num w:numId="115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5">
    <w:abstractNumId w:val="991"/>
  </w:num>
  <w:num w:numId="11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7">
    <w:abstractNumId w:val="991"/>
  </w:num>
  <w:num w:numId="115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9">
    <w:abstractNumId w:val="991"/>
  </w:num>
  <w:num w:numId="116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2">
    <w:abstractNumId w:val="991"/>
  </w:num>
  <w:num w:numId="116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4">
    <w:abstractNumId w:val="991"/>
  </w:num>
  <w:num w:numId="116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68">
    <w:abstractNumId w:val="991"/>
  </w:num>
  <w:num w:numId="116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7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72">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73">
    <w:abstractNumId w:val="991"/>
  </w:num>
  <w:num w:numId="1174">
    <w:abstractNumId w:val="991"/>
  </w:num>
  <w:num w:numId="1175">
    <w:abstractNumId w:val="991"/>
  </w:num>
  <w:num w:numId="11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7">
    <w:abstractNumId w:val="991"/>
  </w:num>
  <w:num w:numId="117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0">
    <w:abstractNumId w:val="991"/>
  </w:num>
  <w:num w:numId="118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84">
    <w:abstractNumId w:val="9952200"/>
    <w:lvlOverride w:ilvl="0">
      <w:startOverride w:val="200"/>
    </w:lvlOverride>
    <w:lvlOverride w:ilvl="1">
      <w:startOverride w:val="200"/>
    </w:lvlOverride>
    <w:lvlOverride w:ilvl="2">
      <w:startOverride w:val="200"/>
    </w:lvlOverride>
    <w:lvlOverride w:ilvl="3">
      <w:startOverride w:val="200"/>
    </w:lvlOverride>
    <w:lvlOverride w:ilvl="4">
      <w:startOverride w:val="200"/>
    </w:lvlOverride>
    <w:lvlOverride w:ilvl="5">
      <w:startOverride w:val="200"/>
    </w:lvlOverride>
    <w:lvlOverride w:ilvl="6">
      <w:startOverride w:val="200"/>
    </w:lvlOverride>
  </w:num>
  <w:num w:numId="118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86">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87">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188">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189">
    <w:abstractNumId w:val="991"/>
  </w:num>
  <w:num w:numId="119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9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9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5">
    <w:abstractNumId w:val="991"/>
  </w:num>
  <w:num w:numId="119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7">
    <w:abstractNumId w:val="991"/>
  </w:num>
  <w:num w:numId="119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1">
    <w:abstractNumId w:val="991"/>
  </w:num>
  <w:num w:numId="12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3">
    <w:abstractNumId w:val="991"/>
  </w:num>
  <w:num w:numId="120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6">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07">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08">
    <w:abstractNumId w:val="991"/>
  </w:num>
  <w:num w:numId="120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12">
    <w:abstractNumId w:val="991"/>
  </w:num>
  <w:num w:numId="121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16">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17">
    <w:abstractNumId w:val="991"/>
  </w:num>
  <w:num w:numId="121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ke zkoušce z předmětu Správa obchodní korporace v úpadku</dc:title>
  <dc:creator/>
  <dcterms:created xsi:type="dcterms:W3CDTF">2022-01-19T18:50:03Z</dcterms:created>
  <dcterms:modified xsi:type="dcterms:W3CDTF">2022-01-19T18:50:03Z</dcterms:modified>
</cp:coreProperties>
</file>