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 předběžného insolvenčního správce …</w:t>
      </w:r>
    </w:p>
    <w:p>
      <w:pPr>
        <w:pStyle w:val="BodyText"/>
      </w:pPr>
      <w:r>
        <w:t xml:space="preserve">§ 33 IZ</w:t>
      </w:r>
    </w:p>
    <w:p>
      <w:pPr>
        <w:pStyle w:val="BodyText"/>
      </w:pPr>
      <w:r>
        <w:t xml:space="preserve">Je-li to účelné, může insolvenční soud ustanovit insolvenčnímu správci zástupce 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 odděleného insolvenčního správce.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 zvláštního insolvenčního správce 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w:t>
      </w:r>
    </w:p>
    <w:p>
      <w:pPr>
        <w:pStyle w:val="Compact"/>
        <w:numPr>
          <w:numId w:val="1176"/>
          <w:ilvl w:val="0"/>
        </w:numPr>
      </w:pPr>
      <w:r>
        <w:t xml:space="preserve">V jakém rozsahu je povinen insolvenční správce poskytovat součinnost insolvenčnímu soudu v průběhu konkursu?</w:t>
      </w:r>
    </w:p>
    <w:p>
      <w:pPr>
        <w:pStyle w:val="Compact"/>
        <w:numPr>
          <w:numId w:val="1176"/>
          <w:ilvl w:val="0"/>
        </w:numPr>
      </w:pPr>
      <w:r>
        <w:t xml:space="preserve">Jaké následky může mít porušení povinnosti k součinnosti pro orgány dlužníka, resp. jejich členy?</w:t>
      </w:r>
    </w:p>
    <w:p>
      <w:pPr>
        <w:pStyle w:val="Compact"/>
        <w:numPr>
          <w:numId w:val="1176"/>
          <w:ilvl w:val="0"/>
        </w:numPr>
      </w:pPr>
      <w:r>
        <w:t xml:space="preserve">Jaké následky může mít porušení povinnosti k součinnosti pro insolvenčního správce?</w:t>
      </w:r>
    </w:p>
    <w:p>
      <w:pPr>
        <w:pStyle w:val="Compact"/>
        <w:numPr>
          <w:numId w:val="1176"/>
          <w:ilvl w:val="0"/>
        </w:numPr>
      </w:pPr>
      <w:r>
        <w:t xml:space="preserve">Které orgány dlužníka mají povinnost poskytovat součinnost insolvenčnímu správci v průběhu konkursu?</w:t>
      </w:r>
    </w:p>
    <w:p>
      <w:pPr>
        <w:pStyle w:val="Heading2"/>
      </w:pPr>
      <w:bookmarkStart w:id="90" w:name="oprávnění-a-součinnost-v-konkursu"/>
      <w:bookmarkEnd w:id="90"/>
      <w:r>
        <w:t xml:space="preserve">Oprávnění a součinnost v konkursu</w:t>
      </w:r>
    </w:p>
    <w:p>
      <w:pPr>
        <w:pStyle w:val="Heading3"/>
      </w:pPr>
      <w:bookmarkStart w:id="91" w:name="rozsah-oprávnění-a-součinnost-dlužníka-v-konkursu"/>
      <w:bookmarkEnd w:id="91"/>
      <w:r>
        <w:t xml:space="preserve">Rozsah oprávnění a součinnost dlužníka v konkursu</w:t>
      </w:r>
    </w:p>
    <w:p>
      <w:pPr>
        <w:pStyle w:val="Heading3"/>
      </w:pPr>
      <w:bookmarkStart w:id="92" w:name="rozsah-oprávnění-a-součinnost-insolvenčního-správce-v-konkursu"/>
      <w:bookmarkEnd w:id="92"/>
      <w:r>
        <w:t xml:space="preserve">Rozsah oprávnění a součinnost insolvenčního správce v konkursu</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178"/>
          <w:ilvl w:val="1"/>
        </w:numPr>
      </w:pPr>
      <w:r>
        <w:t xml:space="preserve">zák. č. 182/2006 Sb., o úpadku a způsobech jeho řešení (insolvenční zákon)</w:t>
      </w:r>
    </w:p>
    <w:p>
      <w:pPr>
        <w:pStyle w:val="Compact"/>
        <w:numPr>
          <w:numId w:val="1177"/>
          <w:ilvl w:val="0"/>
        </w:numPr>
      </w:pPr>
      <w:r>
        <w:t xml:space="preserve">§ 212</w:t>
      </w:r>
    </w:p>
    <w:p>
      <w:pPr>
        <w:pStyle w:val="Compact"/>
        <w:numPr>
          <w:numId w:val="1180"/>
          <w:ilvl w:val="2"/>
        </w:numPr>
      </w:pPr>
      <w:r>
        <w:t xml:space="preserve">Dlužník musí umožnit insolvenčnímu správci přístup na všechna místa, kde má umístěn majetek náležející do majetkové podstaty.</w:t>
      </w:r>
    </w:p>
    <w:p>
      <w:pPr>
        <w:pStyle w:val="Compact"/>
        <w:numPr>
          <w:numId w:val="118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82"/>
          <w:ilvl w:val="0"/>
        </w:numPr>
      </w:pPr>
      <w:r>
        <w:t xml:space="preserve">Jaká oprávnění mají orgány dlužníka v oddlužení a reorganizaci?</w:t>
      </w:r>
    </w:p>
    <w:p>
      <w:pPr>
        <w:pStyle w:val="Compact"/>
        <w:numPr>
          <w:numId w:val="1182"/>
          <w:ilvl w:val="0"/>
        </w:numPr>
      </w:pPr>
      <w:r>
        <w:t xml:space="preserve">V jakém rozsahu mají stanovenou povinnost součinnosti orgány dlužníka v oddlužení a v reorganizaci?</w:t>
      </w:r>
    </w:p>
    <w:p>
      <w:pPr>
        <w:pStyle w:val="Compact"/>
        <w:numPr>
          <w:numId w:val="1182"/>
          <w:ilvl w:val="0"/>
        </w:numPr>
      </w:pPr>
      <w:r>
        <w:t xml:space="preserve">Jaká oprávnění má insolvenční správce v oddlužení a reorganizaci?</w:t>
      </w:r>
    </w:p>
    <w:p>
      <w:pPr>
        <w:pStyle w:val="Compact"/>
        <w:numPr>
          <w:numId w:val="1182"/>
          <w:ilvl w:val="0"/>
        </w:numPr>
      </w:pPr>
      <w:r>
        <w:t xml:space="preserve">V jakém rozsahu má povinnost součinnosti insolvenční správce v oddlužení a reorganizaci?</w:t>
      </w:r>
    </w:p>
    <w:p>
      <w:pPr>
        <w:pStyle w:val="Compact"/>
        <w:numPr>
          <w:numId w:val="1182"/>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184"/>
          <w:ilvl w:val="1"/>
        </w:numPr>
      </w:pPr>
      <w:r>
        <w:t xml:space="preserve">zák. č. 182/2006 Sb., o úpadku a způsobech jeho řešení (insolvenční zákon)</w:t>
      </w:r>
    </w:p>
    <w:p>
      <w:pPr>
        <w:pStyle w:val="Compact"/>
        <w:numPr>
          <w:numId w:val="1183"/>
          <w:ilvl w:val="0"/>
        </w:numPr>
      </w:pPr>
      <w:r>
        <w:t xml:space="preserve">§ 210</w:t>
      </w:r>
    </w:p>
    <w:p>
      <w:pPr>
        <w:pStyle w:val="Compact"/>
        <w:numPr>
          <w:numId w:val="118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18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8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183"/>
          <w:ilvl w:val="0"/>
        </w:numPr>
      </w:pPr>
      <w:r>
        <w:t xml:space="preserve">§ 211</w:t>
      </w:r>
    </w:p>
    <w:p>
      <w:pPr>
        <w:pStyle w:val="Compact"/>
        <w:numPr>
          <w:numId w:val="119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19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19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183"/>
          <w:ilvl w:val="0"/>
        </w:numPr>
      </w:pPr>
      <w:r>
        <w:t xml:space="preserve">§ 212</w:t>
      </w:r>
    </w:p>
    <w:p>
      <w:pPr>
        <w:pStyle w:val="Compact"/>
        <w:numPr>
          <w:numId w:val="1195"/>
          <w:ilvl w:val="2"/>
        </w:numPr>
      </w:pPr>
      <w:r>
        <w:t xml:space="preserve">Dlužník musí umožnit insolvenčnímu správci přístup na všechna místa, kde má umístěn majetek náležející do majetkové podstaty.</w:t>
      </w:r>
    </w:p>
    <w:p>
      <w:pPr>
        <w:pStyle w:val="Compact"/>
        <w:numPr>
          <w:numId w:val="119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19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19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00"/>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01"/>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02"/>
          <w:ilvl w:val="1"/>
        </w:numPr>
      </w:pPr>
      <w:r>
        <w:t xml:space="preserve">Reorganizace není přípustná, je-li dlužníkem právnická osoba v likvidaci, obchodník s cennými papíry nebo osoba oprávněná k obchodování na komoditní burze podle zvláštního právního předpisu.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bec6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fdbe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9593c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f0f95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d1a3b5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66d7d1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a9ebbbb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2f1ef94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001c1c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6d45370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387b23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9fc72f8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cfd7c0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90c4bc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103e252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ff478c8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d2c67a9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1"/>
  </w:num>
  <w:num w:numId="11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3">
    <w:abstractNumId w:val="991"/>
  </w:num>
  <w:num w:numId="118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5">
    <w:abstractNumId w:val="991"/>
  </w:num>
  <w:num w:numId="118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0">
    <w:abstractNumId w:val="991"/>
  </w:num>
  <w:num w:numId="11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4">
    <w:abstractNumId w:val="991"/>
  </w:num>
  <w:num w:numId="11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9">
    <w:abstractNumId w:val="991"/>
  </w:num>
  <w:num w:numId="120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2022-01-19T18:03:23Z</dcterms:created>
  <dcterms:modified xsi:type="dcterms:W3CDTF">2022-01-19T18:03:23Z</dcterms:modified>
</cp:coreProperties>
</file>