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w:t>
      </w:r>
    </w:p>
    <w:p>
      <w:pPr>
        <w:pStyle w:val="Compact"/>
        <w:numPr>
          <w:numId w:val="1176"/>
          <w:ilvl w:val="0"/>
        </w:numPr>
      </w:pPr>
      <w:r>
        <w:t xml:space="preserve">V jakém rozsahu je povinen insolvenční správce poskytovat součinnost insolvenčnímu soudu v průběhu konkursu?</w:t>
      </w:r>
    </w:p>
    <w:p>
      <w:pPr>
        <w:pStyle w:val="Compact"/>
        <w:numPr>
          <w:numId w:val="1176"/>
          <w:ilvl w:val="0"/>
        </w:numPr>
      </w:pPr>
      <w:r>
        <w:t xml:space="preserve">Jaké následky může mít porušení povinnosti k součinnosti pro orgány dlužníka, resp. jejich členy?</w:t>
      </w:r>
    </w:p>
    <w:p>
      <w:pPr>
        <w:pStyle w:val="Compact"/>
        <w:numPr>
          <w:numId w:val="1176"/>
          <w:ilvl w:val="0"/>
        </w:numPr>
      </w:pPr>
      <w:r>
        <w:t xml:space="preserve">Jaké následky může mít porušení povinnosti k součinnosti pro insolvenčního správce?</w:t>
      </w:r>
    </w:p>
    <w:p>
      <w:pPr>
        <w:pStyle w:val="Compact"/>
        <w:numPr>
          <w:numId w:val="1176"/>
          <w:ilvl w:val="0"/>
        </w:numPr>
      </w:pPr>
      <w:r>
        <w:t xml:space="preserve">Které orgány dlužníka mají povinnost poskytovat součinnost insolvenčnímu správci v průběhu konkursu?</w:t>
      </w:r>
    </w:p>
    <w:p>
      <w:pPr>
        <w:pStyle w:val="Heading2"/>
      </w:pPr>
      <w:bookmarkStart w:id="90" w:name="oprávnění-a-součinnost"/>
      <w:bookmarkEnd w:id="90"/>
      <w:r>
        <w:t xml:space="preserve">Oprávnění a součinnost</w:t>
      </w:r>
    </w:p>
    <w:p>
      <w:pPr>
        <w:pStyle w:val="Compact"/>
        <w:numPr>
          <w:numId w:val="1177"/>
          <w:ilvl w:val="0"/>
        </w:numPr>
      </w:pPr>
      <w:r>
        <w:t xml:space="preserve">zák. č. 182/2006 Sb., o úpadku a způsobech jeho řešení (insolvenční zákon)</w:t>
      </w:r>
      <w:r>
        <w:br w:type="textWrapping"/>
      </w:r>
      <w:r>
        <w:t xml:space="preserve">§ 212</w:t>
      </w:r>
    </w:p>
    <w:p>
      <w:pPr>
        <w:pStyle w:val="Compact"/>
        <w:numPr>
          <w:numId w:val="1178"/>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78"/>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91" w:name="otázka-6"/>
      <w:bookmarkEnd w:id="9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79"/>
          <w:ilvl w:val="0"/>
        </w:numPr>
      </w:pPr>
      <w:r>
        <w:t xml:space="preserve">Jaká oprávnění mají orgány dlužníka v oddlužení a reorganizaci?</w:t>
      </w:r>
    </w:p>
    <w:p>
      <w:pPr>
        <w:pStyle w:val="Compact"/>
        <w:numPr>
          <w:numId w:val="1179"/>
          <w:ilvl w:val="0"/>
        </w:numPr>
      </w:pPr>
      <w:r>
        <w:t xml:space="preserve">V jakém rozsahu mají stanovenou povinnost součinnosti orgány dlužníka v oddlužení a v reorganizaci?</w:t>
      </w:r>
    </w:p>
    <w:p>
      <w:pPr>
        <w:pStyle w:val="Compact"/>
        <w:numPr>
          <w:numId w:val="1179"/>
          <w:ilvl w:val="0"/>
        </w:numPr>
      </w:pPr>
      <w:r>
        <w:t xml:space="preserve">Jaká oprávnění má insolvenční správce v oddlužení a reorganizaci?</w:t>
      </w:r>
    </w:p>
    <w:p>
      <w:pPr>
        <w:pStyle w:val="Compact"/>
        <w:numPr>
          <w:numId w:val="1179"/>
          <w:ilvl w:val="0"/>
        </w:numPr>
      </w:pPr>
      <w:r>
        <w:t xml:space="preserve">V jakém rozsahu má povinnost součinnosti insolvenční správce v oddlužení a reorganizaci?</w:t>
      </w:r>
    </w:p>
    <w:p>
      <w:pPr>
        <w:pStyle w:val="Compact"/>
        <w:numPr>
          <w:numId w:val="1179"/>
          <w:ilvl w:val="0"/>
        </w:numPr>
      </w:pPr>
      <w:r>
        <w:t xml:space="preserve">Jaké následky má porušení povinnosti orgánů dlužníka v průběhu oddlužení a reorganizace?</w:t>
      </w:r>
    </w:p>
    <w:p>
      <w:pPr>
        <w:pStyle w:val="Heading2"/>
      </w:pPr>
      <w:bookmarkStart w:id="92" w:name="oprávnění-a-součinnosti"/>
      <w:bookmarkEnd w:id="92"/>
      <w:r>
        <w:t xml:space="preserve">Oprávnění a součinnosti:</w:t>
      </w:r>
    </w:p>
    <w:p>
      <w:pPr>
        <w:pStyle w:val="Compact"/>
        <w:numPr>
          <w:numId w:val="1180"/>
          <w:ilvl w:val="0"/>
        </w:numPr>
      </w:pPr>
      <w:r>
        <w:t xml:space="preserve">zák. č. 182/2006 Sb., o úpadku a způsobech jeho řešení (insolvenční zákon)</w:t>
      </w:r>
      <w:r>
        <w:br w:type="textWrapping"/>
      </w:r>
      <w:r>
        <w:t xml:space="preserve">§ 210</w:t>
      </w:r>
    </w:p>
    <w:p>
      <w:pPr>
        <w:pStyle w:val="Compact"/>
        <w:numPr>
          <w:numId w:val="1181"/>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81"/>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81"/>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81"/>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81"/>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81"/>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81"/>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81"/>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81"/>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81"/>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81"/>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r>
        <w:br w:type="textWrapping"/>
      </w:r>
      <w:r>
        <w:t xml:space="preserve">&gt;</w:t>
      </w:r>
      <w:r>
        <w:t xml:space="preserve"> </w:t>
      </w:r>
      <w:r>
        <w:rPr>
          <w:i/>
          <w:b/>
        </w:rPr>
        <w:t xml:space="preserve">TODO</w:t>
      </w:r>
      <w:r>
        <w:t xml:space="preserve">: Jak je to s likvidací?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581b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fe00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6961d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30987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c1e120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6a6958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d62b80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d321b36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1cfc2b4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c474f3f0"/>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bf44197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80e9a8f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b3ae66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c1ba7b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7e29e2f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77e66ec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b73eab2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2022-01-19T17:50:19Z</dcterms:created>
  <dcterms:modified xsi:type="dcterms:W3CDTF">2022-01-19T17:50:19Z</dcterms:modified>
</cp:coreProperties>
</file>