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1"/>
          <w:ilvl w:val="0"/>
        </w:numPr>
      </w:pPr>
      <w:r>
        <w:t xml:space="preserve">Jak lze zjistit při správě obchodní korporace existenci hrozícího úpadku? -</w:t>
      </w:r>
      <w:r>
        <w:t xml:space="preserve"> </w:t>
      </w:r>
      <w:r>
        <w:rPr>
          <w:b/>
        </w:rPr>
        <w:t xml:space="preserve">Zodpovězeno</w:t>
      </w:r>
    </w:p>
    <w:p>
      <w:pPr>
        <w:pStyle w:val="Compact"/>
        <w:numPr>
          <w:numId w:val="1021"/>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1"/>
          <w:ilvl w:val="0"/>
        </w:numPr>
      </w:pPr>
      <w:r>
        <w:t xml:space="preserve">Jaké jsou obsahové náležitosti návrhu na moratorium? -</w:t>
      </w:r>
      <w:r>
        <w:t xml:space="preserve"> </w:t>
      </w:r>
      <w:r>
        <w:rPr>
          <w:b/>
        </w:rPr>
        <w:t xml:space="preserve">Zodpovězeno</w:t>
      </w:r>
    </w:p>
    <w:p>
      <w:pPr>
        <w:pStyle w:val="Compact"/>
        <w:numPr>
          <w:numId w:val="1021"/>
          <w:ilvl w:val="0"/>
        </w:numPr>
      </w:pPr>
      <w:r>
        <w:t xml:space="preserve">V jaké lhůtě může podat návrh na vyhlášení moratoria dlužník? - 7 dní -</w:t>
      </w:r>
      <w:r>
        <w:t xml:space="preserve"> </w:t>
      </w:r>
      <w:r>
        <w:rPr>
          <w:b/>
        </w:rPr>
        <w:t xml:space="preserve">Zodpovězeno</w:t>
      </w:r>
    </w:p>
    <w:p>
      <w:pPr>
        <w:pStyle w:val="Compact"/>
        <w:numPr>
          <w:numId w:val="1021"/>
          <w:ilvl w:val="0"/>
        </w:numPr>
      </w:pPr>
      <w:r>
        <w:t xml:space="preserve">V jaké lhůtě může podat návrh na vyhlášení moratoria věřitel? - 15 dní -</w:t>
      </w:r>
      <w:r>
        <w:t xml:space="preserve"> </w:t>
      </w:r>
      <w:r>
        <w:rPr>
          <w:b/>
        </w:rPr>
        <w:t xml:space="preserve">Zodpovězeno</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2"/>
          <w:ilvl w:val="0"/>
        </w:numPr>
      </w:pPr>
      <w:r>
        <w:t xml:space="preserve">insolvenční řízení (insolvence): soudní řízení - předmět je dlužníkův úpadek, nebo hrozící úpadek a způsob jeho řešení,</w:t>
      </w:r>
    </w:p>
    <w:p>
      <w:pPr>
        <w:pStyle w:val="Compact"/>
        <w:numPr>
          <w:numId w:val="1022"/>
          <w:ilvl w:val="0"/>
        </w:numPr>
      </w:pPr>
      <w:r>
        <w:t xml:space="preserve">insolvenční soud: soud u kterého probíhá insolvenční řízení,</w:t>
      </w:r>
    </w:p>
    <w:p>
      <w:pPr>
        <w:pStyle w:val="Compact"/>
        <w:numPr>
          <w:numId w:val="1022"/>
          <w:ilvl w:val="0"/>
        </w:numPr>
      </w:pPr>
      <w:r>
        <w:t xml:space="preserve">insolvenční návrh: jedná se o návrh na zahájení insolvenčního řízení podaný soudu,</w:t>
      </w:r>
    </w:p>
    <w:p>
      <w:pPr>
        <w:pStyle w:val="Compact"/>
        <w:numPr>
          <w:numId w:val="1022"/>
          <w:ilvl w:val="0"/>
        </w:numPr>
      </w:pPr>
      <w:r>
        <w:t xml:space="preserve">incidenční spor: spor v rámci insolvenčního řízení podle zákona, projednává ho insolvenční soud,</w:t>
      </w:r>
    </w:p>
    <w:p>
      <w:pPr>
        <w:pStyle w:val="Compact"/>
        <w:numPr>
          <w:numId w:val="1022"/>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2"/>
          <w:ilvl w:val="0"/>
        </w:numPr>
      </w:pPr>
      <w:r>
        <w:t xml:space="preserve">osoba s dispozičními oprávněními: osoba oprávněná nakládat s majetkovou podstatou,</w:t>
      </w:r>
    </w:p>
    <w:p>
      <w:pPr>
        <w:pStyle w:val="Compact"/>
        <w:numPr>
          <w:numId w:val="1022"/>
          <w:ilvl w:val="0"/>
        </w:numPr>
      </w:pPr>
      <w:r>
        <w:t xml:space="preserve">zajištěný věřitel: věřitel jehož pohledávka je zajištěna majetkem, který spadá do majetkové podstaty</w:t>
      </w:r>
    </w:p>
    <w:p>
      <w:pPr>
        <w:pStyle w:val="Compact"/>
        <w:numPr>
          <w:numId w:val="1022"/>
          <w:ilvl w:val="0"/>
        </w:numPr>
      </w:pPr>
      <w:r>
        <w:t xml:space="preserve">přihláška pohledávky: procesní úkon přihlášení pohledávky do insolvenčního řízení</w:t>
      </w:r>
    </w:p>
    <w:p>
      <w:pPr>
        <w:pStyle w:val="Compact"/>
        <w:numPr>
          <w:numId w:val="1022"/>
          <w:ilvl w:val="0"/>
        </w:numPr>
      </w:pPr>
      <w:r>
        <w:t xml:space="preserve">insolvenční rejstřík: rejstřík obsahující údaje podle insolvenčního zákona, vede ho příslušný rejstříkový soud - krajský,</w:t>
      </w:r>
    </w:p>
    <w:p>
      <w:pPr>
        <w:pStyle w:val="Compact"/>
        <w:numPr>
          <w:numId w:val="1022"/>
          <w:ilvl w:val="0"/>
        </w:numPr>
      </w:pPr>
      <w:r>
        <w:t xml:space="preserve">společný zájem věřitelů: zájem věřitelů nadřazený jejich individuálním zájmům,</w:t>
      </w:r>
    </w:p>
    <w:p>
      <w:pPr>
        <w:pStyle w:val="Compact"/>
        <w:numPr>
          <w:numId w:val="1022"/>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3"/>
          <w:ilvl w:val="0"/>
        </w:numPr>
      </w:pPr>
      <w:r>
        <w:t xml:space="preserve">platební neschopnost - FO, PO, podnikatel, - jedná se o test insolvence, test cash flow</w:t>
      </w:r>
    </w:p>
    <w:p>
      <w:pPr>
        <w:pStyle w:val="Compact"/>
        <w:numPr>
          <w:numId w:val="1023"/>
          <w:ilvl w:val="0"/>
        </w:numPr>
      </w:pPr>
      <w:r>
        <w:t xml:space="preserve">více věřitelů,</w:t>
      </w:r>
    </w:p>
    <w:p>
      <w:pPr>
        <w:pStyle w:val="Compact"/>
        <w:numPr>
          <w:numId w:val="1023"/>
          <w:ilvl w:val="0"/>
        </w:numPr>
      </w:pPr>
      <w:r>
        <w:rPr>
          <w:b/>
        </w:rPr>
        <w:t xml:space="preserve">peněžité</w:t>
      </w:r>
      <w:r>
        <w:t xml:space="preserve"> </w:t>
      </w:r>
      <w:r>
        <w:t xml:space="preserve">závazky více než 30 dní po splatnosti,</w:t>
      </w:r>
    </w:p>
    <w:p>
      <w:pPr>
        <w:pStyle w:val="Compact"/>
        <w:numPr>
          <w:numId w:val="1023"/>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3"/>
          <w:ilvl w:val="0"/>
        </w:numPr>
      </w:pPr>
      <w:r>
        <w:t xml:space="preserve">předlužení - PO, FO podnikatel, - jedná se o test předlužení, rozvahový test</w:t>
      </w:r>
    </w:p>
    <w:p>
      <w:pPr>
        <w:pStyle w:val="Compact"/>
        <w:numPr>
          <w:numId w:val="1023"/>
          <w:ilvl w:val="0"/>
        </w:numPr>
      </w:pPr>
      <w:r>
        <w:t xml:space="preserve">více věřitelů,</w:t>
      </w:r>
    </w:p>
    <w:p>
      <w:pPr>
        <w:pStyle w:val="Compact"/>
        <w:numPr>
          <w:numId w:val="1023"/>
          <w:ilvl w:val="0"/>
        </w:numPr>
      </w:pPr>
      <w:r>
        <w:t xml:space="preserve">souhrn jeho závazků (nikoli jen splatných) převyšuje hodnotu jeho majetku - hodnotí se i vzhledem k budoucímu vývoji majetku,</w:t>
      </w:r>
    </w:p>
    <w:p>
      <w:pPr>
        <w:pStyle w:val="Compact"/>
        <w:numPr>
          <w:numId w:val="1023"/>
          <w:ilvl w:val="0"/>
        </w:numPr>
      </w:pPr>
      <w:r>
        <w:t xml:space="preserve">hrozící úpadek,</w:t>
      </w:r>
    </w:p>
    <w:p>
      <w:pPr>
        <w:pStyle w:val="Compact"/>
        <w:numPr>
          <w:numId w:val="1023"/>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4"/>
          <w:ilvl w:val="0"/>
        </w:numPr>
      </w:pPr>
      <w:r>
        <w:t xml:space="preserve">zastavil platby podstatné části svých peněžitých závazků, nebo</w:t>
      </w:r>
    </w:p>
    <w:p>
      <w:pPr>
        <w:pStyle w:val="Compact"/>
        <w:numPr>
          <w:numId w:val="1024"/>
          <w:ilvl w:val="0"/>
        </w:numPr>
      </w:pPr>
      <w:r>
        <w:t xml:space="preserve">je neplní po dobu delší 3 měsíců po lhůtě splatnosti, nebo</w:t>
      </w:r>
    </w:p>
    <w:p>
      <w:pPr>
        <w:pStyle w:val="Compact"/>
        <w:numPr>
          <w:numId w:val="1024"/>
          <w:ilvl w:val="0"/>
        </w:numPr>
      </w:pPr>
      <w:r>
        <w:t xml:space="preserve">není možné dosáhnout uspokojení některé ze splatných peněžitých pohledávek vůči dlužníku výkonem rozhodnutí nebo exekucí, nebo</w:t>
      </w:r>
    </w:p>
    <w:p>
      <w:pPr>
        <w:pStyle w:val="Compact"/>
        <w:numPr>
          <w:numId w:val="1024"/>
          <w:ilvl w:val="0"/>
        </w:numPr>
      </w:pPr>
      <w:r>
        <w:t xml:space="preserve">nesplnil povinnost předložit seznamy uvedené v § 104 odst. 1, kterou mu uložil insolvenční soud - tedy předložit seznam veškerého svého majetku včetně svých pohledávek.</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5"/>
          <w:ilvl w:val="0"/>
        </w:numPr>
      </w:pPr>
      <w:r>
        <w:t xml:space="preserve">sanační:</w:t>
      </w:r>
    </w:p>
    <w:p>
      <w:pPr>
        <w:pStyle w:val="Compact"/>
        <w:numPr>
          <w:numId w:val="1025"/>
          <w:ilvl w:val="0"/>
        </w:numPr>
      </w:pPr>
      <w:r>
        <w:t xml:space="preserve">oddlužení - FO, PO nepodnikající,</w:t>
      </w:r>
    </w:p>
    <w:p>
      <w:pPr>
        <w:pStyle w:val="Compact"/>
        <w:numPr>
          <w:numId w:val="1025"/>
          <w:ilvl w:val="0"/>
        </w:numPr>
      </w:pPr>
      <w:r>
        <w:t xml:space="preserve">reorganizace - podnikatel,</w:t>
      </w:r>
    </w:p>
    <w:p>
      <w:pPr>
        <w:pStyle w:val="Compact"/>
        <w:numPr>
          <w:numId w:val="1025"/>
          <w:ilvl w:val="0"/>
        </w:numPr>
      </w:pPr>
      <w:r>
        <w:t xml:space="preserve">likvidační,</w:t>
      </w:r>
    </w:p>
    <w:p>
      <w:pPr>
        <w:pStyle w:val="Compact"/>
        <w:numPr>
          <w:numId w:val="1025"/>
          <w:ilvl w:val="0"/>
        </w:numPr>
      </w:pPr>
      <w:r>
        <w:t xml:space="preserve">konkurz - všichni a</w:t>
      </w:r>
    </w:p>
    <w:p>
      <w:pPr>
        <w:pStyle w:val="Compact"/>
        <w:numPr>
          <w:numId w:val="1025"/>
          <w:ilvl w:val="0"/>
        </w:numPr>
      </w:pPr>
      <w:r>
        <w:t xml:space="preserve">zvláštní způsoby řešení úpadku (likvidační),</w:t>
      </w:r>
    </w:p>
    <w:p>
      <w:pPr>
        <w:pStyle w:val="Compact"/>
        <w:numPr>
          <w:numId w:val="1025"/>
          <w:ilvl w:val="0"/>
        </w:numPr>
      </w:pPr>
      <w:r>
        <w:t xml:space="preserve">nepatrný konkurz - všichni,</w:t>
      </w:r>
    </w:p>
    <w:p>
      <w:pPr>
        <w:pStyle w:val="Compact"/>
        <w:numPr>
          <w:numId w:val="1025"/>
          <w:ilvl w:val="0"/>
        </w:numPr>
      </w:pPr>
      <w:r>
        <w:t xml:space="preserve">úpadek finančních institucí - finanční instituce.</w:t>
      </w:r>
    </w:p>
    <w:p>
      <w:pPr>
        <w:pStyle w:val="Heading3"/>
      </w:pPr>
      <w:bookmarkStart w:id="46" w:name="zásady-insolvenčního-práva"/>
      <w:bookmarkEnd w:id="46"/>
      <w:r>
        <w:t xml:space="preserve">Zásady insolvenčního práva</w:t>
      </w:r>
    </w:p>
    <w:p>
      <w:pPr>
        <w:pStyle w:val="Compact"/>
        <w:numPr>
          <w:numId w:val="1026"/>
          <w:ilvl w:val="0"/>
        </w:numPr>
      </w:pPr>
      <w:r>
        <w:t xml:space="preserve">Spravedlivé vyrovnání (zákaz nespravedlivého poškození, nebo zvýhodnění kteréhokoliv z věřitelů),</w:t>
      </w:r>
    </w:p>
    <w:p>
      <w:pPr>
        <w:pStyle w:val="Compact"/>
        <w:numPr>
          <w:numId w:val="1026"/>
          <w:ilvl w:val="0"/>
        </w:numPr>
      </w:pPr>
      <w:r>
        <w:t xml:space="preserve">rychlost,</w:t>
      </w:r>
    </w:p>
    <w:p>
      <w:pPr>
        <w:pStyle w:val="Compact"/>
        <w:numPr>
          <w:numId w:val="1026"/>
          <w:ilvl w:val="0"/>
        </w:numPr>
      </w:pPr>
      <w:r>
        <w:t xml:space="preserve">hospodárnost,</w:t>
      </w:r>
    </w:p>
    <w:p>
      <w:pPr>
        <w:pStyle w:val="Compact"/>
        <w:numPr>
          <w:numId w:val="1026"/>
          <w:ilvl w:val="0"/>
        </w:numPr>
      </w:pPr>
      <w:r>
        <w:t xml:space="preserve">co nejvyšší uspokojení věřitelů,</w:t>
      </w:r>
    </w:p>
    <w:p>
      <w:pPr>
        <w:pStyle w:val="Compact"/>
        <w:numPr>
          <w:numId w:val="1026"/>
          <w:ilvl w:val="0"/>
        </w:numPr>
      </w:pPr>
      <w:r>
        <w:t xml:space="preserve">rovnost věřitelů,</w:t>
      </w:r>
    </w:p>
    <w:p>
      <w:pPr>
        <w:pStyle w:val="Compact"/>
        <w:numPr>
          <w:numId w:val="1026"/>
          <w:ilvl w:val="0"/>
        </w:numPr>
      </w:pPr>
      <w:r>
        <w:t xml:space="preserve">nemožnost omezení práv nabytích v dobré víře,</w:t>
      </w:r>
    </w:p>
    <w:p>
      <w:pPr>
        <w:pStyle w:val="Compact"/>
        <w:numPr>
          <w:numId w:val="1026"/>
          <w:ilvl w:val="0"/>
        </w:numPr>
      </w:pPr>
      <w:r>
        <w:t xml:space="preserve">zákaz jednání vedoucího k uspokojení pohledávek mimo insolvenční zákon, ledaže to povoluje zákon,</w:t>
      </w:r>
    </w:p>
    <w:p>
      <w:pPr>
        <w:pStyle w:val="Compact"/>
        <w:numPr>
          <w:numId w:val="1026"/>
          <w:ilvl w:val="0"/>
        </w:numPr>
      </w:pPr>
      <w:r>
        <w:t xml:space="preserve">jednotnost - další insolvenční návrh - přistoupení k řízení,</w:t>
      </w:r>
    </w:p>
    <w:p>
      <w:pPr>
        <w:pStyle w:val="Compact"/>
        <w:numPr>
          <w:numId w:val="1026"/>
          <w:ilvl w:val="0"/>
        </w:numPr>
      </w:pPr>
      <w:r>
        <w:t xml:space="preserve">prevence úpadku,</w:t>
      </w:r>
    </w:p>
    <w:p>
      <w:pPr>
        <w:pStyle w:val="Compact"/>
        <w:numPr>
          <w:numId w:val="1026"/>
          <w:ilvl w:val="0"/>
        </w:numPr>
      </w:pPr>
      <w:r>
        <w:t xml:space="preserve">pluralita způsobů řešení úpadku,</w:t>
      </w:r>
    </w:p>
    <w:p>
      <w:pPr>
        <w:pStyle w:val="Compact"/>
        <w:numPr>
          <w:numId w:val="1026"/>
          <w:ilvl w:val="0"/>
        </w:numPr>
      </w:pPr>
      <w:r>
        <w:t xml:space="preserve">jednotnost řízení,</w:t>
      </w:r>
    </w:p>
    <w:p>
      <w:pPr>
        <w:pStyle w:val="Compact"/>
        <w:numPr>
          <w:numId w:val="1026"/>
          <w:ilvl w:val="0"/>
        </w:numPr>
      </w:pPr>
      <w:r>
        <w:t xml:space="preserve">a další, příklady:</w:t>
      </w:r>
    </w:p>
    <w:p>
      <w:pPr>
        <w:pStyle w:val="Compact"/>
        <w:numPr>
          <w:numId w:val="1026"/>
          <w:ilvl w:val="0"/>
        </w:numPr>
      </w:pPr>
      <w:r>
        <w:t xml:space="preserve">oddělení obecné a zvláštní úpravy</w:t>
      </w:r>
    </w:p>
    <w:p>
      <w:pPr>
        <w:pStyle w:val="Compact"/>
        <w:numPr>
          <w:numId w:val="1026"/>
          <w:ilvl w:val="0"/>
        </w:numPr>
      </w:pPr>
      <w:r>
        <w:t xml:space="preserve">principy, kterými se řídí insolvenční rejstřík</w:t>
      </w:r>
    </w:p>
    <w:p>
      <w:pPr>
        <w:pStyle w:val="Compact"/>
        <w:numPr>
          <w:numId w:val="1026"/>
          <w:ilvl w:val="0"/>
        </w:numPr>
      </w:pPr>
      <w:r>
        <w:t xml:space="preserve">rovnost věřitelů</w:t>
      </w:r>
    </w:p>
    <w:p>
      <w:pPr>
        <w:pStyle w:val="Compact"/>
        <w:numPr>
          <w:numId w:val="1026"/>
          <w:ilvl w:val="0"/>
        </w:numPr>
      </w:pPr>
      <w:r>
        <w:t xml:space="preserve">ochrana práv věřitelů nabytých v dobré víře</w:t>
      </w:r>
    </w:p>
    <w:p>
      <w:pPr>
        <w:pStyle w:val="Compact"/>
        <w:numPr>
          <w:numId w:val="1026"/>
          <w:ilvl w:val="0"/>
        </w:numPr>
      </w:pPr>
      <w:r>
        <w:t xml:space="preserve">kombinuje prvky nalézacího řízení a vykonávacího řízení, jakož i prvky řízení sporného a nesporného</w:t>
      </w:r>
    </w:p>
    <w:p>
      <w:pPr>
        <w:pStyle w:val="Compact"/>
        <w:numPr>
          <w:numId w:val="1026"/>
          <w:ilvl w:val="0"/>
        </w:numPr>
      </w:pPr>
      <w:r>
        <w:t xml:space="preserve">zásada hospodárnosti řízení</w:t>
      </w:r>
    </w:p>
    <w:p>
      <w:pPr>
        <w:pStyle w:val="Compact"/>
        <w:numPr>
          <w:numId w:val="1026"/>
          <w:ilvl w:val="0"/>
        </w:numPr>
      </w:pPr>
      <w:r>
        <w:t xml:space="preserve">zásada exkluzivity (výlučnosti) insolvenčního řízení</w:t>
      </w:r>
    </w:p>
    <w:p>
      <w:pPr>
        <w:pStyle w:val="Compact"/>
        <w:numPr>
          <w:numId w:val="1026"/>
          <w:ilvl w:val="0"/>
        </w:numPr>
      </w:pPr>
      <w:r>
        <w:t xml:space="preserve">zásada veřejnosti</w:t>
      </w:r>
    </w:p>
    <w:p>
      <w:pPr>
        <w:pStyle w:val="Compact"/>
        <w:numPr>
          <w:numId w:val="1026"/>
          <w:ilvl w:val="0"/>
        </w:numPr>
      </w:pPr>
      <w:r>
        <w:t xml:space="preserve">ochrana dobrých mravů</w:t>
      </w:r>
    </w:p>
    <w:p>
      <w:pPr>
        <w:pStyle w:val="Heading3"/>
      </w:pPr>
      <w:bookmarkStart w:id="47" w:name="výjimky-z-působnosti-zákona"/>
      <w:bookmarkEnd w:id="47"/>
      <w:r>
        <w:t xml:space="preserve">Výjimky z působnosti zákona</w:t>
      </w:r>
    </w:p>
    <w:p>
      <w:pPr>
        <w:pStyle w:val="Compact"/>
        <w:numPr>
          <w:numId w:val="1027"/>
          <w:ilvl w:val="0"/>
        </w:numPr>
      </w:pPr>
      <w:r>
        <w:t xml:space="preserve">stát,</w:t>
      </w:r>
    </w:p>
    <w:p>
      <w:pPr>
        <w:pStyle w:val="Compact"/>
        <w:numPr>
          <w:numId w:val="1027"/>
          <w:ilvl w:val="0"/>
        </w:numPr>
      </w:pPr>
      <w:r>
        <w:t xml:space="preserve">územní samosprávný celek,</w:t>
      </w:r>
    </w:p>
    <w:p>
      <w:pPr>
        <w:pStyle w:val="Compact"/>
        <w:numPr>
          <w:numId w:val="1027"/>
          <w:ilvl w:val="0"/>
        </w:numPr>
      </w:pPr>
      <w:r>
        <w:t xml:space="preserve">ČNB,</w:t>
      </w:r>
    </w:p>
    <w:p>
      <w:pPr>
        <w:pStyle w:val="Compact"/>
        <w:numPr>
          <w:numId w:val="1027"/>
          <w:ilvl w:val="0"/>
        </w:numPr>
      </w:pPr>
      <w:r>
        <w:t xml:space="preserve">VZP,</w:t>
      </w:r>
    </w:p>
    <w:p>
      <w:pPr>
        <w:pStyle w:val="Compact"/>
        <w:numPr>
          <w:numId w:val="1027"/>
          <w:ilvl w:val="0"/>
        </w:numPr>
      </w:pPr>
      <w:r>
        <w:t xml:space="preserve">Garanční systém finančního trhu a jím spravované fondy,</w:t>
      </w:r>
    </w:p>
    <w:p>
      <w:pPr>
        <w:pStyle w:val="Compact"/>
        <w:numPr>
          <w:numId w:val="1027"/>
          <w:ilvl w:val="0"/>
        </w:numPr>
      </w:pPr>
      <w:r>
        <w:t xml:space="preserve">Garanční fondy obchodníků se cennými papíry,</w:t>
      </w:r>
    </w:p>
    <w:p>
      <w:pPr>
        <w:pStyle w:val="Compact"/>
        <w:numPr>
          <w:numId w:val="1027"/>
          <w:ilvl w:val="0"/>
        </w:numPr>
      </w:pPr>
      <w:r>
        <w:t xml:space="preserve">veřejnou VŠ,</w:t>
      </w:r>
    </w:p>
    <w:p>
      <w:pPr>
        <w:pStyle w:val="Compact"/>
        <w:numPr>
          <w:numId w:val="1027"/>
          <w:ilvl w:val="0"/>
        </w:numPr>
      </w:pPr>
      <w:r>
        <w:t xml:space="preserve">PO pokud se stát, nebo ÚSC před zahájením IZ zaručil za její dluhy, nebo její dluhy převzal,</w:t>
      </w:r>
    </w:p>
    <w:p>
      <w:pPr>
        <w:pStyle w:val="Compact"/>
        <w:numPr>
          <w:numId w:val="1027"/>
          <w:ilvl w:val="0"/>
        </w:numPr>
      </w:pPr>
      <w:r>
        <w:t xml:space="preserve">finanční instituce po dobu co mají licenci,</w:t>
      </w:r>
    </w:p>
    <w:p>
      <w:pPr>
        <w:pStyle w:val="Compact"/>
        <w:numPr>
          <w:numId w:val="1027"/>
          <w:ilvl w:val="0"/>
        </w:numPr>
      </w:pPr>
      <w:r>
        <w:t xml:space="preserve">zdravotní pojišťovnu zřízenou podle zvláštního předpisu po dobu co mají licenci,</w:t>
      </w:r>
    </w:p>
    <w:p>
      <w:pPr>
        <w:pStyle w:val="Compact"/>
        <w:numPr>
          <w:numId w:val="1027"/>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8"/>
          <w:ilvl w:val="0"/>
        </w:numPr>
      </w:pPr>
      <w:r>
        <w:t xml:space="preserve">insolvenční soud,</w:t>
      </w:r>
    </w:p>
    <w:p>
      <w:pPr>
        <w:pStyle w:val="Compact"/>
        <w:numPr>
          <w:numId w:val="1028"/>
          <w:ilvl w:val="0"/>
        </w:numPr>
      </w:pPr>
      <w:r>
        <w:t xml:space="preserve">dlužník (účastníci řízení, vedlejší účastenství je přípustné),</w:t>
      </w:r>
    </w:p>
    <w:p>
      <w:pPr>
        <w:pStyle w:val="Compact"/>
        <w:numPr>
          <w:numId w:val="1028"/>
          <w:ilvl w:val="0"/>
        </w:numPr>
      </w:pPr>
      <w:r>
        <w:t xml:space="preserve">věřitelé, kteří uplatňují svá práva vůči dlužníku,</w:t>
      </w:r>
    </w:p>
    <w:p>
      <w:pPr>
        <w:pStyle w:val="Compact"/>
        <w:numPr>
          <w:numId w:val="1028"/>
          <w:ilvl w:val="0"/>
        </w:numPr>
      </w:pPr>
      <w:r>
        <w:t xml:space="preserve">insolvenční správce, popřípadě další správce,</w:t>
      </w:r>
    </w:p>
    <w:p>
      <w:pPr>
        <w:pStyle w:val="Compact"/>
        <w:numPr>
          <w:numId w:val="1028"/>
          <w:ilvl w:val="0"/>
        </w:numPr>
      </w:pPr>
      <w:r>
        <w:t xml:space="preserve">státní zastupitelství, které vstoupilo do insolvenčního řízení nebo do incidenčního sporu, a</w:t>
      </w:r>
    </w:p>
    <w:p>
      <w:pPr>
        <w:pStyle w:val="Compact"/>
        <w:numPr>
          <w:numId w:val="1028"/>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9"/>
          <w:ilvl w:val="0"/>
        </w:numPr>
      </w:pPr>
      <w:r>
        <w:t xml:space="preserve">schůze věřitelů - nejvyšší orgán věřitelů,</w:t>
      </w:r>
    </w:p>
    <w:p>
      <w:pPr>
        <w:pStyle w:val="Compact"/>
        <w:numPr>
          <w:numId w:val="1029"/>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9"/>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30"/>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0"/>
          <w:ilvl w:val="0"/>
        </w:numPr>
      </w:pPr>
      <w:r>
        <w:t xml:space="preserve">Návrh může podat dlužník, nebo věřitel, jde-li o hrozící úpadek, může jej podat pouze dlužník.</w:t>
      </w:r>
    </w:p>
    <w:p>
      <w:pPr>
        <w:pStyle w:val="Compact"/>
        <w:numPr>
          <w:numId w:val="1030"/>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0"/>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31"/>
          <w:ilvl w:val="0"/>
        </w:numPr>
      </w:pPr>
      <w:r>
        <w:t xml:space="preserve">pohledávky nemohou být uplatněny žalobou, lze-li je uplatnit přihláškou,</w:t>
      </w:r>
    </w:p>
    <w:p>
      <w:pPr>
        <w:pStyle w:val="Compact"/>
        <w:numPr>
          <w:numId w:val="1031"/>
          <w:ilvl w:val="0"/>
        </w:numPr>
      </w:pPr>
      <w:r>
        <w:t xml:space="preserve">uplatnění ráva ze zajištění podléha podmínkám zákonu,</w:t>
      </w:r>
    </w:p>
    <w:p>
      <w:pPr>
        <w:pStyle w:val="Compact"/>
        <w:numPr>
          <w:numId w:val="1031"/>
          <w:ilvl w:val="0"/>
        </w:numPr>
      </w:pPr>
      <w:r>
        <w:t xml:space="preserve">výkon rozhodnutí či exekuci lze nařídit nebo zahájit, nelze ji však provést (mimo případy stanovené zákonem),</w:t>
      </w:r>
    </w:p>
    <w:p>
      <w:pPr>
        <w:pStyle w:val="Compact"/>
        <w:numPr>
          <w:numId w:val="1031"/>
          <w:ilvl w:val="0"/>
        </w:numPr>
      </w:pPr>
      <w:r>
        <w:t xml:space="preserve">nakládání s majetkovou podstatou (podstatné změny) - mimo zákonem stanovené výjimky,</w:t>
      </w:r>
    </w:p>
    <w:p>
      <w:pPr>
        <w:pStyle w:val="Compact"/>
        <w:numPr>
          <w:numId w:val="1031"/>
          <w:ilvl w:val="0"/>
        </w:numPr>
      </w:pPr>
      <w:r>
        <w:t xml:space="preserve">soud může rozhodnout o předběžném opatření - například dodatečné omezení dlužníka v dispozici s majetkem náležejícím do majetkové podstaty,</w:t>
      </w:r>
    </w:p>
    <w:p>
      <w:pPr>
        <w:pStyle w:val="Compact"/>
        <w:numPr>
          <w:numId w:val="1031"/>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2"/>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2"/>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2"/>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33"/>
          <w:ilvl w:val="0"/>
        </w:numPr>
      </w:pPr>
      <w:r>
        <w:t xml:space="preserve">byl zjištěn úpadek dlužníka,</w:t>
      </w:r>
    </w:p>
    <w:p>
      <w:pPr>
        <w:pStyle w:val="Compact"/>
        <w:numPr>
          <w:numId w:val="1033"/>
          <w:ilvl w:val="0"/>
        </w:numPr>
      </w:pPr>
      <w:r>
        <w:t xml:space="preserve">nebyl zjištěn úpadek dlužníka,</w:t>
      </w:r>
    </w:p>
    <w:p>
      <w:pPr>
        <w:pStyle w:val="Compact"/>
        <w:numPr>
          <w:numId w:val="1033"/>
          <w:ilvl w:val="0"/>
        </w:numPr>
      </w:pPr>
      <w:r>
        <w:t xml:space="preserve">soud zamítne/odmítne návrh.</w:t>
      </w:r>
    </w:p>
    <w:p>
      <w:pPr>
        <w:pStyle w:val="Heading4"/>
      </w:pPr>
      <w:bookmarkStart w:id="55" w:name="účinky-spojené-s-rozhodnutím-o-úpadku"/>
      <w:bookmarkEnd w:id="55"/>
      <w:r>
        <w:t xml:space="preserve">Účinky spojené s rozhodnutím o úpadku</w:t>
      </w:r>
    </w:p>
    <w:p>
      <w:pPr>
        <w:pStyle w:val="Compact"/>
        <w:numPr>
          <w:numId w:val="1034"/>
          <w:ilvl w:val="0"/>
        </w:numPr>
      </w:pPr>
      <w:r>
        <w:t xml:space="preserve">předběžná opatření trvají, soud je však může změnit,</w:t>
      </w:r>
    </w:p>
    <w:p>
      <w:pPr>
        <w:pStyle w:val="Compact"/>
        <w:numPr>
          <w:numId w:val="1034"/>
          <w:ilvl w:val="0"/>
        </w:numPr>
      </w:pPr>
      <w:r>
        <w:t xml:space="preserve">započtení je upraveno pravidly zákony,</w:t>
      </w:r>
    </w:p>
    <w:p>
      <w:pPr>
        <w:pStyle w:val="Compact"/>
        <w:numPr>
          <w:numId w:val="1034"/>
          <w:ilvl w:val="0"/>
        </w:numPr>
      </w:pPr>
      <w:r>
        <w:t xml:space="preserve">přerušují se zákonem stanovené druhy řízení,</w:t>
      </w:r>
    </w:p>
    <w:p>
      <w:pPr>
        <w:pStyle w:val="Compact"/>
        <w:numPr>
          <w:numId w:val="1034"/>
          <w:ilvl w:val="0"/>
        </w:numPr>
      </w:pPr>
      <w:r>
        <w:t xml:space="preserve">zakazuje se vydat rozhodnutí ve stanovených druzích řízení, jako například v rozhodčím řízení,</w:t>
      </w:r>
    </w:p>
    <w:p>
      <w:pPr>
        <w:pStyle w:val="Compact"/>
        <w:numPr>
          <w:numId w:val="1034"/>
          <w:ilvl w:val="0"/>
        </w:numPr>
      </w:pPr>
      <w:r>
        <w:t xml:space="preserve">nelze zahájit nová řízení týkající se pohledávek a jiných právech týkajících se majetkové pdostaty dlužníka,</w:t>
      </w:r>
    </w:p>
    <w:p>
      <w:pPr>
        <w:pStyle w:val="Compact"/>
        <w:numPr>
          <w:numId w:val="1034"/>
          <w:ilvl w:val="0"/>
        </w:numPr>
      </w:pPr>
      <w:r>
        <w:t xml:space="preserve">nelze nařídit a zahájit výkon rozhodnutí, nebo exekuci,</w:t>
      </w:r>
    </w:p>
    <w:p>
      <w:pPr>
        <w:pStyle w:val="Compact"/>
        <w:numPr>
          <w:numId w:val="1034"/>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5"/>
          <w:ilvl w:val="0"/>
        </w:numPr>
      </w:pPr>
      <w:r>
        <w:t xml:space="preserve">odmítnutí insolvenčního návrhu pro vady nebo pro zjevnou bezdůvodnost,</w:t>
      </w:r>
    </w:p>
    <w:p>
      <w:pPr>
        <w:pStyle w:val="Compact"/>
        <w:numPr>
          <w:numId w:val="1035"/>
          <w:ilvl w:val="0"/>
        </w:numPr>
      </w:pPr>
      <w:r>
        <w:t xml:space="preserve">zastavení řízení pro nedostatek podmínky řízení, který nelze odstranit nebo který se nepodařilo odstranit, nebo pro zpětvzetí insolvenčního návrhu,</w:t>
      </w:r>
    </w:p>
    <w:p>
      <w:pPr>
        <w:pStyle w:val="Compact"/>
        <w:numPr>
          <w:numId w:val="1035"/>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6"/>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6"/>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6"/>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7"/>
          <w:ilvl w:val="0"/>
        </w:numPr>
      </w:pPr>
      <w:r>
        <w:t xml:space="preserve">přihlášené pohledávky,</w:t>
      </w:r>
    </w:p>
    <w:p>
      <w:pPr>
        <w:pStyle w:val="Compact"/>
        <w:numPr>
          <w:numId w:val="1037"/>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7"/>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39"/>
          <w:ilvl w:val="1"/>
        </w:numPr>
      </w:pPr>
      <w:r>
        <w:t xml:space="preserve">věřitelé s pohledávkami za podstatou</w:t>
      </w:r>
    </w:p>
    <w:p>
      <w:pPr>
        <w:pStyle w:val="Compact"/>
        <w:numPr>
          <w:numId w:val="1040"/>
          <w:ilvl w:val="1"/>
        </w:numPr>
      </w:pPr>
      <w:r>
        <w:t xml:space="preserve">věřitelé s nárokem na vyloučení majetku z majetkové podstaty</w:t>
      </w:r>
    </w:p>
    <w:p>
      <w:pPr>
        <w:pStyle w:val="Compact"/>
        <w:numPr>
          <w:numId w:val="1041"/>
          <w:ilvl w:val="1"/>
        </w:numPr>
      </w:pPr>
      <w:r>
        <w:t xml:space="preserve">zajištění věřitelé</w:t>
      </w:r>
    </w:p>
    <w:p>
      <w:pPr>
        <w:pStyle w:val="Compact"/>
        <w:numPr>
          <w:numId w:val="1042"/>
          <w:ilvl w:val="1"/>
        </w:numPr>
      </w:pPr>
      <w:r>
        <w:t xml:space="preserve">ostatní věřitelé</w:t>
      </w:r>
    </w:p>
    <w:p>
      <w:pPr>
        <w:pStyle w:val="Compact"/>
        <w:numPr>
          <w:numId w:val="1043"/>
          <w:ilvl w:val="1"/>
        </w:numPr>
      </w:pPr>
      <w:r>
        <w:t xml:space="preserve">věřitelé s pohledávkou zajištěnou zajištěním poskytnutým třetí osobou</w:t>
      </w:r>
    </w:p>
    <w:p>
      <w:pPr>
        <w:pStyle w:val="Compact"/>
        <w:numPr>
          <w:numId w:val="1044"/>
          <w:ilvl w:val="1"/>
        </w:numPr>
      </w:pPr>
      <w:r>
        <w:t xml:space="preserve">podřízené pohledávky</w:t>
      </w:r>
    </w:p>
    <w:p>
      <w:pPr>
        <w:pStyle w:val="Compact"/>
        <w:numPr>
          <w:numId w:val="1045"/>
          <w:ilvl w:val="1"/>
        </w:numPr>
      </w:pPr>
      <w:r>
        <w:t xml:space="preserve">vyloučené pohledávky</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47"/>
          <w:ilvl w:val="1"/>
        </w:numPr>
      </w:pPr>
      <w:r>
        <w:t xml:space="preserve">Schůze věřitelů</w:t>
      </w:r>
    </w:p>
    <w:p>
      <w:pPr>
        <w:pStyle w:val="Compact"/>
        <w:numPr>
          <w:numId w:val="1048"/>
          <w:ilvl w:val="1"/>
        </w:numPr>
      </w:pPr>
      <w:r>
        <w:t xml:space="preserve">Zpeněžování podstaty</w:t>
      </w:r>
    </w:p>
    <w:p>
      <w:pPr>
        <w:pStyle w:val="Compact"/>
        <w:numPr>
          <w:numId w:val="1049"/>
          <w:ilvl w:val="1"/>
        </w:numPr>
      </w:pPr>
      <w:r>
        <w:t xml:space="preserve">Konečná zpráva</w:t>
      </w:r>
    </w:p>
    <w:p>
      <w:pPr>
        <w:pStyle w:val="Compact"/>
        <w:numPr>
          <w:numId w:val="1050"/>
          <w:ilvl w:val="1"/>
        </w:numPr>
      </w:pPr>
      <w:r>
        <w:t xml:space="preserve">Rozvrh</w:t>
      </w:r>
    </w:p>
    <w:p>
      <w:pPr>
        <w:pStyle w:val="Compact"/>
        <w:numPr>
          <w:numId w:val="1051"/>
          <w:ilvl w:val="1"/>
        </w:numPr>
      </w:pPr>
      <w:r>
        <w:t xml:space="preserve">Zrušení konkursu</w:t>
      </w:r>
    </w:p>
    <w:p>
      <w:pPr>
        <w:pStyle w:val="Compact"/>
        <w:numPr>
          <w:numId w:val="1052"/>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53"/>
          <w:ilvl w:val="0"/>
        </w:numPr>
      </w:pPr>
      <w:r>
        <w:t xml:space="preserve">dlužníkem je fyzická osoba, která není podnikatelem, nebo,</w:t>
      </w:r>
    </w:p>
    <w:p>
      <w:pPr>
        <w:pStyle w:val="Compact"/>
        <w:numPr>
          <w:numId w:val="1053"/>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54"/>
          <w:ilvl w:val="0"/>
        </w:numPr>
      </w:pPr>
      <w:r>
        <w:t xml:space="preserve">lze-li se zřetelem ke všem okolnostem důvodně předpokládat, že jím je sledován nepoctivý záměr, nebo</w:t>
      </w:r>
    </w:p>
    <w:p>
      <w:pPr>
        <w:pStyle w:val="Compact"/>
        <w:numPr>
          <w:numId w:val="1054"/>
          <w:ilvl w:val="0"/>
        </w:numPr>
      </w:pPr>
      <w:r>
        <w:t xml:space="preserve">který znovu podala osoba, o jejímž návrhu na povolení reorganizace bylo již dříve rozhodnuto, anebo</w:t>
      </w:r>
    </w:p>
    <w:p>
      <w:pPr>
        <w:pStyle w:val="Compact"/>
        <w:numPr>
          <w:numId w:val="1054"/>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56"/>
          <w:ilvl w:val="1"/>
        </w:numPr>
      </w:pPr>
      <w:r>
        <w:t xml:space="preserve">povolení,</w:t>
      </w:r>
    </w:p>
    <w:p>
      <w:pPr>
        <w:pStyle w:val="Compact"/>
        <w:numPr>
          <w:numId w:val="1057"/>
          <w:ilvl w:val="1"/>
        </w:numPr>
      </w:pPr>
      <w:r>
        <w:t xml:space="preserve">zamítnutí– pokračuje se v insolvenčním řízení,</w:t>
      </w:r>
    </w:p>
    <w:p>
      <w:pPr>
        <w:pStyle w:val="Compact"/>
        <w:numPr>
          <w:numId w:val="1058"/>
          <w:ilvl w:val="1"/>
        </w:numPr>
      </w:pPr>
      <w:r>
        <w:t xml:space="preserve">zpětvzetí návrhu – soud vezme na vědomí a nepokračuje se v reorganizaci – pokračuje se v insolvenčním řízení,</w:t>
      </w:r>
    </w:p>
    <w:p>
      <w:pPr>
        <w:pStyle w:val="Compact"/>
        <w:numPr>
          <w:numId w:val="1059"/>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60"/>
          <w:ilvl w:val="0"/>
        </w:numPr>
      </w:pPr>
      <w:r>
        <w:t xml:space="preserve">banky a spořitelního a úvěrového družstva poté, kdy zanikla licence nebo povolení podle zvláštních právních předpisů upravujících jejich činnosti,</w:t>
      </w:r>
    </w:p>
    <w:p>
      <w:pPr>
        <w:pStyle w:val="Compact"/>
        <w:numPr>
          <w:numId w:val="1060"/>
          <w:ilvl w:val="0"/>
        </w:numPr>
      </w:pPr>
      <w:r>
        <w:t xml:space="preserve">zahraniční banky podnikající na území České republiky na základě jednotné licence podle zvláštního právního předpisu52),</w:t>
      </w:r>
    </w:p>
    <w:p>
      <w:pPr>
        <w:pStyle w:val="Compact"/>
        <w:numPr>
          <w:numId w:val="1060"/>
          <w:ilvl w:val="0"/>
        </w:numPr>
      </w:pPr>
      <w:r>
        <w:t xml:space="preserve">pobočky zahraniční banky jiné než uvedené v písmenu b),</w:t>
      </w:r>
    </w:p>
    <w:p>
      <w:pPr>
        <w:pStyle w:val="Compact"/>
        <w:numPr>
          <w:numId w:val="1060"/>
          <w:ilvl w:val="0"/>
        </w:numPr>
      </w:pPr>
      <w:r>
        <w:t xml:space="preserve">obchodníka s cennými papíry,</w:t>
      </w:r>
    </w:p>
    <w:p>
      <w:pPr>
        <w:pStyle w:val="Compact"/>
        <w:numPr>
          <w:numId w:val="1060"/>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60"/>
          <w:ilvl w:val="0"/>
        </w:numPr>
      </w:pPr>
      <w:r>
        <w:t xml:space="preserve">pobočky zahraničního obchodníka s cennými papíry jiného než uvedeného v písmenu e),</w:t>
      </w:r>
    </w:p>
    <w:p>
      <w:pPr>
        <w:pStyle w:val="Compact"/>
        <w:numPr>
          <w:numId w:val="1060"/>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61"/>
          <w:ilvl w:val="0"/>
        </w:numPr>
      </w:pPr>
      <w:r>
        <w:t xml:space="preserve">právnickou osobu, která podle zákona není považována za podnikatele a současně nemá dluhy z podnikání, nebo</w:t>
      </w:r>
    </w:p>
    <w:p>
      <w:pPr>
        <w:pStyle w:val="Compact"/>
        <w:numPr>
          <w:numId w:val="1061"/>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62"/>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62"/>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62"/>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63"/>
          <w:ilvl w:val="0"/>
        </w:numPr>
      </w:pPr>
      <w:r>
        <w:t xml:space="preserve">advokát, notář, soudní exekutor, insolvenční správce</w:t>
      </w:r>
    </w:p>
    <w:p>
      <w:pPr>
        <w:pStyle w:val="Compact"/>
        <w:numPr>
          <w:numId w:val="1063"/>
          <w:ilvl w:val="0"/>
        </w:numPr>
      </w:pPr>
      <w:r>
        <w:t xml:space="preserve">akreditovanou osobou - akreditována ministerstvem,</w:t>
      </w:r>
    </w:p>
    <w:p>
      <w:pPr>
        <w:pStyle w:val="Compact"/>
        <w:numPr>
          <w:numId w:val="1063"/>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64"/>
          <w:ilvl w:val="0"/>
        </w:numPr>
      </w:pPr>
      <w:r>
        <w:t xml:space="preserve">že jím je sledován nepoctivý záměr, nebo</w:t>
      </w:r>
    </w:p>
    <w:p>
      <w:pPr>
        <w:pStyle w:val="Compact"/>
        <w:numPr>
          <w:numId w:val="1064"/>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65"/>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65"/>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66"/>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67"/>
          <w:ilvl w:val="0"/>
        </w:numPr>
      </w:pPr>
      <w:r>
        <w:t xml:space="preserve">dlužník splatil nezajištěným věřitelům jejich pohledávky v plné výši,</w:t>
      </w:r>
    </w:p>
    <w:p>
      <w:pPr>
        <w:pStyle w:val="Compact"/>
        <w:numPr>
          <w:numId w:val="1067"/>
          <w:ilvl w:val="0"/>
        </w:numPr>
      </w:pPr>
      <w:r>
        <w:t xml:space="preserve">dlužník v době 3 let od schválení oddlužení splatil nezajištěným věřitelům alespoň 60 % jejich pohledávek,</w:t>
      </w:r>
    </w:p>
    <w:p>
      <w:pPr>
        <w:pStyle w:val="Compact"/>
        <w:numPr>
          <w:numId w:val="1067"/>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69"/>
          <w:ilvl w:val="1"/>
        </w:numPr>
      </w:pPr>
      <w:r>
        <w:t xml:space="preserve">odmítne,</w:t>
      </w:r>
    </w:p>
    <w:p>
      <w:pPr>
        <w:pStyle w:val="Compact"/>
        <w:numPr>
          <w:numId w:val="1070"/>
          <w:ilvl w:val="1"/>
        </w:numPr>
      </w:pPr>
      <w:r>
        <w:t xml:space="preserve">zamítne,</w:t>
      </w:r>
    </w:p>
    <w:p>
      <w:pPr>
        <w:pStyle w:val="Compact"/>
        <w:numPr>
          <w:numId w:val="1071"/>
          <w:ilvl w:val="1"/>
        </w:numPr>
      </w:pPr>
      <w:r>
        <w:t xml:space="preserve">vezme na vědomí zpětvzetí návrhu dlužníkem,</w:t>
      </w:r>
    </w:p>
    <w:p>
      <w:pPr>
        <w:pStyle w:val="Compact"/>
        <w:numPr>
          <w:numId w:val="1072"/>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2" w:name="insolvenční-rejstřík"/>
      <w:bookmarkEnd w:id="62"/>
      <w:r>
        <w:t xml:space="preserve">Insolvenční rejstřík:</w:t>
      </w:r>
    </w:p>
    <w:p>
      <w:pPr>
        <w:pStyle w:val="Compact"/>
        <w:numPr>
          <w:numId w:val="1073"/>
          <w:ilvl w:val="0"/>
        </w:numPr>
      </w:pPr>
      <w:r>
        <w:t xml:space="preserve">Insolvenční rejstřík je informačním systémem veřejné správy, jehož správcem je Ministerstvo spravedlnosti (dále jen "ministerstvo").</w:t>
      </w:r>
    </w:p>
    <w:p>
      <w:pPr>
        <w:pStyle w:val="Compact"/>
        <w:numPr>
          <w:numId w:val="1073"/>
          <w:ilvl w:val="0"/>
        </w:numPr>
      </w:pPr>
      <w:r>
        <w:t xml:space="preserve">Insolvenční rejstřík obsahuje seznam insolvenčních správců, seznam dlužníků a insolvenční spisy. Pro každého dlužníka se vede jeden insolvenční spis.</w:t>
      </w:r>
    </w:p>
    <w:p>
      <w:pPr>
        <w:pStyle w:val="Compact"/>
        <w:numPr>
          <w:numId w:val="1073"/>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73"/>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74"/>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74"/>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74"/>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74"/>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74"/>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74"/>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74"/>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74"/>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74"/>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74"/>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75"/>
          <w:ilvl w:val="0"/>
        </w:numPr>
      </w:pPr>
      <w:r>
        <w:t xml:space="preserve">úroky, které se staly splatné až po rozhodnutí o úpadku</w:t>
      </w:r>
    </w:p>
    <w:p>
      <w:pPr>
        <w:numPr>
          <w:numId w:val="1075"/>
          <w:ilvl w:val="0"/>
        </w:numPr>
      </w:pPr>
      <w:r>
        <w:t xml:space="preserve">náklady, které účastníkům vznikly účastí v insolvenčním řízení – př. odměna advokáta.</w:t>
      </w:r>
    </w:p>
    <w:p>
      <w:pPr>
        <w:pStyle w:val="Compact"/>
        <w:numPr>
          <w:numId w:val="1075"/>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75"/>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75"/>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75"/>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64" w:name="otázka-3"/>
      <w:bookmarkEnd w:id="64"/>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76"/>
          <w:ilvl w:val="0"/>
        </w:numPr>
      </w:pPr>
      <w:r>
        <w:t xml:space="preserve">Jak lze zjistit, že je obchodní korporace v úpadku? - Insolvenčním testem, compliance -</w:t>
      </w:r>
      <w:r>
        <w:t xml:space="preserve"> </w:t>
      </w:r>
      <w:r>
        <w:rPr>
          <w:b/>
        </w:rPr>
        <w:t xml:space="preserve">Zodpovězeno</w:t>
      </w:r>
    </w:p>
    <w:p>
      <w:pPr>
        <w:pStyle w:val="Compact"/>
        <w:numPr>
          <w:numId w:val="1076"/>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76"/>
          <w:ilvl w:val="0"/>
        </w:numPr>
      </w:pPr>
      <w:r>
        <w:t xml:space="preserve">Jaké znáte úpadkové trestné činy? -</w:t>
      </w:r>
      <w:r>
        <w:t xml:space="preserve"> </w:t>
      </w:r>
      <w:r>
        <w:rPr>
          <w:b/>
        </w:rPr>
        <w:t xml:space="preserve">Zodpovězeno</w:t>
      </w:r>
    </w:p>
    <w:p>
      <w:pPr>
        <w:pStyle w:val="Compact"/>
        <w:numPr>
          <w:numId w:val="1076"/>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76"/>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77"/>
          <w:ilvl w:val="0"/>
        </w:numPr>
      </w:pPr>
      <w:r>
        <w:t xml:space="preserve">§ 6/1 OZ - Každý má povinnost jednat v právním styku poctivě.</w:t>
      </w:r>
    </w:p>
    <w:p>
      <w:pPr>
        <w:pStyle w:val="Compact"/>
        <w:numPr>
          <w:numId w:val="1077"/>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77"/>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65" w:name="kdy-musí-podat-člen-orgánu-korporace-návrh-na-zahájení-insolvenčního-řízení"/>
      <w:bookmarkEnd w:id="65"/>
      <w:r>
        <w:t xml:space="preserve">Kdy musí podat člen orgánu korporace návrh na zahájení insolvenčního řízení:</w:t>
      </w:r>
    </w:p>
    <w:p>
      <w:pPr>
        <w:pStyle w:val="Compact"/>
        <w:numPr>
          <w:numId w:val="1079"/>
          <w:ilvl w:val="1"/>
        </w:numPr>
      </w:pPr>
      <w:r>
        <w:t xml:space="preserve">zák. č. 182/2006 Sb., o úpadku a způsobech jeho řešení (insolvenční zákon)</w:t>
      </w:r>
    </w:p>
    <w:p>
      <w:pPr>
        <w:pStyle w:val="Compact"/>
        <w:numPr>
          <w:numId w:val="1078"/>
          <w:ilvl w:val="0"/>
        </w:numPr>
      </w:pPr>
      <w:r>
        <w:t xml:space="preserve">§ 98</w:t>
      </w:r>
    </w:p>
    <w:p>
      <w:pPr>
        <w:pStyle w:val="Compact"/>
        <w:numPr>
          <w:numId w:val="1081"/>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82"/>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83"/>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66" w:name="odpovědnost-za-škodu-ručení"/>
      <w:bookmarkEnd w:id="66"/>
      <w:r>
        <w:t xml:space="preserve">Odpovědnost za škodu (ručení)</w:t>
      </w:r>
    </w:p>
    <w:p>
      <w:pPr>
        <w:pStyle w:val="Compact"/>
        <w:numPr>
          <w:numId w:val="1084"/>
          <w:ilvl w:val="0"/>
        </w:numPr>
      </w:pPr>
      <w:r>
        <w:t xml:space="preserve">§ 99</w:t>
      </w:r>
    </w:p>
    <w:p>
      <w:pPr>
        <w:pStyle w:val="Compact"/>
        <w:numPr>
          <w:numId w:val="1085"/>
          <w:ilvl w:val="1"/>
        </w:numPr>
      </w:pPr>
      <w:r>
        <w:t xml:space="preserve">Osoba, která v rozporu s ustanovením § 98 nepodala insolvenční návrh, odpovídá věřiteli za škodu nebo jinou újmu, kterou způsobí porušením této povinnosti.</w:t>
      </w:r>
    </w:p>
    <w:p>
      <w:pPr>
        <w:pStyle w:val="Compact"/>
        <w:numPr>
          <w:numId w:val="1086"/>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87"/>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84"/>
          <w:ilvl w:val="0"/>
        </w:numPr>
      </w:pPr>
      <w:r>
        <w:t xml:space="preserve">§ 53/1 ZOK</w:t>
      </w:r>
    </w:p>
    <w:p>
      <w:pPr>
        <w:pStyle w:val="Compact"/>
        <w:numPr>
          <w:numId w:val="1084"/>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67" w:name="vyloučení-člena-statutárního-orgánu"/>
      <w:bookmarkEnd w:id="67"/>
      <w:r>
        <w:t xml:space="preserve">Vyloučení člena statutárního orgánu</w:t>
      </w:r>
    </w:p>
    <w:p>
      <w:pPr>
        <w:pStyle w:val="Compact"/>
        <w:numPr>
          <w:numId w:val="1089"/>
          <w:ilvl w:val="1"/>
        </w:numPr>
      </w:pPr>
      <w:r>
        <w:t xml:space="preserve">zák. č. 90/2012 Sb., o obchodních společnostech a družstvech (zákon o obchodních korporacích)</w:t>
      </w:r>
    </w:p>
    <w:p>
      <w:pPr>
        <w:pStyle w:val="Compact"/>
        <w:numPr>
          <w:numId w:val="1088"/>
          <w:ilvl w:val="0"/>
        </w:numPr>
      </w:pPr>
      <w:r>
        <w:t xml:space="preserve">Vyloučení člena statutárního orgánu z výkonu funkce</w:t>
      </w:r>
    </w:p>
    <w:p>
      <w:pPr>
        <w:pStyle w:val="Compact"/>
        <w:numPr>
          <w:numId w:val="1088"/>
          <w:ilvl w:val="0"/>
        </w:numPr>
      </w:pPr>
      <w:r>
        <w:t xml:space="preserve">§ 63</w:t>
      </w:r>
    </w:p>
    <w:p>
      <w:pPr>
        <w:pStyle w:val="Compact"/>
        <w:numPr>
          <w:numId w:val="1091"/>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92"/>
          <w:ilvl w:val="2"/>
        </w:numPr>
      </w:pPr>
      <w:r>
        <w:t xml:space="preserve">Soud rozhodne i bez návrhu o vyloučení člena statutárního orgánu, jestliže byla tomuto členovi statutárního orgánu uložena povinnost podle § 66 odst. 1.</w:t>
      </w:r>
    </w:p>
    <w:p>
      <w:pPr>
        <w:pStyle w:val="Compact"/>
        <w:numPr>
          <w:numId w:val="1093"/>
          <w:ilvl w:val="2"/>
        </w:numPr>
      </w:pPr>
      <w:r>
        <w:t xml:space="preserve">Návrh na vydání rozhodnutí o vyloučení člena statutárního orgánu může podat každý, kdo na něm má důležitý zájem.</w:t>
      </w:r>
    </w:p>
    <w:p>
      <w:pPr>
        <w:pStyle w:val="Compact"/>
        <w:numPr>
          <w:numId w:val="1088"/>
          <w:ilvl w:val="0"/>
        </w:numPr>
      </w:pPr>
      <w:r>
        <w:t xml:space="preserve">§ 66 odst. 1</w:t>
      </w:r>
    </w:p>
    <w:p>
      <w:pPr>
        <w:pStyle w:val="Compact"/>
        <w:numPr>
          <w:numId w:val="1088"/>
          <w:ilvl w:val="0"/>
        </w:numPr>
      </w:pPr>
      <w:r>
        <w:t xml:space="preserve">Zvláštní povinnosti při úpadku obchodní korporace</w:t>
      </w:r>
    </w:p>
    <w:p>
      <w:pPr>
        <w:pStyle w:val="Compact"/>
        <w:numPr>
          <w:numId w:val="1095"/>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096"/>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097"/>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88"/>
          <w:ilvl w:val="0"/>
        </w:numPr>
      </w:pPr>
      <w:r>
        <w:t xml:space="preserve">§ 66 odst. 2, 3 ZOK</w:t>
      </w:r>
    </w:p>
    <w:p>
      <w:pPr>
        <w:pStyle w:val="Compact"/>
        <w:numPr>
          <w:numId w:val="1099"/>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00"/>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88"/>
          <w:ilvl w:val="0"/>
        </w:numPr>
      </w:pPr>
      <w:r>
        <w:t xml:space="preserve">§ 64</w:t>
      </w:r>
    </w:p>
    <w:p>
      <w:pPr>
        <w:pStyle w:val="Compact"/>
        <w:numPr>
          <w:numId w:val="1102"/>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03"/>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88"/>
          <w:ilvl w:val="0"/>
        </w:numPr>
      </w:pPr>
      <w:r>
        <w:t xml:space="preserve">§ 65</w:t>
      </w:r>
    </w:p>
    <w:p>
      <w:pPr>
        <w:pStyle w:val="Compact"/>
        <w:numPr>
          <w:numId w:val="1104"/>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68" w:name="zvláštní-povinnosti-při-úpadku-obchodní-korporace"/>
      <w:bookmarkEnd w:id="68"/>
      <w:r>
        <w:t xml:space="preserve">Zvláštní povinnosti při úpadku obchodní korporace</w:t>
      </w:r>
    </w:p>
    <w:p>
      <w:pPr>
        <w:pStyle w:val="Compact"/>
        <w:numPr>
          <w:numId w:val="1105"/>
          <w:ilvl w:val="0"/>
        </w:numPr>
      </w:pPr>
      <w:r>
        <w:t xml:space="preserve">Viz předchozí bod § 66/1 ZOK.</w:t>
      </w:r>
    </w:p>
    <w:p>
      <w:pPr>
        <w:pStyle w:val="Heading2"/>
      </w:pPr>
      <w:bookmarkStart w:id="69" w:name="trestní-odpovědnost"/>
      <w:bookmarkEnd w:id="69"/>
      <w:r>
        <w:t xml:space="preserve">Trestní odpovědnost</w:t>
      </w:r>
    </w:p>
    <w:p>
      <w:pPr>
        <w:pStyle w:val="Compact"/>
        <w:numPr>
          <w:numId w:val="1106"/>
          <w:ilvl w:val="0"/>
        </w:numPr>
      </w:pPr>
      <w:r>
        <w:t xml:space="preserve">Je řešena v rámci Trestního zákoníku 40/2009 Sb..</w:t>
      </w:r>
    </w:p>
    <w:p>
      <w:pPr>
        <w:pStyle w:val="FirstParagraph"/>
      </w:pPr>
      <w:r>
        <w:t xml:space="preserve">Trestní delikty:</w:t>
      </w:r>
    </w:p>
    <w:p>
      <w:pPr>
        <w:pStyle w:val="Compact"/>
        <w:numPr>
          <w:numId w:val="1107"/>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07"/>
          <w:ilvl w:val="0"/>
        </w:numPr>
      </w:pPr>
      <w:r>
        <w:t xml:space="preserve">zvýhodnění věřitele - zvýhodní jednoho věřitele a tím poškodí jiného - odnětí svobody na 1 léto, nebo zákaz činnosti,</w:t>
      </w:r>
    </w:p>
    <w:p>
      <w:pPr>
        <w:pStyle w:val="Compact"/>
        <w:numPr>
          <w:numId w:val="1107"/>
          <w:ilvl w:val="0"/>
        </w:numPr>
      </w:pPr>
      <w:r>
        <w:t xml:space="preserve">způsobení úpadku - kdo činí tak, že si tím přivodí úpadek - odnětí svobody na 1 léto, nebo zákaz činnosti,</w:t>
      </w:r>
    </w:p>
    <w:p>
      <w:pPr>
        <w:pStyle w:val="Compact"/>
        <w:numPr>
          <w:numId w:val="1107"/>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07"/>
          <w:ilvl w:val="0"/>
        </w:numPr>
      </w:pPr>
      <w:r>
        <w:t xml:space="preserve">pletichy v insolvenčním řízení - věřitel, úplatkářství v souvislosti s hlasováním věřitelů - odnětí svobody až na 1 rok, nebo zákaz činnosti,</w:t>
      </w:r>
    </w:p>
    <w:p>
      <w:pPr>
        <w:pStyle w:val="Compact"/>
        <w:numPr>
          <w:numId w:val="1107"/>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0" w:name="compliance"/>
      <w:bookmarkEnd w:id="70"/>
      <w:r>
        <w:t xml:space="preserve">Compliance</w:t>
      </w:r>
    </w:p>
    <w:p>
      <w:pPr>
        <w:pStyle w:val="Compact"/>
        <w:numPr>
          <w:numId w:val="1108"/>
          <w:ilvl w:val="0"/>
        </w:numPr>
      </w:pPr>
      <w:r>
        <w:t xml:space="preserve">definice,</w:t>
      </w:r>
    </w:p>
    <w:p>
      <w:pPr>
        <w:pStyle w:val="Compact"/>
        <w:numPr>
          <w:numId w:val="1108"/>
          <w:ilvl w:val="0"/>
        </w:numPr>
      </w:pPr>
      <w:r>
        <w:t xml:space="preserve">cíle,</w:t>
      </w:r>
    </w:p>
    <w:p>
      <w:pPr>
        <w:pStyle w:val="Compact"/>
        <w:numPr>
          <w:numId w:val="1108"/>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1" w:name="otázka-4"/>
      <w:bookmarkEnd w:id="71"/>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Heading1"/>
      </w:pPr>
      <w:bookmarkStart w:id="72" w:name="otázka-5"/>
      <w:bookmarkEnd w:id="72"/>
      <w:r>
        <w:t xml:space="preserve">Otázka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b98c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94f3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245c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89b24a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900e4e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5d5838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18c96b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c6ff08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48ce4ae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f8c7f0a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21">
    <w:nsid w:val="ad16ed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44edc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2a9e9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e332967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7099385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6">
    <w:abstractNumId w:val="991"/>
  </w:num>
  <w:num w:numId="10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1"/>
  </w:num>
  <w:num w:numId="108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1"/>
  </w:num>
  <w:num w:numId="108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1"/>
  </w:num>
  <w:num w:numId="10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8">
    <w:abstractNumId w:val="991"/>
  </w:num>
  <w:num w:numId="10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1">
    <w:abstractNumId w:val="991"/>
  </w:num>
  <w:num w:numId="11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2022-01-18T21:44:46Z</dcterms:created>
  <dcterms:modified xsi:type="dcterms:W3CDTF">2022-01-18T21:44:46Z</dcterms:modified>
</cp:coreProperties>
</file>