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w:t>
      </w:r>
    </w:p>
    <w:p>
      <w:pPr>
        <w:pStyle w:val="BlockText"/>
      </w:pPr>
      <w:r>
        <w:rPr>
          <w:i/>
          <w:b/>
        </w:rPr>
        <w:t xml:space="preserve">TODO:</w:t>
      </w:r>
      <w:r>
        <w:t xml:space="preserve"> </w:t>
      </w:r>
      <w:r>
        <w:t xml:space="preserve">Přidat základní organizační strukturu</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0"/>
          <w:ilvl w:val="0"/>
        </w:numPr>
      </w:pPr>
      <w:r>
        <w:t xml:space="preserve">církev,</w:t>
      </w:r>
    </w:p>
    <w:p>
      <w:pPr>
        <w:pStyle w:val="Compact"/>
        <w:numPr>
          <w:numId w:val="1010"/>
          <w:ilvl w:val="0"/>
        </w:numPr>
      </w:pPr>
      <w:r>
        <w:t xml:space="preserve">náboženská společnost,</w:t>
      </w:r>
    </w:p>
    <w:p>
      <w:pPr>
        <w:pStyle w:val="Compact"/>
        <w:numPr>
          <w:numId w:val="1010"/>
          <w:ilvl w:val="0"/>
        </w:numPr>
      </w:pPr>
      <w:r>
        <w:t xml:space="preserve">evidovaná právnická osoba,</w:t>
      </w:r>
    </w:p>
    <w:p>
      <w:pPr>
        <w:pStyle w:val="Compact"/>
        <w:numPr>
          <w:numId w:val="1010"/>
          <w:ilvl w:val="0"/>
        </w:numPr>
      </w:pPr>
      <w:r>
        <w:t xml:space="preserve">společenství vlastníků jednotek</w:t>
      </w:r>
    </w:p>
    <w:p>
      <w:pPr>
        <w:pStyle w:val="Compact"/>
        <w:numPr>
          <w:numId w:val="1010"/>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1"/>
          <w:ilvl w:val="0"/>
        </w:numPr>
      </w:pPr>
      <w:r>
        <w:t xml:space="preserve">individuální - například podnikatel FO,</w:t>
      </w:r>
    </w:p>
    <w:p>
      <w:pPr>
        <w:pStyle w:val="Compact"/>
        <w:numPr>
          <w:numId w:val="1011"/>
          <w:ilvl w:val="0"/>
        </w:numPr>
      </w:pPr>
      <w:r>
        <w:t xml:space="preserve">societní - societa dle OZ, združení, tichá společnost, tichý společník,</w:t>
      </w:r>
    </w:p>
    <w:p>
      <w:pPr>
        <w:pStyle w:val="Compact"/>
        <w:numPr>
          <w:numId w:val="1011"/>
          <w:ilvl w:val="0"/>
        </w:numPr>
      </w:pPr>
      <w:r>
        <w:t xml:space="preserve">joint ventures,</w:t>
      </w:r>
    </w:p>
    <w:p>
      <w:pPr>
        <w:pStyle w:val="Compact"/>
        <w:numPr>
          <w:numId w:val="1011"/>
          <w:ilvl w:val="0"/>
        </w:numPr>
      </w:pPr>
      <w:r>
        <w:t xml:space="preserve">osobní společnosti - v.o.s., k.s.,</w:t>
      </w:r>
    </w:p>
    <w:p>
      <w:pPr>
        <w:pStyle w:val="Compact"/>
        <w:numPr>
          <w:numId w:val="1011"/>
          <w:ilvl w:val="0"/>
        </w:numPr>
      </w:pPr>
      <w:r>
        <w:t xml:space="preserve">kapitálové společnosti - s.r.o., a.s.,</w:t>
      </w:r>
    </w:p>
    <w:p>
      <w:pPr>
        <w:pStyle w:val="Compact"/>
        <w:numPr>
          <w:numId w:val="1011"/>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2"/>
          <w:ilvl w:val="0"/>
        </w:numPr>
      </w:pPr>
      <w:r>
        <w:t xml:space="preserve">Formálního vlastníka - jedná se o konečného vlastníka, standardně někoho, kdo je zapsát v registru - společník,</w:t>
      </w:r>
    </w:p>
    <w:p>
      <w:pPr>
        <w:pStyle w:val="Compact"/>
        <w:numPr>
          <w:numId w:val="1012"/>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2"/>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3"/>
          <w:ilvl w:val="0"/>
        </w:numPr>
      </w:pPr>
      <w:r>
        <w:t xml:space="preserve">Společníků (Shareholderů - vlastní share, zájem na výkonu společnosti především kvůli zhodnocení jeho majetku)</w:t>
      </w:r>
    </w:p>
    <w:p>
      <w:pPr>
        <w:pStyle w:val="Compact"/>
        <w:numPr>
          <w:numId w:val="1013"/>
          <w:ilvl w:val="0"/>
        </w:numPr>
      </w:pPr>
      <w:r>
        <w:t xml:space="preserve">Stakeholderů (Zájem na výkon společnosti i pro ostatní důvody, než zhodnocení jejího majetku)</w:t>
      </w:r>
    </w:p>
    <w:p>
      <w:pPr>
        <w:pStyle w:val="Compact"/>
        <w:numPr>
          <w:numId w:val="1013"/>
          <w:ilvl w:val="0"/>
        </w:numPr>
      </w:pPr>
      <w:r>
        <w:t xml:space="preserve">vnitřních stakeholderů - subjekty uvnitř subjektu - zaměstnanci, manažeři a samotní shareholdeři,</w:t>
      </w:r>
    </w:p>
    <w:p>
      <w:pPr>
        <w:pStyle w:val="Compact"/>
        <w:numPr>
          <w:numId w:val="1013"/>
          <w:ilvl w:val="0"/>
        </w:numPr>
      </w:pPr>
      <w:r>
        <w:t xml:space="preserve">vnějších stakeholderů - subjekty mimo subjektu - investoři, věřitelé, zákazníci (odběratelé), dodavatelé, lidé žijící v okolí subjektu etc.</w:t>
      </w:r>
    </w:p>
    <w:p>
      <w:pPr>
        <w:pStyle w:val="Compact"/>
        <w:numPr>
          <w:numId w:val="1013"/>
          <w:ilvl w:val="0"/>
        </w:numPr>
      </w:pPr>
      <w:r>
        <w:t xml:space="preserve">Orgánů veřejné moci</w:t>
      </w:r>
    </w:p>
    <w:p>
      <w:pPr>
        <w:pStyle w:val="Compact"/>
        <w:numPr>
          <w:numId w:val="1013"/>
          <w:ilvl w:val="0"/>
        </w:numPr>
      </w:pPr>
      <w:r>
        <w:t xml:space="preserve">Věřitelů</w:t>
      </w:r>
    </w:p>
    <w:p>
      <w:pPr>
        <w:pStyle w:val="Compact"/>
        <w:numPr>
          <w:numId w:val="1013"/>
          <w:ilvl w:val="0"/>
        </w:numPr>
      </w:pPr>
      <w:r>
        <w:t xml:space="preserve">jednotlivých věřitelů</w:t>
      </w:r>
    </w:p>
    <w:p>
      <w:pPr>
        <w:pStyle w:val="Compact"/>
        <w:numPr>
          <w:numId w:val="1013"/>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4"/>
          <w:ilvl w:val="0"/>
        </w:numPr>
      </w:pPr>
      <w:r>
        <w:t xml:space="preserve">Test předlužení (rozvahový test)</w:t>
      </w:r>
    </w:p>
    <w:p>
      <w:pPr>
        <w:pStyle w:val="Compact"/>
        <w:numPr>
          <w:numId w:val="1014"/>
          <w:ilvl w:val="0"/>
        </w:numPr>
      </w:pPr>
      <w:r>
        <w:t xml:space="preserve">Test likvidity</w:t>
      </w:r>
    </w:p>
    <w:p>
      <w:pPr>
        <w:pStyle w:val="Heading3"/>
      </w:pPr>
      <w:bookmarkStart w:id="32" w:name="rozvahový-test"/>
      <w:bookmarkEnd w:id="32"/>
      <w:r>
        <w:t xml:space="preserve">Rozvahový test</w:t>
      </w:r>
    </w:p>
    <w:p>
      <w:pPr>
        <w:pStyle w:val="Heading1"/>
      </w:pPr>
      <w:bookmarkStart w:id="33" w:name="otázka-2"/>
      <w:bookmarkEnd w:id="33"/>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4" w:name="motivace-a-očekávání-při-správě-korporace"/>
      <w:bookmarkEnd w:id="34"/>
      <w:r>
        <w:t xml:space="preserve">Motivace a očekávání při správě korporace</w:t>
      </w:r>
    </w:p>
    <w:p>
      <w:pPr>
        <w:pStyle w:val="Heading2"/>
      </w:pPr>
      <w:bookmarkStart w:id="35" w:name="ex-ante-význam-insolvenčního-práva"/>
      <w:bookmarkEnd w:id="35"/>
      <w:r>
        <w:t xml:space="preserve">Ex ante význam insolvenčního práva</w:t>
      </w:r>
    </w:p>
    <w:p>
      <w:pPr>
        <w:pStyle w:val="Heading3"/>
      </w:pPr>
      <w:bookmarkStart w:id="36" w:name="co-je-insolvenční-právo"/>
      <w:bookmarkEnd w:id="36"/>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7" w:name="základní-pojmy-pro-pochopení-insolvenčního-práva"/>
      <w:bookmarkEnd w:id="37"/>
      <w:r>
        <w:t xml:space="preserve">Základní pojmy pro pochopení insolvenčního práva:</w:t>
      </w:r>
    </w:p>
    <w:p>
      <w:pPr>
        <w:pStyle w:val="Compact"/>
        <w:numPr>
          <w:numId w:val="1015"/>
          <w:ilvl w:val="0"/>
        </w:numPr>
      </w:pPr>
      <w:r>
        <w:t xml:space="preserve">insolvenční řízení (insolvence): soudní řízení - předmět je dlužníkův úpadek, nebo hrozící úpadek a způsob jeho řešení,</w:t>
      </w:r>
    </w:p>
    <w:p>
      <w:pPr>
        <w:pStyle w:val="Compact"/>
        <w:numPr>
          <w:numId w:val="1015"/>
          <w:ilvl w:val="0"/>
        </w:numPr>
      </w:pPr>
      <w:r>
        <w:t xml:space="preserve">insolvenční soud: soud u kterého probíhá insolvenční řízení,</w:t>
      </w:r>
    </w:p>
    <w:p>
      <w:pPr>
        <w:pStyle w:val="Compact"/>
        <w:numPr>
          <w:numId w:val="1015"/>
          <w:ilvl w:val="0"/>
        </w:numPr>
      </w:pPr>
      <w:r>
        <w:t xml:space="preserve">insolvenční návrh: jedná se o návrh na zahájení insolvenčního řízení podaný soudu,</w:t>
      </w:r>
    </w:p>
    <w:p>
      <w:pPr>
        <w:pStyle w:val="Compact"/>
        <w:numPr>
          <w:numId w:val="1015"/>
          <w:ilvl w:val="0"/>
        </w:numPr>
      </w:pPr>
      <w:r>
        <w:t xml:space="preserve">incidenční spor: spor v rámci insolvenčního řízení podle zákona, projednává ho insolvenční soud,</w:t>
      </w:r>
    </w:p>
    <w:p>
      <w:pPr>
        <w:pStyle w:val="Compact"/>
        <w:numPr>
          <w:numId w:val="1015"/>
          <w:ilvl w:val="0"/>
        </w:numPr>
      </w:pPr>
      <w:r>
        <w:t xml:space="preserve">majetková podstata: majetek dlužníka určený k uspokojení věřitelů,</w:t>
      </w:r>
    </w:p>
    <w:p>
      <w:pPr>
        <w:pStyle w:val="Compact"/>
        <w:numPr>
          <w:numId w:val="1015"/>
          <w:ilvl w:val="0"/>
        </w:numPr>
      </w:pPr>
      <w:r>
        <w:t xml:space="preserve">osoba s dispozičními oprávněními: osoba oprávněná nakládat s majetkovou podstatou,</w:t>
      </w:r>
    </w:p>
    <w:p>
      <w:pPr>
        <w:pStyle w:val="Compact"/>
        <w:numPr>
          <w:numId w:val="1015"/>
          <w:ilvl w:val="0"/>
        </w:numPr>
      </w:pPr>
      <w:r>
        <w:t xml:space="preserve">zajištěný věřitel: věřitel jehož pohledávka je zajištěna majetkem, který spadá do majetkové podstaty</w:t>
      </w:r>
    </w:p>
    <w:p>
      <w:pPr>
        <w:pStyle w:val="Compact"/>
        <w:numPr>
          <w:numId w:val="1015"/>
          <w:ilvl w:val="0"/>
        </w:numPr>
      </w:pPr>
      <w:r>
        <w:t xml:space="preserve">přihláška pohledávky: procesní úkon přihlášení pohledávky do insolvenčního řízení</w:t>
      </w:r>
    </w:p>
    <w:p>
      <w:pPr>
        <w:pStyle w:val="Compact"/>
        <w:numPr>
          <w:numId w:val="1015"/>
          <w:ilvl w:val="0"/>
        </w:numPr>
      </w:pPr>
      <w:r>
        <w:t xml:space="preserve">insolvenční rejstřík: rejstřík obsahující údaje podle insolvenčního zákona, vede ho příslušný rejstříkový soud - krajský,</w:t>
      </w:r>
    </w:p>
    <w:p>
      <w:pPr>
        <w:pStyle w:val="Compact"/>
        <w:numPr>
          <w:numId w:val="1015"/>
          <w:ilvl w:val="0"/>
        </w:numPr>
      </w:pPr>
      <w:r>
        <w:t xml:space="preserve">společný zájem věřitelů: zájem věřitelů nadřazený jejich individuálním zájmům,</w:t>
      </w:r>
    </w:p>
    <w:p>
      <w:pPr>
        <w:pStyle w:val="Compact"/>
        <w:numPr>
          <w:numId w:val="1015"/>
          <w:ilvl w:val="0"/>
        </w:numPr>
      </w:pPr>
      <w:r>
        <w:t xml:space="preserve">fianční instituce: banky etc., stanovené zákonem.</w:t>
      </w:r>
    </w:p>
    <w:p>
      <w:pPr>
        <w:pStyle w:val="Heading3"/>
      </w:pPr>
      <w:bookmarkStart w:id="38" w:name="co-je-to-úpadek-kdy-je-dlužník-v-úpadku"/>
      <w:bookmarkEnd w:id="38"/>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16"/>
          <w:ilvl w:val="0"/>
        </w:numPr>
      </w:pPr>
      <w:r>
        <w:t xml:space="preserve">platební neschopnost - FO, PO, podnikatel,</w:t>
      </w:r>
    </w:p>
    <w:p>
      <w:pPr>
        <w:pStyle w:val="Compact"/>
        <w:numPr>
          <w:numId w:val="1016"/>
          <w:ilvl w:val="0"/>
        </w:numPr>
      </w:pPr>
      <w:r>
        <w:t xml:space="preserve">více věřitelů,</w:t>
      </w:r>
    </w:p>
    <w:p>
      <w:pPr>
        <w:pStyle w:val="Compact"/>
        <w:numPr>
          <w:numId w:val="1016"/>
          <w:ilvl w:val="0"/>
        </w:numPr>
      </w:pPr>
      <w:r>
        <w:rPr>
          <w:b/>
        </w:rPr>
        <w:t xml:space="preserve">peněžité</w:t>
      </w:r>
      <w:r>
        <w:t xml:space="preserve"> </w:t>
      </w:r>
      <w:r>
        <w:t xml:space="preserve">závazky více než 30 dní po splatnosti,</w:t>
      </w:r>
    </w:p>
    <w:p>
      <w:pPr>
        <w:pStyle w:val="Compact"/>
        <w:numPr>
          <w:numId w:val="1016"/>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16"/>
          <w:ilvl w:val="0"/>
        </w:numPr>
      </w:pPr>
      <w:r>
        <w:t xml:space="preserve">předlužení - PO, FO podnikatel,</w:t>
      </w:r>
    </w:p>
    <w:p>
      <w:pPr>
        <w:pStyle w:val="Compact"/>
        <w:numPr>
          <w:numId w:val="1016"/>
          <w:ilvl w:val="0"/>
        </w:numPr>
      </w:pPr>
      <w:r>
        <w:t xml:space="preserve">více věřitelů,</w:t>
      </w:r>
    </w:p>
    <w:p>
      <w:pPr>
        <w:pStyle w:val="Compact"/>
        <w:numPr>
          <w:numId w:val="1016"/>
          <w:ilvl w:val="0"/>
        </w:numPr>
      </w:pPr>
      <w:r>
        <w:t xml:space="preserve">souhrn jeho závazků převyšuje hodnotu jeho majetku - hodnotí se i vzhledem k budoucímu vývoji majetku,</w:t>
      </w:r>
    </w:p>
    <w:p>
      <w:pPr>
        <w:pStyle w:val="Compact"/>
        <w:numPr>
          <w:numId w:val="1016"/>
          <w:ilvl w:val="0"/>
        </w:numPr>
      </w:pPr>
      <w:r>
        <w:t xml:space="preserve">hrozící úpadek,</w:t>
      </w:r>
    </w:p>
    <w:p>
      <w:pPr>
        <w:pStyle w:val="Compact"/>
        <w:numPr>
          <w:numId w:val="1016"/>
          <w:ilvl w:val="0"/>
        </w:numPr>
      </w:pPr>
      <w:r>
        <w:t xml:space="preserve">lze-li se zřetelem ke všem okolnostem důvodně předpokládat, že dlužník nebude schopen řádně a včas splnit podstatnou část svých peněžitých závazků.</w:t>
      </w:r>
    </w:p>
    <w:p>
      <w:pPr>
        <w:pStyle w:val="Heading4"/>
      </w:pPr>
      <w:bookmarkStart w:id="39" w:name="platební-neschopnost"/>
      <w:bookmarkEnd w:id="39"/>
      <w:r>
        <w:t xml:space="preserve">Platební neschopnost</w:t>
      </w:r>
    </w:p>
    <w:p>
      <w:pPr>
        <w:pStyle w:val="FirstParagraph"/>
      </w:pPr>
      <w:r>
        <w:t xml:space="preserve">O platební neschopnost se jedná jestliže dlužník:</w:t>
      </w:r>
    </w:p>
    <w:p>
      <w:pPr>
        <w:pStyle w:val="Compact"/>
        <w:numPr>
          <w:numId w:val="1017"/>
          <w:ilvl w:val="0"/>
        </w:numPr>
      </w:pPr>
      <w:r>
        <w:t xml:space="preserve">zastavil platby podstatné části svých peněžitých závazků, nebo</w:t>
      </w:r>
    </w:p>
    <w:p>
      <w:pPr>
        <w:pStyle w:val="Compact"/>
        <w:numPr>
          <w:numId w:val="1017"/>
          <w:ilvl w:val="0"/>
        </w:numPr>
      </w:pPr>
      <w:r>
        <w:t xml:space="preserve">je neplní po dobu delší 3 měsíců po lhůtě splatnosti, nebo</w:t>
      </w:r>
    </w:p>
    <w:p>
      <w:pPr>
        <w:pStyle w:val="Compact"/>
        <w:numPr>
          <w:numId w:val="1017"/>
          <w:ilvl w:val="0"/>
        </w:numPr>
      </w:pPr>
      <w:r>
        <w:t xml:space="preserve">není možné dosáhnout uspokojení některé ze splatných peněžitých pohledávek vůči dlužníku výkonem rozhodnutí nebo exekucí, nebo</w:t>
      </w:r>
    </w:p>
    <w:p>
      <w:pPr>
        <w:pStyle w:val="Compact"/>
        <w:numPr>
          <w:numId w:val="1017"/>
          <w:ilvl w:val="0"/>
        </w:numPr>
      </w:pPr>
      <w:r>
        <w:t xml:space="preserve">nesplnil povinnost předložit seznamy uvedené v § 104 odst. 1, kterou mu uložil insolvenční soud.</w:t>
      </w:r>
    </w:p>
    <w:p>
      <w:pPr>
        <w:pStyle w:val="Heading3"/>
      </w:pPr>
      <w:bookmarkStart w:id="40" w:name="způsoby-řešení-úpadku"/>
      <w:bookmarkEnd w:id="4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18"/>
          <w:ilvl w:val="0"/>
        </w:numPr>
      </w:pPr>
      <w:r>
        <w:t xml:space="preserve">sanační:</w:t>
      </w:r>
    </w:p>
    <w:p>
      <w:pPr>
        <w:pStyle w:val="Compact"/>
        <w:numPr>
          <w:numId w:val="1018"/>
          <w:ilvl w:val="0"/>
        </w:numPr>
      </w:pPr>
      <w:r>
        <w:t xml:space="preserve">oddlužení,</w:t>
      </w:r>
    </w:p>
    <w:p>
      <w:pPr>
        <w:pStyle w:val="Compact"/>
        <w:numPr>
          <w:numId w:val="1018"/>
          <w:ilvl w:val="0"/>
        </w:numPr>
      </w:pPr>
      <w:r>
        <w:t xml:space="preserve">reorganizace,</w:t>
      </w:r>
    </w:p>
    <w:p>
      <w:pPr>
        <w:pStyle w:val="Compact"/>
        <w:numPr>
          <w:numId w:val="1018"/>
          <w:ilvl w:val="0"/>
        </w:numPr>
      </w:pPr>
      <w:r>
        <w:t xml:space="preserve">likvidační,</w:t>
      </w:r>
    </w:p>
    <w:p>
      <w:pPr>
        <w:pStyle w:val="Compact"/>
        <w:numPr>
          <w:numId w:val="1018"/>
          <w:ilvl w:val="0"/>
        </w:numPr>
      </w:pPr>
      <w:r>
        <w:t xml:space="preserve">konkurz a</w:t>
      </w:r>
    </w:p>
    <w:p>
      <w:pPr>
        <w:pStyle w:val="Compact"/>
        <w:numPr>
          <w:numId w:val="1018"/>
          <w:ilvl w:val="0"/>
        </w:numPr>
      </w:pPr>
      <w:r>
        <w:t xml:space="preserve">zvláštní způsoby řešení úpadku,</w:t>
      </w:r>
    </w:p>
    <w:p>
      <w:pPr>
        <w:pStyle w:val="Compact"/>
        <w:numPr>
          <w:numId w:val="1018"/>
          <w:ilvl w:val="0"/>
        </w:numPr>
      </w:pPr>
      <w:r>
        <w:t xml:space="preserve">nepatrný konkurz,</w:t>
      </w:r>
    </w:p>
    <w:p>
      <w:pPr>
        <w:pStyle w:val="Compact"/>
        <w:numPr>
          <w:numId w:val="1018"/>
          <w:ilvl w:val="0"/>
        </w:numPr>
      </w:pPr>
      <w:r>
        <w:t xml:space="preserve">úpadek.</w:t>
      </w:r>
    </w:p>
    <w:p>
      <w:pPr>
        <w:pStyle w:val="Heading3"/>
      </w:pPr>
      <w:bookmarkStart w:id="41" w:name="zásady-insolvenčního-práva"/>
      <w:bookmarkEnd w:id="41"/>
      <w:r>
        <w:t xml:space="preserve">Zásady insolvenčního práva</w:t>
      </w:r>
    </w:p>
    <w:p>
      <w:pPr>
        <w:pStyle w:val="Compact"/>
        <w:numPr>
          <w:numId w:val="1019"/>
          <w:ilvl w:val="0"/>
        </w:numPr>
      </w:pPr>
      <w:r>
        <w:t xml:space="preserve">Spravedlivé vyrovnání (zákaz nespravedlivého poškození, nebo zvýhodnění kteréhokoliv z věřitelů),</w:t>
      </w:r>
    </w:p>
    <w:p>
      <w:pPr>
        <w:pStyle w:val="Compact"/>
        <w:numPr>
          <w:numId w:val="1019"/>
          <w:ilvl w:val="0"/>
        </w:numPr>
      </w:pPr>
      <w:r>
        <w:t xml:space="preserve">rychlost,</w:t>
      </w:r>
    </w:p>
    <w:p>
      <w:pPr>
        <w:pStyle w:val="Compact"/>
        <w:numPr>
          <w:numId w:val="1019"/>
          <w:ilvl w:val="0"/>
        </w:numPr>
      </w:pPr>
      <w:r>
        <w:t xml:space="preserve">hospodárnost,</w:t>
      </w:r>
    </w:p>
    <w:p>
      <w:pPr>
        <w:pStyle w:val="Compact"/>
        <w:numPr>
          <w:numId w:val="1019"/>
          <w:ilvl w:val="0"/>
        </w:numPr>
      </w:pPr>
      <w:r>
        <w:t xml:space="preserve">co nejvyšší uspokojení věřitelů,</w:t>
      </w:r>
    </w:p>
    <w:p>
      <w:pPr>
        <w:pStyle w:val="Compact"/>
        <w:numPr>
          <w:numId w:val="1019"/>
          <w:ilvl w:val="0"/>
        </w:numPr>
      </w:pPr>
      <w:r>
        <w:t xml:space="preserve">rovnost věřitelů,</w:t>
      </w:r>
    </w:p>
    <w:p>
      <w:pPr>
        <w:pStyle w:val="Compact"/>
        <w:numPr>
          <w:numId w:val="1019"/>
          <w:ilvl w:val="0"/>
        </w:numPr>
      </w:pPr>
      <w:r>
        <w:t xml:space="preserve">nemožnost omezení práv nabytích v dobré víře,</w:t>
      </w:r>
    </w:p>
    <w:p>
      <w:pPr>
        <w:pStyle w:val="Compact"/>
        <w:numPr>
          <w:numId w:val="1019"/>
          <w:ilvl w:val="0"/>
        </w:numPr>
      </w:pPr>
      <w:r>
        <w:t xml:space="preserve">zákaz jednání vedoucího k uspokojení pohledávek mimo insolvenční zákon, ledaže to povoluje zákon,</w:t>
      </w:r>
    </w:p>
    <w:p>
      <w:pPr>
        <w:pStyle w:val="Compact"/>
        <w:numPr>
          <w:numId w:val="1019"/>
          <w:ilvl w:val="0"/>
        </w:numPr>
      </w:pPr>
      <w:r>
        <w:t xml:space="preserve">jednotnost - další insolvenční návrh - přistoupení k řízení.</w:t>
      </w:r>
    </w:p>
    <w:p>
      <w:pPr>
        <w:pStyle w:val="Heading3"/>
      </w:pPr>
      <w:bookmarkStart w:id="42" w:name="výjimky-z-působnosti-zákona"/>
      <w:bookmarkEnd w:id="42"/>
      <w:r>
        <w:t xml:space="preserve">Výjimky z působnosti zákona</w:t>
      </w:r>
    </w:p>
    <w:p>
      <w:pPr>
        <w:pStyle w:val="Compact"/>
        <w:numPr>
          <w:numId w:val="1020"/>
          <w:ilvl w:val="0"/>
        </w:numPr>
      </w:pPr>
      <w:r>
        <w:t xml:space="preserve">stát,</w:t>
      </w:r>
    </w:p>
    <w:p>
      <w:pPr>
        <w:pStyle w:val="Compact"/>
        <w:numPr>
          <w:numId w:val="1020"/>
          <w:ilvl w:val="0"/>
        </w:numPr>
      </w:pPr>
      <w:r>
        <w:t xml:space="preserve">územní samosprávný celek,</w:t>
      </w:r>
    </w:p>
    <w:p>
      <w:pPr>
        <w:pStyle w:val="Compact"/>
        <w:numPr>
          <w:numId w:val="1020"/>
          <w:ilvl w:val="0"/>
        </w:numPr>
      </w:pPr>
      <w:r>
        <w:t xml:space="preserve">ČNB,</w:t>
      </w:r>
    </w:p>
    <w:p>
      <w:pPr>
        <w:pStyle w:val="Compact"/>
        <w:numPr>
          <w:numId w:val="1020"/>
          <w:ilvl w:val="0"/>
        </w:numPr>
      </w:pPr>
      <w:r>
        <w:t xml:space="preserve">VZP,</w:t>
      </w:r>
    </w:p>
    <w:p>
      <w:pPr>
        <w:pStyle w:val="Compact"/>
        <w:numPr>
          <w:numId w:val="1020"/>
          <w:ilvl w:val="0"/>
        </w:numPr>
      </w:pPr>
      <w:r>
        <w:t xml:space="preserve">Garanční systém finančního trhu a jím spravované fondy,</w:t>
      </w:r>
    </w:p>
    <w:p>
      <w:pPr>
        <w:pStyle w:val="Compact"/>
        <w:numPr>
          <w:numId w:val="1020"/>
          <w:ilvl w:val="0"/>
        </w:numPr>
      </w:pPr>
      <w:r>
        <w:t xml:space="preserve">Garanční fondy obchodníků se cennými papíry,</w:t>
      </w:r>
    </w:p>
    <w:p>
      <w:pPr>
        <w:pStyle w:val="Compact"/>
        <w:numPr>
          <w:numId w:val="1020"/>
          <w:ilvl w:val="0"/>
        </w:numPr>
      </w:pPr>
      <w:r>
        <w:t xml:space="preserve">veřejnou VŠ,</w:t>
      </w:r>
    </w:p>
    <w:p>
      <w:pPr>
        <w:pStyle w:val="Compact"/>
        <w:numPr>
          <w:numId w:val="1020"/>
          <w:ilvl w:val="0"/>
        </w:numPr>
      </w:pPr>
      <w:r>
        <w:t xml:space="preserve">PO pokud se stát, nebo ÚSC před zahájením IZ zaručil za její dluhy, nebo její dluhy převzal,</w:t>
      </w:r>
    </w:p>
    <w:p>
      <w:pPr>
        <w:pStyle w:val="Compact"/>
        <w:numPr>
          <w:numId w:val="1020"/>
          <w:ilvl w:val="0"/>
        </w:numPr>
      </w:pPr>
      <w:r>
        <w:t xml:space="preserve">finanční instituce po dobu co mají licenci,</w:t>
      </w:r>
    </w:p>
    <w:p>
      <w:pPr>
        <w:pStyle w:val="Compact"/>
        <w:numPr>
          <w:numId w:val="1020"/>
          <w:ilvl w:val="0"/>
        </w:numPr>
      </w:pPr>
      <w:r>
        <w:t xml:space="preserve">zdravotní pojišťovnu zřízenou podle zvláštního předpisu po dobu co mají licenci,</w:t>
      </w:r>
    </w:p>
    <w:p>
      <w:pPr>
        <w:pStyle w:val="Compact"/>
        <w:numPr>
          <w:numId w:val="1020"/>
          <w:ilvl w:val="0"/>
        </w:numPr>
      </w:pPr>
      <w:r>
        <w:t xml:space="preserve">politickou stranu nebo hnutí v době voleb.</w:t>
      </w:r>
    </w:p>
    <w:p>
      <w:pPr>
        <w:pStyle w:val="Heading3"/>
      </w:pPr>
      <w:bookmarkStart w:id="43" w:name="procesní-subjekty"/>
      <w:bookmarkEnd w:id="43"/>
      <w:r>
        <w:t xml:space="preserve">Procesní subjekty:</w:t>
      </w:r>
    </w:p>
    <w:p>
      <w:pPr>
        <w:pStyle w:val="FirstParagraph"/>
      </w:pPr>
      <w:r>
        <w:t xml:space="preserve">Procesními subjekty podle tohoto zákona jsou:</w:t>
      </w:r>
    </w:p>
    <w:p>
      <w:pPr>
        <w:pStyle w:val="Compact"/>
        <w:numPr>
          <w:numId w:val="1021"/>
          <w:ilvl w:val="0"/>
        </w:numPr>
      </w:pPr>
      <w:r>
        <w:t xml:space="preserve">insolvenční soud,</w:t>
      </w:r>
    </w:p>
    <w:p>
      <w:pPr>
        <w:pStyle w:val="Compact"/>
        <w:numPr>
          <w:numId w:val="1021"/>
          <w:ilvl w:val="0"/>
        </w:numPr>
      </w:pPr>
      <w:r>
        <w:t xml:space="preserve">dlužník (účastníci řízení, vedlejší účastenství je přípustné),</w:t>
      </w:r>
    </w:p>
    <w:p>
      <w:pPr>
        <w:pStyle w:val="Compact"/>
        <w:numPr>
          <w:numId w:val="1021"/>
          <w:ilvl w:val="0"/>
        </w:numPr>
      </w:pPr>
      <w:r>
        <w:t xml:space="preserve">věřitelé, kteří uplatňují svá práva vůči dlužníku,</w:t>
      </w:r>
    </w:p>
    <w:p>
      <w:pPr>
        <w:pStyle w:val="Compact"/>
        <w:numPr>
          <w:numId w:val="1021"/>
          <w:ilvl w:val="0"/>
        </w:numPr>
      </w:pPr>
      <w:r>
        <w:t xml:space="preserve">insolvenční správce, popřípadě další správce,</w:t>
      </w:r>
    </w:p>
    <w:p>
      <w:pPr>
        <w:pStyle w:val="Compact"/>
        <w:numPr>
          <w:numId w:val="1021"/>
          <w:ilvl w:val="0"/>
        </w:numPr>
      </w:pPr>
      <w:r>
        <w:t xml:space="preserve">státní zastupitelství, které vstoupilo do insolvenčního řízení nebo do incidenčního sporu, a</w:t>
      </w:r>
    </w:p>
    <w:p>
      <w:pPr>
        <w:pStyle w:val="Compact"/>
        <w:numPr>
          <w:numId w:val="1021"/>
          <w:ilvl w:val="0"/>
        </w:numPr>
      </w:pPr>
      <w:r>
        <w:t xml:space="preserve">likvidátor dlužníka.</w:t>
      </w:r>
    </w:p>
    <w:p>
      <w:pPr>
        <w:pStyle w:val="Heading3"/>
      </w:pPr>
      <w:bookmarkStart w:id="44" w:name="úvěrové-financování"/>
      <w:bookmarkEnd w:id="4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5" w:name="věřitelské-orgány"/>
      <w:bookmarkEnd w:id="45"/>
      <w:r>
        <w:t xml:space="preserve">Věřitelské orgány</w:t>
      </w:r>
    </w:p>
    <w:p>
      <w:pPr>
        <w:pStyle w:val="Compact"/>
        <w:numPr>
          <w:numId w:val="1022"/>
          <w:ilvl w:val="0"/>
        </w:numPr>
      </w:pPr>
      <w:r>
        <w:t xml:space="preserve">schůze věřitelů - nejvyšší orgán věřitelů,</w:t>
      </w:r>
    </w:p>
    <w:p>
      <w:pPr>
        <w:pStyle w:val="Compact"/>
        <w:numPr>
          <w:numId w:val="1022"/>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2"/>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6" w:name="průběh-insolvence"/>
      <w:bookmarkEnd w:id="46"/>
      <w:r>
        <w:t xml:space="preserve">Průběh insolvence</w:t>
      </w:r>
    </w:p>
    <w:p>
      <w:pPr>
        <w:pStyle w:val="Compact"/>
        <w:numPr>
          <w:numId w:val="1023"/>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3"/>
          <w:ilvl w:val="0"/>
        </w:numPr>
      </w:pPr>
      <w:r>
        <w:t xml:space="preserve">Návrh může podat dlužník, nebo věřitel, jde-li o hrozící úpadek, může jej podat pouze dlužník.</w:t>
      </w:r>
    </w:p>
    <w:p>
      <w:pPr>
        <w:pStyle w:val="Compact"/>
        <w:numPr>
          <w:numId w:val="1023"/>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3"/>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7" w:name="účinky-spojené-se-zahájením-řízení"/>
      <w:bookmarkEnd w:id="47"/>
      <w:r>
        <w:t xml:space="preserve">Účinky spojené se zahájením řízení</w:t>
      </w:r>
    </w:p>
    <w:p>
      <w:pPr>
        <w:pStyle w:val="Compact"/>
        <w:numPr>
          <w:numId w:val="1024"/>
          <w:ilvl w:val="0"/>
        </w:numPr>
      </w:pPr>
      <w:r>
        <w:t xml:space="preserve">pohledávky nemohou být uplatněny žalobou, lze-li je uplatnit přihláškou,</w:t>
      </w:r>
    </w:p>
    <w:p>
      <w:pPr>
        <w:pStyle w:val="Compact"/>
        <w:numPr>
          <w:numId w:val="1024"/>
          <w:ilvl w:val="0"/>
        </w:numPr>
      </w:pPr>
      <w:r>
        <w:t xml:space="preserve">uplatnění ráva ze zajištění podléha podmínkám zákonu,</w:t>
      </w:r>
    </w:p>
    <w:p>
      <w:pPr>
        <w:pStyle w:val="Compact"/>
        <w:numPr>
          <w:numId w:val="1024"/>
          <w:ilvl w:val="0"/>
        </w:numPr>
      </w:pPr>
      <w:r>
        <w:t xml:space="preserve">výkon rozhodnutí či exekuci lze nařídit nebo zahájit, nelze ji však provést (mimo případy stanovené zákonem),</w:t>
      </w:r>
    </w:p>
    <w:p>
      <w:pPr>
        <w:pStyle w:val="Compact"/>
        <w:numPr>
          <w:numId w:val="1024"/>
          <w:ilvl w:val="0"/>
        </w:numPr>
      </w:pPr>
      <w:r>
        <w:t xml:space="preserve">nakládání s majetkovou podstatou (podstatné změny) - mimo zákonem stanovené výjimky,</w:t>
      </w:r>
    </w:p>
    <w:p>
      <w:pPr>
        <w:pStyle w:val="Compact"/>
        <w:numPr>
          <w:numId w:val="1024"/>
          <w:ilvl w:val="0"/>
        </w:numPr>
      </w:pPr>
      <w:r>
        <w:t xml:space="preserve">soud může rozhodnout o předběžném opatření - například dodatečné omezení dlužníka v dispozici s majetkem náležejícím do majetkové podstaty,</w:t>
      </w:r>
    </w:p>
    <w:p>
      <w:pPr>
        <w:pStyle w:val="Compact"/>
        <w:numPr>
          <w:numId w:val="1024"/>
          <w:ilvl w:val="0"/>
        </w:numPr>
      </w:pPr>
      <w:r>
        <w:t xml:space="preserve">a další body.</w:t>
      </w:r>
    </w:p>
    <w:p>
      <w:pPr>
        <w:pStyle w:val="Heading4"/>
      </w:pPr>
      <w:bookmarkStart w:id="48" w:name="moratorium"/>
      <w:bookmarkEnd w:id="48"/>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25"/>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25"/>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25"/>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9" w:name="rozhodnutí-o-úpadku"/>
      <w:bookmarkEnd w:id="4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50" w:name="účinky-spojené-s-rozhodnutím-o-úpadku"/>
      <w:bookmarkEnd w:id="50"/>
      <w:r>
        <w:t xml:space="preserve">Účinky spojené s rozhodnutím o úpadku</w:t>
      </w:r>
    </w:p>
    <w:p>
      <w:pPr>
        <w:pStyle w:val="Compact"/>
        <w:numPr>
          <w:numId w:val="1026"/>
          <w:ilvl w:val="0"/>
        </w:numPr>
      </w:pPr>
      <w:r>
        <w:t xml:space="preserve">předběžná opatření trvají, soud je však může změnit,</w:t>
      </w:r>
    </w:p>
    <w:p>
      <w:pPr>
        <w:pStyle w:val="Compact"/>
        <w:numPr>
          <w:numId w:val="1026"/>
          <w:ilvl w:val="0"/>
        </w:numPr>
      </w:pPr>
      <w:r>
        <w:t xml:space="preserve">započtení je upraveno pravidly zákony,</w:t>
      </w:r>
    </w:p>
    <w:p>
      <w:pPr>
        <w:pStyle w:val="Compact"/>
        <w:numPr>
          <w:numId w:val="1026"/>
          <w:ilvl w:val="0"/>
        </w:numPr>
      </w:pPr>
      <w:r>
        <w:t xml:space="preserve">přerušují se zákonem stanovené druhy řízení,</w:t>
      </w:r>
    </w:p>
    <w:p>
      <w:pPr>
        <w:pStyle w:val="Compact"/>
        <w:numPr>
          <w:numId w:val="1026"/>
          <w:ilvl w:val="0"/>
        </w:numPr>
      </w:pPr>
      <w:r>
        <w:t xml:space="preserve">zakazuje se vydat rozhodnutí ve stanovených druzích řízení, jako například v rozhodčím řízení,</w:t>
      </w:r>
    </w:p>
    <w:p>
      <w:pPr>
        <w:pStyle w:val="Compact"/>
        <w:numPr>
          <w:numId w:val="1026"/>
          <w:ilvl w:val="0"/>
        </w:numPr>
      </w:pPr>
      <w:r>
        <w:t xml:space="preserve">nelze zahájit nová řízení týkající se pohledávek a jiných právech týkajících se majetkové pdostaty dlužníka,</w:t>
      </w:r>
    </w:p>
    <w:p>
      <w:pPr>
        <w:pStyle w:val="Compact"/>
        <w:numPr>
          <w:numId w:val="1026"/>
          <w:ilvl w:val="0"/>
        </w:numPr>
      </w:pPr>
      <w:r>
        <w:t xml:space="preserve">nelze nařídit a zahájit výkon rozhodnutí, nebo exekuci,</w:t>
      </w:r>
    </w:p>
    <w:p>
      <w:pPr>
        <w:pStyle w:val="Compact"/>
        <w:numPr>
          <w:numId w:val="1026"/>
          <w:ilvl w:val="0"/>
        </w:numPr>
      </w:pPr>
      <w:r>
        <w:t xml:space="preserve">odvolání je přípusté jenom ze strany dlužníka, pokud návrh podal věřitel.</w:t>
      </w:r>
    </w:p>
    <w:p>
      <w:pPr>
        <w:pStyle w:val="Heading4"/>
      </w:pPr>
      <w:bookmarkStart w:id="51" w:name="jiná-rozhodnutí-o-insolvenčním-návrhu"/>
      <w:bookmarkEnd w:id="5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27"/>
          <w:ilvl w:val="0"/>
        </w:numPr>
      </w:pPr>
      <w:r>
        <w:t xml:space="preserve">odmítnutí insolvenčního návrhu pro vady nebo pro zjevnou bezdůvodnost,</w:t>
      </w:r>
    </w:p>
    <w:p>
      <w:pPr>
        <w:pStyle w:val="Compact"/>
        <w:numPr>
          <w:numId w:val="1027"/>
          <w:ilvl w:val="0"/>
        </w:numPr>
      </w:pPr>
      <w:r>
        <w:t xml:space="preserve">zastavení řízení pro nedostatek podmínky řízení, který nelze odstranit nebo který se nepodařilo odstranit, nebo pro zpětvzetí insolvenčního návrhu,</w:t>
      </w:r>
    </w:p>
    <w:p>
      <w:pPr>
        <w:pStyle w:val="Compact"/>
        <w:numPr>
          <w:numId w:val="1027"/>
          <w:ilvl w:val="0"/>
        </w:numPr>
      </w:pPr>
      <w:r>
        <w:t xml:space="preserve">zamítnutí insolvenčního návrhu (rozhodnutí o tom, že dlužník není v úpadku).</w:t>
      </w:r>
    </w:p>
    <w:p>
      <w:pPr>
        <w:pStyle w:val="Heading3"/>
      </w:pPr>
      <w:bookmarkStart w:id="52" w:name="stanovení-způsobů-řešení-úpadku"/>
      <w:bookmarkEnd w:id="52"/>
      <w:r>
        <w:t xml:space="preserve">Stanovení způsobů řešení úpadku</w:t>
      </w:r>
    </w:p>
    <w:p>
      <w:pPr>
        <w:pStyle w:val="Compact"/>
        <w:numPr>
          <w:numId w:val="1028"/>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28"/>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28"/>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3" w:name="uspokojování-pohledávek-a-druhy-pohledávek"/>
      <w:bookmarkEnd w:id="5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9"/>
          <w:ilvl w:val="0"/>
        </w:numPr>
      </w:pPr>
      <w:r>
        <w:t xml:space="preserve">přihlášené pohledávky,</w:t>
      </w:r>
    </w:p>
    <w:p>
      <w:pPr>
        <w:pStyle w:val="Compact"/>
        <w:numPr>
          <w:numId w:val="1029"/>
          <w:ilvl w:val="0"/>
        </w:numPr>
      </w:pPr>
      <w:r>
        <w:t xml:space="preserve">pohledávky za majetkovou podstatou - například náhrady a odměny,</w:t>
      </w:r>
    </w:p>
    <w:p>
      <w:pPr>
        <w:pStyle w:val="Compact"/>
        <w:numPr>
          <w:numId w:val="1029"/>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4" w:name="přihlášení-pohledávek-a-jejich-uspokojení"/>
      <w:bookmarkEnd w:id="54"/>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5" w:name="přezkum-pohledávek"/>
      <w:bookmarkEnd w:id="55"/>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6" w:name="způsoby-řešení-úpadku-detailně"/>
      <w:bookmarkEnd w:id="56"/>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30"/>
          <w:ilvl w:val="0"/>
        </w:numPr>
      </w:pPr>
      <w:r>
        <w:t xml:space="preserve">dlužníkem je fyzická osoba, která není podnikatelem, nebo,</w:t>
      </w:r>
    </w:p>
    <w:p>
      <w:pPr>
        <w:pStyle w:val="Compact"/>
        <w:numPr>
          <w:numId w:val="1030"/>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31"/>
          <w:ilvl w:val="0"/>
        </w:numPr>
      </w:pPr>
      <w:r>
        <w:t xml:space="preserve">lze-li se zřetelem ke všem okolnostem důvodně předpokládat, že jím je sledován nepoctivý záměr, nebo</w:t>
      </w:r>
    </w:p>
    <w:p>
      <w:pPr>
        <w:pStyle w:val="Compact"/>
        <w:numPr>
          <w:numId w:val="1031"/>
          <w:ilvl w:val="0"/>
        </w:numPr>
      </w:pPr>
      <w:r>
        <w:t xml:space="preserve">který znovu podala osoba, o jejímž návrhu na povolení reorganizace bylo již dříve rozhodnuto, anebo</w:t>
      </w:r>
    </w:p>
    <w:p>
      <w:pPr>
        <w:pStyle w:val="Compact"/>
        <w:numPr>
          <w:numId w:val="1031"/>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32"/>
          <w:ilvl w:val="0"/>
        </w:numPr>
      </w:pPr>
      <w:r>
        <w:t xml:space="preserve">banky a spořitelního a úvěrového družstva poté, kdy zanikla licence nebo povolení podle zvláštních právních předpisů upravujících jejich činnosti,</w:t>
      </w:r>
    </w:p>
    <w:p>
      <w:pPr>
        <w:pStyle w:val="Compact"/>
        <w:numPr>
          <w:numId w:val="1032"/>
          <w:ilvl w:val="0"/>
        </w:numPr>
      </w:pPr>
      <w:r>
        <w:t xml:space="preserve">zahraniční banky podnikající na území České republiky na základě jednotné licence podle zvláštního právního předpisu52),</w:t>
      </w:r>
    </w:p>
    <w:p>
      <w:pPr>
        <w:pStyle w:val="Compact"/>
        <w:numPr>
          <w:numId w:val="1032"/>
          <w:ilvl w:val="0"/>
        </w:numPr>
      </w:pPr>
      <w:r>
        <w:t xml:space="preserve">pobočky zahraniční banky jiné než uvedené v písmenu b),</w:t>
      </w:r>
    </w:p>
    <w:p>
      <w:pPr>
        <w:pStyle w:val="Compact"/>
        <w:numPr>
          <w:numId w:val="1032"/>
          <w:ilvl w:val="0"/>
        </w:numPr>
      </w:pPr>
      <w:r>
        <w:t xml:space="preserve">obchodníka s cennými papíry,</w:t>
      </w:r>
    </w:p>
    <w:p>
      <w:pPr>
        <w:pStyle w:val="Compact"/>
        <w:numPr>
          <w:numId w:val="1032"/>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32"/>
          <w:ilvl w:val="0"/>
        </w:numPr>
      </w:pPr>
      <w:r>
        <w:t xml:space="preserve">pobočky zahraničního obchodníka s cennými papíry jiného než uvedeného v písmenu e),</w:t>
      </w:r>
    </w:p>
    <w:p>
      <w:pPr>
        <w:pStyle w:val="Compact"/>
        <w:numPr>
          <w:numId w:val="1032"/>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33"/>
          <w:ilvl w:val="0"/>
        </w:numPr>
      </w:pPr>
      <w:r>
        <w:t xml:space="preserve">právnickou osobu, která podle zákona není považována za podnikatele a současně nemá dluhy z podnikání, nebo</w:t>
      </w:r>
    </w:p>
    <w:p>
      <w:pPr>
        <w:pStyle w:val="Compact"/>
        <w:numPr>
          <w:numId w:val="1033"/>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34"/>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34"/>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34"/>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35"/>
          <w:ilvl w:val="0"/>
        </w:numPr>
      </w:pPr>
      <w:r>
        <w:t xml:space="preserve">advokát, notář, soudní exekutor, insolvenční správce</w:t>
      </w:r>
    </w:p>
    <w:p>
      <w:pPr>
        <w:pStyle w:val="Compact"/>
        <w:numPr>
          <w:numId w:val="1035"/>
          <w:ilvl w:val="0"/>
        </w:numPr>
      </w:pPr>
      <w:r>
        <w:t xml:space="preserve">akreditovanou osobou - akreditována ministerstvem,</w:t>
      </w:r>
    </w:p>
    <w:p>
      <w:pPr>
        <w:pStyle w:val="Compact"/>
        <w:numPr>
          <w:numId w:val="1035"/>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36"/>
          <w:ilvl w:val="0"/>
        </w:numPr>
      </w:pPr>
      <w:r>
        <w:t xml:space="preserve">že jím je sledován nepoctivý záměr, nebo</w:t>
      </w:r>
    </w:p>
    <w:p>
      <w:pPr>
        <w:pStyle w:val="Compact"/>
        <w:numPr>
          <w:numId w:val="1036"/>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37"/>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37"/>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38"/>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39"/>
          <w:ilvl w:val="0"/>
        </w:numPr>
      </w:pPr>
      <w:r>
        <w:t xml:space="preserve">dlužník splatil nezajištěným věřitelům jejich pohledávky v plné výši,</w:t>
      </w:r>
    </w:p>
    <w:p>
      <w:pPr>
        <w:pStyle w:val="Compact"/>
        <w:numPr>
          <w:numId w:val="1039"/>
          <w:ilvl w:val="0"/>
        </w:numPr>
      </w:pPr>
      <w:r>
        <w:t xml:space="preserve">dlužník v době 3 let od schválení oddlužení splatil nezajištěným věřitelům alespoň 60 % jejich pohledávek,</w:t>
      </w:r>
    </w:p>
    <w:p>
      <w:pPr>
        <w:pStyle w:val="Compact"/>
        <w:numPr>
          <w:numId w:val="1039"/>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Heading2"/>
      </w:pPr>
      <w:bookmarkStart w:id="57" w:name="insolvenční-rejstřík"/>
      <w:bookmarkEnd w:id="57"/>
      <w:r>
        <w:t xml:space="preserve">Insolvenční rejstřík:</w:t>
      </w:r>
    </w:p>
    <w:p>
      <w:pPr>
        <w:pStyle w:val="Compact"/>
        <w:numPr>
          <w:numId w:val="1040"/>
          <w:ilvl w:val="0"/>
        </w:numPr>
      </w:pPr>
      <w:r>
        <w:t xml:space="preserve">Insolvenční rejstřík je informačním systémem veřejné správy, jehož správcem je Ministerstvo spravedlnosti (dále jen "ministerstvo").</w:t>
      </w:r>
    </w:p>
    <w:p>
      <w:pPr>
        <w:pStyle w:val="Compact"/>
        <w:numPr>
          <w:numId w:val="1040"/>
          <w:ilvl w:val="0"/>
        </w:numPr>
      </w:pPr>
      <w:r>
        <w:t xml:space="preserve">Insolvenční rejstřík obsahuje seznam insolvenčních správců, seznam dlužníků a insolvenční spisy. Pro každého dlužníka se vede jeden insolvenční spis.</w:t>
      </w:r>
    </w:p>
    <w:p>
      <w:pPr>
        <w:pStyle w:val="Compact"/>
        <w:numPr>
          <w:numId w:val="1040"/>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40"/>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58" w:name="slovníček-insolvenčních-pojmů"/>
      <w:bookmarkEnd w:id="58"/>
      <w:r>
        <w:t xml:space="preserve">Slovníček insolvenčních pojmů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e61d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c11e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2f293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2022-01-18T13:41:29Z</dcterms:created>
  <dcterms:modified xsi:type="dcterms:W3CDTF">2022-01-18T13:41:29Z</dcterms:modified>
</cp:coreProperties>
</file>