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 -</w:t>
      </w:r>
      <w:r>
        <w:t xml:space="preserve"> </w:t>
      </w:r>
      <w:r>
        <w:rPr>
          <w:b/>
        </w:rPr>
        <w:t xml:space="preserve">OK</w:t>
      </w:r>
    </w:p>
    <w:p>
      <w:pPr>
        <w:pStyle w:val="Compact"/>
        <w:numPr>
          <w:numId w:val="1001"/>
          <w:ilvl w:val="0"/>
        </w:numPr>
      </w:pPr>
      <w:r>
        <w:t xml:space="preserve">Fiskální situace států západní civilizace, včetně ČR -</w:t>
      </w:r>
      <w:r>
        <w:t xml:space="preserve"> </w:t>
      </w:r>
      <w:r>
        <w:rPr>
          <w:b/>
        </w:rPr>
        <w:t xml:space="preserve">OK</w:t>
      </w:r>
    </w:p>
    <w:p>
      <w:pPr>
        <w:pStyle w:val="Compact"/>
        <w:numPr>
          <w:numId w:val="1001"/>
          <w:ilvl w:val="0"/>
        </w:numPr>
      </w:pPr>
      <w:r>
        <w:t xml:space="preserve">Druhy daní; přehled daňového systému České republiky -</w:t>
      </w:r>
      <w:r>
        <w:t xml:space="preserve"> </w:t>
      </w:r>
      <w:r>
        <w:rPr>
          <w:b/>
        </w:rPr>
        <w:t xml:space="preserve">OK</w:t>
      </w:r>
    </w:p>
    <w:p>
      <w:pPr>
        <w:pStyle w:val="Compact"/>
        <w:numPr>
          <w:numId w:val="1001"/>
          <w:ilvl w:val="0"/>
        </w:numPr>
      </w:pPr>
      <w:r>
        <w:t xml:space="preserve">Základní pojmy – předmět daně, základ daně, zdaňovací období, subjekt daně -</w:t>
      </w:r>
      <w:r>
        <w:t xml:space="preserve"> </w:t>
      </w:r>
      <w:r>
        <w:rPr>
          <w:b/>
        </w:rPr>
        <w:t xml:space="preserve">OK</w:t>
      </w:r>
    </w:p>
    <w:p>
      <w:pPr>
        <w:pStyle w:val="Compact"/>
        <w:numPr>
          <w:numId w:val="1001"/>
          <w:ilvl w:val="0"/>
        </w:numPr>
      </w:pPr>
      <w:r>
        <w:t xml:space="preserve">Daně z příjmů – charakteristika -</w:t>
      </w:r>
      <w:r>
        <w:t xml:space="preserve"> </w:t>
      </w:r>
      <w:r>
        <w:rPr>
          <w:b/>
        </w:rPr>
        <w:t xml:space="preserve">OK</w:t>
      </w:r>
    </w:p>
    <w:p>
      <w:pPr>
        <w:pStyle w:val="Compact"/>
        <w:numPr>
          <w:numId w:val="1001"/>
          <w:ilvl w:val="0"/>
        </w:numPr>
      </w:pPr>
      <w:r>
        <w:t xml:space="preserve">Pojem příjmu, skutečného příjmu, zdánlivého příjmu -</w:t>
      </w:r>
      <w:r>
        <w:t xml:space="preserve"> </w:t>
      </w:r>
      <w:r>
        <w:rPr>
          <w:b/>
        </w:rPr>
        <w:t xml:space="preserve">OK</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 -</w:t>
      </w:r>
      <w:r>
        <w:t xml:space="preserve"> </w:t>
      </w:r>
      <w:r>
        <w:rPr>
          <w:b/>
        </w:rPr>
        <w:t xml:space="preserve">OK</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w:t>
      </w:r>
    </w:p>
    <w:p>
      <w:pPr>
        <w:pStyle w:val="Compact"/>
        <w:numPr>
          <w:numId w:val="1001"/>
          <w:ilvl w:val="0"/>
        </w:numPr>
      </w:pPr>
      <w:r>
        <w:t xml:space="preserve">Daňový režim při úmrtí daňového subjektu – daň z příjmů fyzických osob, DPH, ostatní daně (dědická aj.)</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w:t>
      </w:r>
    </w:p>
    <w:p>
      <w:pPr>
        <w:pStyle w:val="Compact"/>
        <w:numPr>
          <w:numId w:val="1001"/>
          <w:ilvl w:val="0"/>
        </w:numPr>
      </w:pPr>
      <w:r>
        <w:t xml:space="preserve">Mezinárodní zdanění – pojem, charakteristika; dohody o zamezení dvojímu zdanění</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 -</w:t>
      </w:r>
      <w:r>
        <w:t xml:space="preserve"> </w:t>
      </w:r>
      <w:r>
        <w:rPr>
          <w:b/>
        </w:rPr>
        <w:t xml:space="preserve">OK</w:t>
      </w:r>
    </w:p>
    <w:p>
      <w:pPr>
        <w:pStyle w:val="Compact"/>
        <w:numPr>
          <w:numId w:val="1001"/>
          <w:ilvl w:val="0"/>
        </w:numPr>
      </w:pPr>
      <w:r>
        <w:t xml:space="preserve">Právo EU a daně – jakých daní se dotýká, jak se projevuje; přímý a nepřímý účinek -</w:t>
      </w:r>
      <w:r>
        <w:t xml:space="preserve"> </w:t>
      </w:r>
      <w:r>
        <w:rPr>
          <w:b/>
        </w:rPr>
        <w:t xml:space="preserve">OK</w:t>
      </w:r>
    </w:p>
    <w:p>
      <w:pPr>
        <w:pStyle w:val="Compact"/>
        <w:numPr>
          <w:numId w:val="1001"/>
          <w:ilvl w:val="0"/>
        </w:numPr>
      </w:pPr>
      <w:r>
        <w:t xml:space="preserve">Pojem zneužití práva, praktické případy -</w:t>
      </w:r>
      <w:r>
        <w:t xml:space="preserve"> </w:t>
      </w:r>
      <w:r>
        <w:rPr>
          <w:b/>
        </w:rPr>
        <w:t xml:space="preserve">OK</w:t>
      </w:r>
    </w:p>
    <w:p>
      <w:pPr>
        <w:pStyle w:val="Compact"/>
        <w:numPr>
          <w:numId w:val="1001"/>
          <w:ilvl w:val="0"/>
        </w:numPr>
      </w:pPr>
      <w:r>
        <w:t xml:space="preserve">Daňové tvrzení, důkazní břemeno v daňovém řízení -</w:t>
      </w:r>
      <w:r>
        <w:t xml:space="preserve"> </w:t>
      </w:r>
      <w:r>
        <w:rPr>
          <w:b/>
        </w:rPr>
        <w:t xml:space="preserve">OK</w:t>
      </w:r>
    </w:p>
    <w:p>
      <w:pPr>
        <w:pStyle w:val="Compact"/>
        <w:numPr>
          <w:numId w:val="1001"/>
          <w:ilvl w:val="0"/>
        </w:numPr>
      </w:pPr>
      <w:r>
        <w:t xml:space="preserve">Daňová kontrola a jiné instituty pro zjišťování a prověřování daňové povinnosti</w:t>
      </w:r>
    </w:p>
    <w:p>
      <w:pPr>
        <w:pStyle w:val="Compact"/>
        <w:numPr>
          <w:numId w:val="1001"/>
          <w:ilvl w:val="0"/>
        </w:numPr>
      </w:pPr>
      <w:r>
        <w:t xml:space="preserve">Dokazování v daňovém řízení -</w:t>
      </w:r>
      <w:r>
        <w:t xml:space="preserve"> </w:t>
      </w:r>
      <w:r>
        <w:rPr>
          <w:b/>
        </w:rPr>
        <w:t xml:space="preserve">OK</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BodyText"/>
      </w:pPr>
      <w:r>
        <w:t xml:space="preserve">výdaj danová povinnost základ daně</w:t>
      </w:r>
    </w:p>
    <w:p>
      <w:pPr>
        <w:pStyle w:val="BodyText"/>
      </w:pPr>
      <w:r>
        <w:t xml:space="preserve">aktiva dlouhodobý hmotný majetek</w:t>
      </w:r>
    </w:p>
    <w:p>
      <w:pPr>
        <w:pStyle w:val="BodyText"/>
      </w:pPr>
      <w:r>
        <w:t xml:space="preserve">aktiva pasiva</w:t>
      </w:r>
    </w:p>
    <w:p>
      <w:pPr>
        <w:pStyle w:val="BodyText"/>
      </w:pPr>
      <w:r>
        <w:t xml:space="preserve">daňová závěrka</w:t>
      </w:r>
    </w:p>
    <w:p>
      <w:pPr>
        <w:pStyle w:val="BodyText"/>
      </w:pPr>
      <w:r>
        <w:t xml:space="preserve">jsou oprávky a odpisy v rozvaze, nebo kde?</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spojené-osoby-a-ceny-mezi-nimi-sjednané-z-hlediska-daní-z-příjmů"/>
      <w:bookmarkEnd w:id="87"/>
      <w:r>
        <w:t xml:space="preserve">9. Spojené osoby a ceny mezi nimi sjednané z hlediska daní z příjmů</w:t>
      </w:r>
    </w:p>
    <w:p>
      <w:pPr>
        <w:pStyle w:val="FirstParagraph"/>
      </w:pPr>
      <w:r>
        <w:t xml:space="preserve">TBD</w:t>
      </w:r>
    </w:p>
    <w:p>
      <w:pPr>
        <w:pStyle w:val="Heading2"/>
      </w:pPr>
      <w:bookmarkStart w:id="88" w:name="pojem-švarcsystému-a-problémy-s-ním-spojené"/>
      <w:bookmarkEnd w:id="88"/>
      <w:r>
        <w:t xml:space="preserve">10. Pojem „švarcsystému“ a problémy s ním spojené</w:t>
      </w:r>
    </w:p>
    <w:p>
      <w:pPr>
        <w:pStyle w:val="FirstParagraph"/>
      </w:pPr>
      <w:r>
        <w:t xml:space="preserve">TBD</w:t>
      </w:r>
    </w:p>
    <w:p>
      <w:pPr>
        <w:pStyle w:val="Heading2"/>
      </w:pPr>
      <w:bookmarkStart w:id="89" w:name="daňový-režim-při-úmrtí-daňového-subjektu-daň-z-příjmů-fyzických-osob-dph-ostatní-daně-dědická-aj."/>
      <w:bookmarkEnd w:id="89"/>
      <w:r>
        <w:t xml:space="preserve">11. Daňový režim při úmrtí daňového subjektu – daň z příjmů fyzických osob, DPH, ostatní daně (dědická aj.)</w:t>
      </w:r>
    </w:p>
    <w:p>
      <w:pPr>
        <w:pStyle w:val="FirstParagraph"/>
      </w:pPr>
      <w:r>
        <w:t xml:space="preserve">TBD</w:t>
      </w:r>
    </w:p>
    <w:p>
      <w:pPr>
        <w:pStyle w:val="Heading2"/>
      </w:pPr>
      <w:bookmarkStart w:id="90" w:name="daň-z-přidané-hodnoty-charakteristika-základní-pojmy-zdanitelné-plnění-odpočet-zdaňovací-období-osoba-povinná-k-dani-plátce-daně-reverse-charge"/>
      <w:bookmarkEnd w:id="90"/>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91" w:name="nejčastější-podvody-na-dph"/>
      <w:bookmarkEnd w:id="91"/>
      <w:r>
        <w:t xml:space="preserve">13. Nejčastější podvody na DPH</w:t>
      </w:r>
    </w:p>
    <w:p>
      <w:pPr>
        <w:pStyle w:val="FirstParagraph"/>
      </w:pPr>
      <w:r>
        <w:t xml:space="preserve">TBD</w:t>
      </w:r>
    </w:p>
    <w:p>
      <w:pPr>
        <w:pStyle w:val="Heading2"/>
      </w:pPr>
      <w:bookmarkStart w:id="92" w:name="mezinárodní-zdanění-pojem-charakteristika-dohody-o-zamezení-dvojímu-zdanění"/>
      <w:bookmarkEnd w:id="92"/>
      <w:r>
        <w:t xml:space="preserve">14. Mezinárodní zdanění – pojem, charakteristika; dohody o zamezení dvojímu zdanění</w:t>
      </w:r>
    </w:p>
    <w:p>
      <w:pPr>
        <w:pStyle w:val="FirstParagraph"/>
      </w:pPr>
      <w:r>
        <w:t xml:space="preserve">TBD</w:t>
      </w:r>
    </w:p>
    <w:p>
      <w:pPr>
        <w:pStyle w:val="Heading2"/>
      </w:pPr>
      <w:bookmarkStart w:id="93" w:name="spotřební-daně-majetkové-daně---základní-charakteristika"/>
      <w:bookmarkEnd w:id="93"/>
      <w:r>
        <w:t xml:space="preserve">16. Spotřební daně, majetkové daně - základní charakteristika</w:t>
      </w:r>
    </w:p>
    <w:p>
      <w:pPr>
        <w:pStyle w:val="Heading3"/>
      </w:pPr>
      <w:bookmarkStart w:id="94" w:name="spotřební-daně"/>
      <w:bookmarkEnd w:id="94"/>
      <w:r>
        <w:t xml:space="preserve">Spotřební daně</w:t>
      </w:r>
    </w:p>
    <w:p>
      <w:pPr>
        <w:pStyle w:val="FirstParagraph"/>
      </w:pPr>
      <w:r>
        <w:t xml:space="preserve">Spotřební daň je nepřímá selektivní daň, kterou zavádí stát za účelem regulovat cenu určitých komodit na trhu. Účelem může být buď zvýšit příjmy státního rozpočtu, nebo snížit prodávané množství zboží, jehož spotřeba je považovaná za škodlivou pro jednotlivce a/nebo pro společnost.</w:t>
      </w:r>
    </w:p>
    <w:p>
      <w:pPr>
        <w:pStyle w:val="BodyText"/>
      </w:pPr>
      <w:r>
        <w:t xml:space="preserve">Spotřební daň bývá využívána k politickým či finančním potřebám. Důvodem vedle naplnění státního rozpočtu je i řešení problémů ohledně zdraví a bezpečnosti společnosti, ochrany životního prostředí a v některých zemích i společenské morálky. Vyšší cenou klesá poptávka po výrobcích zasažených touto daní. Příjem putuje zpátky do systému a je využit v oblastech týkajících se stejné tematiky, například odvykací centra pro závislé, protitabákové kampaně, léčba nemocných postižených rakovinou jater, plic, vysazování nových stromů, atd.</w:t>
      </w:r>
    </w:p>
    <w:p>
      <w:pPr>
        <w:pStyle w:val="Heading3"/>
      </w:pPr>
      <w:bookmarkStart w:id="95" w:name="rozdíl-mezi-spotřební-daní-a-dph"/>
      <w:bookmarkEnd w:id="95"/>
      <w:r>
        <w:t xml:space="preserve">Rozdíl mezi spotřební daní a DPH</w:t>
      </w:r>
    </w:p>
    <w:p>
      <w:pPr>
        <w:pStyle w:val="FirstParagraph"/>
      </w:pPr>
      <w:r>
        <w:t xml:space="preserve">Spotřební daň se liší od dani z přidané hodnoty ve dvou důležitých bodech. Je zpravidla selektivní: tzn. platí na nějakou skupinu specifických výrobků, které většinou souvisí se zdravotními riziky nebo s nebezpečím pro životní prostředí. Zatímco DPH se vztahuje na většinu produktů pro spotřebitele v různých výších nebo se jedná o výjimky.</w:t>
      </w:r>
    </w:p>
    <w:p>
      <w:pPr>
        <w:pStyle w:val="BodyText"/>
      </w:pPr>
      <w:r>
        <w:t xml:space="preserve">Druhým rozdílem je, že DPH se počítá jako procentuální částka ze základu, který zahrnuje i spotřební daň. Ta je přičítána fixní částkou podle naturální jednotky zboží (resp. minimální částkou). Na fakturách a účtenkách pak DPH lze vidět zvlášť a snadno vyčíst hodnotu, ale u spotřební daně to není možné.</w:t>
      </w:r>
    </w:p>
    <w:p>
      <w:pPr>
        <w:pStyle w:val="Heading3"/>
      </w:pPr>
      <w:bookmarkStart w:id="96" w:name="spotřební-daň-v-česku"/>
      <w:bookmarkEnd w:id="96"/>
      <w:r>
        <w:t xml:space="preserve">Spotřební daň v česku</w:t>
      </w:r>
    </w:p>
    <w:p>
      <w:pPr>
        <w:pStyle w:val="FirstParagraph"/>
      </w:pPr>
      <w:r>
        <w:t xml:space="preserve">Je definována zákonem o spotřebních daních.</w:t>
      </w:r>
    </w:p>
    <w:p>
      <w:pPr>
        <w:pStyle w:val="BodyText"/>
      </w:pPr>
      <w:r>
        <w:t xml:space="preserve">V Česku jsou předmětem daně tabák, alkohol a pohonné hmoty (tvoří většinou více než 50 % ceny zdaněného zboží). Zdaňovací období pro tuto daň je jeden měsíc, pokud ale v tomto měsíci nevznikne povinnost daň přiznat, nemusí se podávat daňové přiznání. Plátci daně jsou výrobci a provozovatelé tzv. daňových skladů. Poplatníky jsou pak kupující výrobku, daň je obsažena v ceně výrobku, jako je tomu například i u DPH. Daň se započítává do základu pro výpočet DPH, tedy nezvyšuje cenu samotného výrobku, ale i hodnotu DPH. Sazby daně jsou většinou stanoveny samostatně pro každý typ výrobku v závislosti na měrných jednotkách (l, kg, ks, ...) a nezáleží na kvalitě surovin a výrobku takového. Od roku 2004 vykonává její správu Celní úřad, do konce roku 2003 správu vykonával Finanční úřad. Spotřební daň tvoří přibližně 14 % státního rozpočtu ČR</w:t>
      </w:r>
      <w:r>
        <w:rPr>
          <w:rStyle w:val="FootnoteReference"/>
        </w:rPr>
        <w:footnoteReference w:id="97"/>
      </w:r>
      <w:r>
        <w:t xml:space="preserve">.</w:t>
      </w:r>
    </w:p>
    <w:p>
      <w:pPr>
        <w:pStyle w:val="BodyText"/>
      </w:pPr>
      <w:r>
        <w:t xml:space="preserve">Jednotlivými spotřebními daněmi dle zákona o spotřební dani jsou:</w:t>
      </w:r>
    </w:p>
    <w:p>
      <w:pPr>
        <w:pStyle w:val="Compact"/>
        <w:numPr>
          <w:numId w:val="1090"/>
          <w:ilvl w:val="1"/>
        </w:numPr>
      </w:pPr>
      <w:r>
        <w:t xml:space="preserve">daň z minerálních olejů,</w:t>
      </w:r>
    </w:p>
    <w:p>
      <w:pPr>
        <w:pStyle w:val="Compact"/>
        <w:numPr>
          <w:numId w:val="1091"/>
          <w:ilvl w:val="1"/>
        </w:numPr>
      </w:pPr>
      <w:r>
        <w:t xml:space="preserve">daň z lihu,</w:t>
      </w:r>
    </w:p>
    <w:p>
      <w:pPr>
        <w:pStyle w:val="Compact"/>
        <w:numPr>
          <w:numId w:val="1092"/>
          <w:ilvl w:val="1"/>
        </w:numPr>
      </w:pPr>
      <w:r>
        <w:t xml:space="preserve">daň z piva,</w:t>
      </w:r>
    </w:p>
    <w:p>
      <w:pPr>
        <w:pStyle w:val="Compact"/>
        <w:numPr>
          <w:numId w:val="1093"/>
          <w:ilvl w:val="1"/>
        </w:numPr>
      </w:pPr>
      <w:r>
        <w:t xml:space="preserve">daň z vína a meziproduktů,</w:t>
      </w:r>
    </w:p>
    <w:p>
      <w:pPr>
        <w:pStyle w:val="Compact"/>
        <w:numPr>
          <w:numId w:val="1094"/>
          <w:ilvl w:val="1"/>
        </w:numPr>
      </w:pPr>
      <w:r>
        <w:t xml:space="preserve">daň z tabákových výrobků,</w:t>
      </w:r>
    </w:p>
    <w:p>
      <w:pPr>
        <w:pStyle w:val="Compact"/>
        <w:numPr>
          <w:numId w:val="1095"/>
          <w:ilvl w:val="1"/>
        </w:numPr>
      </w:pPr>
      <w:r>
        <w:t xml:space="preserve">daň ze surového tabáku,</w:t>
      </w:r>
    </w:p>
    <w:p>
      <w:pPr>
        <w:pStyle w:val="Compact"/>
        <w:numPr>
          <w:numId w:val="1096"/>
          <w:ilvl w:val="1"/>
        </w:numPr>
      </w:pPr>
      <w:r>
        <w:t xml:space="preserve">daň ze zahřívaných tabákových výrobků,</w:t>
      </w:r>
    </w:p>
    <w:p>
      <w:pPr>
        <w:pStyle w:val="Compact"/>
        <w:numPr>
          <w:numId w:val="1097"/>
          <w:ilvl w:val="1"/>
        </w:numPr>
      </w:pPr>
      <w:r>
        <w:t xml:space="preserve">daň z elektřiny,</w:t>
      </w:r>
    </w:p>
    <w:p>
      <w:pPr>
        <w:pStyle w:val="Compact"/>
        <w:numPr>
          <w:numId w:val="1098"/>
          <w:ilvl w:val="1"/>
        </w:numPr>
      </w:pPr>
      <w:r>
        <w:t xml:space="preserve">daň z pevných paliv,</w:t>
      </w:r>
    </w:p>
    <w:p>
      <w:pPr>
        <w:pStyle w:val="Compact"/>
        <w:numPr>
          <w:numId w:val="1099"/>
          <w:ilvl w:val="1"/>
        </w:numPr>
      </w:pPr>
      <w:r>
        <w:t xml:space="preserve">daň ze zemního plynu a některých dalších plynů.</w:t>
      </w:r>
    </w:p>
    <w:p>
      <w:pPr>
        <w:pStyle w:val="FirstParagraph"/>
      </w:pPr>
      <w:r>
        <w:t xml:space="preserve">Od daně jsou osvobozeny</w:t>
      </w:r>
    </w:p>
    <w:p>
      <w:pPr>
        <w:pStyle w:val="Compact"/>
        <w:numPr>
          <w:numId w:val="1100"/>
          <w:ilvl w:val="0"/>
        </w:numPr>
      </w:pPr>
      <w:r>
        <w:t xml:space="preserve">tabákové výrobky určené k použití pro zkoušky týkající se kvality výrobku a zkoušky související se zabezpečením kvality měření, nebo nezbytné výrobní zkoušky za podmínky, že tyto tabákové výrobky budou v průběhu zkoušek prokazatelně spotřebovány, zničeny nebo znehodnoceny, a to v technologicky odůvodněném množství. Zkoušky mohou být prováděny pouze v laboratořích akreditovaných podle technické normy ČSN EN ISO/IEC 17025 pro předmět zkoušení tabák nebo tabákové výrobky.</w:t>
      </w:r>
    </w:p>
    <w:p>
      <w:pPr>
        <w:pStyle w:val="Compact"/>
        <w:numPr>
          <w:numId w:val="1100"/>
          <w:ilvl w:val="0"/>
        </w:numPr>
      </w:pPr>
      <w:r>
        <w:t xml:space="preserve">odebrané jako vzorky celním úřadem, nebo znehodnocené podle pokynů a za přítomnosti úředních osob celního úřadu, nebo zničené za jejich přítomnosti (to se týká pouze tabákových výrobků určených pro vývoz nebo pro dopravu v režimu podmíněného osvobození od daně do jiného členského státu, které současně nejsou způsobilé pro uvedení do volného daňového oběhu na území jiného členského státu nebo třetí země).</w:t>
      </w:r>
    </w:p>
    <w:p>
      <w:pPr>
        <w:pStyle w:val="FirstParagraph"/>
      </w:pPr>
      <w:r>
        <w:t xml:space="preserve">Vybrané výrobky, které byly uvedeny do volného daňového oběhu v jiném členském státě a které fyzické osoby nabyly v tomto členském státě pro osobní spotřebu a jsou jimi dopravované na daňové území České republiky, jsou osvobozeny od daně - zákon definuje množství a typ.</w:t>
      </w:r>
    </w:p>
    <w:p>
      <w:pPr>
        <w:pStyle w:val="Heading3"/>
      </w:pPr>
      <w:bookmarkStart w:id="98" w:name="mechanismus-spotřební-daně"/>
      <w:bookmarkEnd w:id="98"/>
      <w:r>
        <w:t xml:space="preserve">Mechanismus spotřební daně</w:t>
      </w:r>
    </w:p>
    <w:p>
      <w:pPr>
        <w:pStyle w:val="FirstParagraph"/>
      </w:pPr>
      <w:r>
        <w:t xml:space="preserve">Spotřební daň se vybírá prodejem kolků pro označení lahví lihovin nebo krabiček od cigaret. Bez těchto kontrolních prvků je zakázané produkty nabízet k prodeji. Výrobce si od státu koupí větší množství tabákových nálepek nebo kontrolních pásků (alkohol), které pak nalepuje na místa tak, aby při otevření produktu došlo k viditelnému poškození. Tyto kolky jsou tisknuty Státní tiskárnou cenin a obsahují mnoho bezpečnostních prvků.</w:t>
      </w:r>
    </w:p>
    <w:p>
      <w:pPr>
        <w:pStyle w:val="Heading3"/>
      </w:pPr>
      <w:bookmarkStart w:id="99" w:name="majetkové-daně"/>
      <w:bookmarkEnd w:id="99"/>
      <w:r>
        <w:t xml:space="preserve">Majetkové daně</w:t>
      </w:r>
    </w:p>
    <w:p>
      <w:pPr>
        <w:pStyle w:val="FirstParagraph"/>
      </w:pPr>
      <w:r>
        <w:t xml:space="preserve">Majetkové daně jsou přímé daně, které se platí v Česku i v jiných státech. Patří sem podle českých právních předpisů daň silniční, daň z nemovitých věcí, která zahrnuje daň z pozemků a daň ze staveb a jednotek, a daň z nabytí nemovitých věcí.</w:t>
      </w:r>
    </w:p>
    <w:p>
      <w:pPr>
        <w:pStyle w:val="BodyText"/>
      </w:pPr>
      <w:r>
        <w:t xml:space="preserve">Majetkové daně jsou v českém právu nejstaršími daněmi, neboť na rozdíl od jiných, které prošly na počátku 90. let 20. století bouřlivými změnami, tyto zůstaly z velké části stejné. Zásadnější změny nastaly od 1. 1. 2014, kdy byla zrušena tzv. trojdaň (daň dědická, darovací a z převodu nemovitosti) a namísto ní byla zavedena daň z nabytí nemovitých věcí. Jejich výnosy jsou pro stát malé, avšak stálé; na rozdíl od daní z příjmu či spotřebních daní. Jsou tedy daněmi doplňkovými</w:t>
      </w:r>
      <w:r>
        <w:rPr>
          <w:rStyle w:val="FootnoteReference"/>
        </w:rPr>
        <w:footnoteReference w:id="100"/>
      </w:r>
      <w:r>
        <w:t xml:space="preserve">.</w:t>
      </w:r>
    </w:p>
    <w:p>
      <w:pPr>
        <w:pStyle w:val="BodyText"/>
      </w:pPr>
      <w:r>
        <w:t xml:space="preserve">Dělí se do tří kategorií:</w:t>
      </w:r>
    </w:p>
    <w:p>
      <w:pPr>
        <w:pStyle w:val="Compact"/>
        <w:numPr>
          <w:numId w:val="1101"/>
          <w:ilvl w:val="0"/>
        </w:numPr>
      </w:pPr>
      <w:r>
        <w:t xml:space="preserve">daň z nemovitých věcí (do roku 2014 daň z nemovitostí):</w:t>
      </w:r>
    </w:p>
    <w:p>
      <w:pPr>
        <w:pStyle w:val="Compact"/>
        <w:numPr>
          <w:numId w:val="1101"/>
          <w:ilvl w:val="0"/>
        </w:numPr>
      </w:pPr>
      <w:r>
        <w:t xml:space="preserve">daň z pozemků</w:t>
      </w:r>
    </w:p>
    <w:p>
      <w:pPr>
        <w:pStyle w:val="Compact"/>
        <w:numPr>
          <w:numId w:val="1101"/>
          <w:ilvl w:val="0"/>
        </w:numPr>
      </w:pPr>
      <w:r>
        <w:t xml:space="preserve">daň ze staveb a jednotek</w:t>
      </w:r>
    </w:p>
    <w:p>
      <w:pPr>
        <w:pStyle w:val="Compact"/>
        <w:numPr>
          <w:numId w:val="1101"/>
          <w:ilvl w:val="0"/>
        </w:numPr>
      </w:pPr>
      <w:r>
        <w:t xml:space="preserve">daň z nabytí nemovitých věcí (do roku 2014 daň z převodu nemovitostí)</w:t>
      </w:r>
    </w:p>
    <w:p>
      <w:pPr>
        <w:pStyle w:val="Compact"/>
        <w:numPr>
          <w:numId w:val="1101"/>
          <w:ilvl w:val="0"/>
        </w:numPr>
      </w:pPr>
      <w:r>
        <w:t xml:space="preserve">daň silniční</w:t>
      </w:r>
    </w:p>
    <w:p>
      <w:pPr>
        <w:pStyle w:val="Compact"/>
        <w:numPr>
          <w:numId w:val="1101"/>
          <w:ilvl w:val="0"/>
        </w:numPr>
      </w:pPr>
      <w:r>
        <w:t xml:space="preserve">(daň dědická, darovací a z převodu nemovitosti tato trojdaň byla zrušena v roce 2014)</w:t>
      </w:r>
    </w:p>
    <w:p>
      <w:pPr>
        <w:pStyle w:val="Heading3"/>
      </w:pPr>
      <w:bookmarkStart w:id="101" w:name="typy-daněného-majetku"/>
      <w:bookmarkEnd w:id="101"/>
      <w:r>
        <w:t xml:space="preserve">Typy daněného majetku</w:t>
      </w:r>
    </w:p>
    <w:p>
      <w:pPr>
        <w:pStyle w:val="FirstParagraph"/>
      </w:pPr>
      <w:r>
        <w:t xml:space="preserve">Čtyři typy daněného majetku jsou pozemek, pozemková úprava (imobilní člověkem vytvořený objekt, např. dům), osobní majetek (mobilní fyzický majetek) a nehmotný majetek. Nemovitost (Real property z Angloamerického práva) je kombinace pozemku a jeho úprav.</w:t>
      </w:r>
    </w:p>
    <w:p>
      <w:pPr>
        <w:pStyle w:val="BodyText"/>
      </w:pPr>
      <w:r>
        <w:t xml:space="preserve">Formy majetkové daně se liší podle spadající jurisdikce. Nemovitost je daněna dle toho do jaké skupiny nemovitostí patří. Skupina se určuje podle toho jak se nemovitost používá. Příkladem skupiny nemovitostí jsou např. residenční nemovitosti, komerční nemovitosti, průmyslové nemovitosti a dále volné (prázdné) nemovitosti. Míra zdanění je jiná pro každou skupinu.</w:t>
      </w:r>
    </w:p>
    <w:p>
      <w:pPr>
        <w:pStyle w:val="BodyText"/>
      </w:pPr>
      <w:r>
        <w:t xml:space="preserve">Občas se majetková daň zaměňuje s daní zvláštního vyměření (anglicky special assessments tax). Toto jsou dvě různé daně. Majetková daň plyne z tržní hodnoty, zatímco zvláštní vyměřovací daň plyne z speciálního obohacení tzv. „výhody“ pro své ospravedlnění.</w:t>
      </w:r>
    </w:p>
    <w:p>
      <w:pPr>
        <w:pStyle w:val="Heading3"/>
      </w:pPr>
      <w:bookmarkStart w:id="102" w:name="daň-z-nemovitých-věcí"/>
      <w:bookmarkEnd w:id="102"/>
      <w:r>
        <w:t xml:space="preserve">Daň z nemovitých věcí</w:t>
      </w:r>
    </w:p>
    <w:p>
      <w:pPr>
        <w:pStyle w:val="FirstParagraph"/>
      </w:pPr>
      <w:r>
        <w:t xml:space="preserve">Výlučným příjemcem výnosů daně jsou obce, zatímco správu daně zajišťuje stát prostřednictvím finančních úřadů.</w:t>
      </w:r>
    </w:p>
    <w:p>
      <w:pPr>
        <w:pStyle w:val="BodyText"/>
      </w:pPr>
      <w:r>
        <w:t xml:space="preserve">Každá z uvedených daní se stanovuje samostatně.</w:t>
      </w:r>
    </w:p>
    <w:p>
      <w:pPr>
        <w:pStyle w:val="BodyText"/>
      </w:pPr>
      <w:r>
        <w:t xml:space="preserve">Předmětem daně jsou nemovité věci (pozemky, stavby, jednotky), které se nacházejí na českém území a které jsou evidované v katastru nemovitostí.</w:t>
      </w:r>
    </w:p>
    <w:p>
      <w:pPr>
        <w:pStyle w:val="BodyText"/>
      </w:pPr>
      <w:r>
        <w:t xml:space="preserve">Zdaňovací období je jeden rok.</w:t>
      </w:r>
    </w:p>
    <w:p>
      <w:pPr>
        <w:pStyle w:val="BodyText"/>
      </w:pPr>
      <w:r>
        <w:t xml:space="preserve">Na základě zákona o dani z nemovitých věcí.</w:t>
      </w:r>
    </w:p>
    <w:p>
      <w:pPr>
        <w:pStyle w:val="BodyText"/>
      </w:pPr>
      <w:r>
        <w:t xml:space="preserve">Pro daň z pozemků je daň určena jako druh pozemku - na základě toho se určuje sazba a velikosti pozemku.</w:t>
      </w:r>
    </w:p>
    <w:p>
      <w:pPr>
        <w:pStyle w:val="BodyText"/>
      </w:pPr>
      <w:r>
        <w:t xml:space="preserve">Pro daň ze staveb je daň určena podle zastavěne plochy v</w:t>
      </w:r>
      <w:r>
        <w:t xml:space="preserve"> </w:t>
      </w:r>
      <m:oMath>
        <m:sSup>
          <m:e>
            <m:r>
              <m:t>m</m:t>
            </m:r>
          </m:e>
          <m:sup>
            <m:r>
              <m:t>2</m:t>
            </m:r>
          </m:sup>
        </m:sSup>
      </m:oMath>
      <w:r>
        <w:t xml:space="preserve">.</w:t>
      </w:r>
    </w:p>
    <w:p>
      <w:pPr>
        <w:pStyle w:val="Heading3"/>
      </w:pPr>
      <w:bookmarkStart w:id="103" w:name="daň-z-nabytí-nemovitosti---soušástí-daně-z-příjmu"/>
      <w:bookmarkEnd w:id="103"/>
      <w:r>
        <w:t xml:space="preserve">Daň z nabytí nemovitosti - soušástí daně z příjmu</w:t>
      </w:r>
    </w:p>
    <w:p>
      <w:pPr>
        <w:pStyle w:val="FirstParagraph"/>
      </w:pPr>
      <w:r>
        <w:t xml:space="preserve">Již se neplatí - součástí daní z příjmu.</w:t>
      </w:r>
    </w:p>
    <w:p>
      <w:pPr>
        <w:pStyle w:val="Heading3"/>
      </w:pPr>
      <w:bookmarkStart w:id="104" w:name="daň-silniční"/>
      <w:bookmarkEnd w:id="104"/>
      <w:r>
        <w:t xml:space="preserve">Daň silniční</w:t>
      </w:r>
    </w:p>
    <w:p>
      <w:pPr>
        <w:pStyle w:val="Compact"/>
        <w:numPr>
          <w:numId w:val="1102"/>
          <w:ilvl w:val="0"/>
        </w:numPr>
      </w:pPr>
      <w:r>
        <w:t xml:space="preserve">Předmětem této daně jsou všechna motorová vozidla, která jsou používána k podnikání, a to i když jsou vlastněna soukromými osobami. Poplatníkem i plátcem této daně je provozovatel vozidla, který je zapsán v jeho technickém průkazu.</w:t>
      </w:r>
    </w:p>
    <w:p>
      <w:pPr>
        <w:pStyle w:val="Compact"/>
        <w:numPr>
          <w:numId w:val="1102"/>
          <w:ilvl w:val="0"/>
        </w:numPr>
      </w:pPr>
      <w:r>
        <w:t xml:space="preserve">Sazba daně je u osobních automobilů stanovena podle objemu motoru, u nákladních automobilů závisí na hmotnosti celého vozidla a počtu náprav. Dříve bylo možné u nákladních vozidel uplatnit slevu dle emisní normy. V současné době se uplatňuje sleva na všechna vozidla dle data registrace – první tři roky 48 %, další tři roky 40% a další tři roky 25 %; u vozidel s první registrací do 31. prosince 1989 se naopak na silniční dani připlácí 25 %.</w:t>
      </w:r>
    </w:p>
    <w:p>
      <w:pPr>
        <w:pStyle w:val="Compact"/>
        <w:numPr>
          <w:numId w:val="1102"/>
          <w:ilvl w:val="0"/>
        </w:numPr>
      </w:pPr>
      <w:r>
        <w:t xml:space="preserve">Zdaňovacím obdobím je 1 rok, daň se platí ve 4 zálohách (15. dubna, 15. července, 15. října a 15. prosince). Majitel vozidla je povinen do konce ledna následujícího roku podat daňové přiznání</w:t>
      </w:r>
      <w:r>
        <w:rPr>
          <w:rStyle w:val="FootnoteReference"/>
        </w:rPr>
        <w:footnoteReference w:id="105"/>
      </w:r>
      <w:r>
        <w:t xml:space="preserve">.</w:t>
      </w:r>
    </w:p>
    <w:p>
      <w:pPr>
        <w:pStyle w:val="Compact"/>
        <w:numPr>
          <w:numId w:val="1102"/>
          <w:ilvl w:val="0"/>
        </w:numPr>
      </w:pPr>
      <w:r>
        <w:t xml:space="preserve">Zároveň silniční daň platí provozovatel vozidla s minimální přípustnou technickou hmotností 12 tun.</w:t>
      </w:r>
    </w:p>
    <w:p>
      <w:pPr>
        <w:pStyle w:val="Heading3"/>
      </w:pPr>
      <w:bookmarkStart w:id="106" w:name="trojdaň"/>
      <w:bookmarkEnd w:id="106"/>
      <w:r>
        <w:t xml:space="preserve">Trojdaň</w:t>
      </w:r>
    </w:p>
    <w:p>
      <w:pPr>
        <w:pStyle w:val="FirstParagraph"/>
      </w:pPr>
      <w:r>
        <w:t xml:space="preserve">Již se naplatí - součástí daní z příjmu.</w:t>
      </w:r>
    </w:p>
    <w:p>
      <w:pPr>
        <w:pStyle w:val="Heading2"/>
      </w:pPr>
      <w:bookmarkStart w:id="107" w:name="právo-eu-a-daně-jakých-daní-se-dotýká-jak-se-projevuje-přímý-a-nepřímý-účinek"/>
      <w:bookmarkEnd w:id="107"/>
      <w:r>
        <w:t xml:space="preserve">17. Právo EU a daně – jakých daní se dotýká, jak se projevuje; přímý a nepřímý účinek</w:t>
      </w:r>
    </w:p>
    <w:p>
      <w:pPr>
        <w:numPr>
          <w:numId w:val="1103"/>
          <w:ilvl w:val="0"/>
        </w:numPr>
      </w:pPr>
      <w:r>
        <w:t xml:space="preserve">DPH II – evropské a vnitrostátní právo a praktické dopady dvouúrovňového právního systému, eurokonformní výklad, přímý a nepřímý účinek evropského práva</w:t>
      </w:r>
    </w:p>
    <w:p>
      <w:pPr>
        <w:pStyle w:val="Compact"/>
        <w:numPr>
          <w:numId w:val="1103"/>
          <w:ilvl w:val="0"/>
        </w:numPr>
      </w:pPr>
      <w:r>
        <w:t xml:space="preserve">Evropské a vnitrostátní právo a praktické dopady dvouúrovňového právního systému</w:t>
      </w:r>
    </w:p>
    <w:p>
      <w:pPr>
        <w:numPr>
          <w:numId w:val="1103"/>
          <w:ilvl w:val="0"/>
        </w:numPr>
      </w:pPr>
      <w:r>
        <w:t xml:space="preserve">Evropské právo je na území České republiky bezprostředně použitelné v tom rozsahu, ve kterém není nutné začlenění příslušné normy do národního právního řádu. Evropské právo musí být rovněž přednostně aplikováno v případech rozporu s národní právní normou. Všechny členské státy jsou povinny zajistit aplikaci evropského práva na svém území.</w:t>
      </w:r>
    </w:p>
    <w:p>
      <w:pPr>
        <w:pStyle w:val="Compact"/>
        <w:numPr>
          <w:numId w:val="1103"/>
          <w:ilvl w:val="0"/>
        </w:numPr>
      </w:pPr>
      <w:r>
        <w:t xml:space="preserve">Evropské a vnitrostátní právo a praktické dopady dvouúrovňového právního systému</w:t>
      </w:r>
    </w:p>
    <w:p>
      <w:pPr>
        <w:pStyle w:val="Compact"/>
        <w:numPr>
          <w:numId w:val="1103"/>
          <w:ilvl w:val="0"/>
        </w:numPr>
      </w:pPr>
      <w:r>
        <w:t xml:space="preserve">Nejčastějším právním nástrojem používaným v oblasti nepřímých daní jsou směrnice, jako právní normy závazné pro členské státy, a to svým obsahem a cílem, kterého je nutno dosáhnout.</w:t>
      </w:r>
    </w:p>
    <w:p>
      <w:pPr>
        <w:pStyle w:val="Compact"/>
        <w:numPr>
          <w:numId w:val="1103"/>
          <w:ilvl w:val="0"/>
        </w:numPr>
      </w:pPr>
      <w:r>
        <w:t xml:space="preserve">V oblasti DPH to byla tzv. „Šestá směrnice“ 77/388/EHS ‐ byla nahrazena směrnicí 2004/112/ES ze dne 28. 11. 2006, o společném systému DPH (tzv „recast“).</w:t>
      </w:r>
    </w:p>
    <w:p>
      <w:pPr>
        <w:pStyle w:val="Compact"/>
        <w:numPr>
          <w:numId w:val="1103"/>
          <w:ilvl w:val="0"/>
        </w:numPr>
      </w:pPr>
      <w:r>
        <w:t xml:space="preserve">Vytyčeného cíle má být dosaženo přijetím příslušné národní právní normy ve lhůtě dané pro implementaci směrnice.</w:t>
      </w:r>
    </w:p>
    <w:p>
      <w:pPr>
        <w:numPr>
          <w:numId w:val="1103"/>
          <w:ilvl w:val="0"/>
        </w:numPr>
      </w:pPr>
      <w:r>
        <w:t xml:space="preserve">Způsob a forma implementace směrnice záleží na rozhodnutí členského státu a na tom, co je v daném členském státě obvyklé při aplikaci obdobných právních norem (ať už se jedná o zákon, vyhlášku, nařízení vlády či jinou formu).</w:t>
      </w:r>
    </w:p>
    <w:p>
      <w:pPr>
        <w:pStyle w:val="Compact"/>
        <w:numPr>
          <w:numId w:val="1103"/>
          <w:ilvl w:val="0"/>
        </w:numPr>
      </w:pPr>
      <w:r>
        <w:t xml:space="preserve">DPH II – evropské a vnitrostátní právo a praktické dopady dvouúrovňového právního systému, eurokonformní výklad, přímý a nepřímý účinek evropského práva</w:t>
      </w:r>
    </w:p>
    <w:p>
      <w:pPr>
        <w:numPr>
          <w:numId w:val="1103"/>
          <w:ilvl w:val="0"/>
        </w:numPr>
      </w:pPr>
      <w:r>
        <w:t xml:space="preserve">Eurokonformním výkladem nebo také nepřímým účinkem práva Evropské unie (EU) označujeme povinnost soudů členských států vykládat a aplikovat vnitrostátní předpisy v souladu s požadavky práva EU. Povinnost konformního výkladu byla stanovena rozhodovací činností Soudního dvora Evropské unie (SDEU). Nepřímý účinek společně s dalšími principy práva EU, slouží k napomáhání dosahování cílů EU. Meze užití nepřímého účinku práva EU je nutné sledovat nejen v judikatuře SDEU, ale zároveň je užití souladného výkladu limitováno i ústavně konformním výkladem práva jednotlivých členských států</w:t>
      </w:r>
    </w:p>
    <w:p>
      <w:pPr>
        <w:pStyle w:val="Compact"/>
        <w:numPr>
          <w:numId w:val="1103"/>
          <w:ilvl w:val="0"/>
        </w:numPr>
      </w:pPr>
      <w:r>
        <w:t xml:space="preserve">Přímý a nepřímý účinek evropského práva</w:t>
      </w:r>
    </w:p>
    <w:p>
      <w:pPr>
        <w:pStyle w:val="Compact"/>
        <w:numPr>
          <w:numId w:val="1103"/>
          <w:ilvl w:val="0"/>
        </w:numPr>
      </w:pPr>
      <w:r>
        <w:t xml:space="preserve">Přímý účinek směrnice</w:t>
      </w:r>
    </w:p>
    <w:p>
      <w:pPr>
        <w:pStyle w:val="Compact"/>
        <w:numPr>
          <w:numId w:val="1104"/>
          <w:ilvl w:val="1"/>
        </w:numPr>
      </w:pPr>
      <w:r>
        <w:t xml:space="preserve">Situace, která umožňuje i jednotlivci se dovolávat ‐ ve zdánlivém rozporu se standardním přístupem ke směrnicím ‐ příslušného ustanovení směrnice a dosáhnout přímé aplikace jejích ustanovení na daný případ při vyloučení rozporných norem národního práva.</w:t>
      </w:r>
      <w:r>
        <w:br w:type="textWrapping"/>
      </w:r>
    </w:p>
    <w:p>
      <w:pPr>
        <w:pStyle w:val="Compact"/>
        <w:numPr>
          <w:numId w:val="1104"/>
          <w:ilvl w:val="1"/>
        </w:numPr>
      </w:pPr>
      <w:r>
        <w:t xml:space="preserve">Členský stát, který je vázán provést určitou směrnici, a tuto povinnost v dané lhůtě nesplní, nemůže mít z této okolnosti prospěch, a to zejména tehdy, kdy by tak omezoval subjektivní práva, která komunitární právo zakládá jednotlivci.</w:t>
      </w:r>
    </w:p>
    <w:p>
      <w:pPr>
        <w:pStyle w:val="Compact"/>
        <w:numPr>
          <w:numId w:val="1104"/>
          <w:ilvl w:val="1"/>
        </w:numPr>
      </w:pPr>
      <w:r>
        <w:t xml:space="preserve">Z judikatury ESD je rovněž zřejmé, že příslušné ustanovení směrnice, aby mohlo být přímo aplikováno, musí být bezpodmínečné, dostatečně jasné a přesné.</w:t>
      </w:r>
    </w:p>
    <w:p>
      <w:pPr>
        <w:pStyle w:val="Compact"/>
        <w:numPr>
          <w:numId w:val="1103"/>
          <w:ilvl w:val="0"/>
        </w:numPr>
      </w:pPr>
      <w:r>
        <w:t xml:space="preserve">Přímý a nepřímý účinek evropského práva</w:t>
      </w:r>
    </w:p>
    <w:p>
      <w:pPr>
        <w:pStyle w:val="Compact"/>
        <w:numPr>
          <w:numId w:val="1103"/>
          <w:ilvl w:val="0"/>
        </w:numPr>
      </w:pPr>
      <w:r>
        <w:t xml:space="preserve">Přímý účinek směrnice – pokrač.:</w:t>
      </w:r>
    </w:p>
    <w:p>
      <w:pPr>
        <w:numPr>
          <w:numId w:val="1103"/>
          <w:ilvl w:val="0"/>
        </w:numPr>
      </w:pPr>
      <w:r>
        <w:t xml:space="preserve">přímého účinku směrnic se může dovolávat jednotlivec vůči členskému státu, nikoli naopak, protože aplikace přímého účinku je v podstatě proces, který nahrazuje nečinnost nebo nedostatečně kvalitní činnost členského státu při plnění jeho vlastních povinností.</w:t>
      </w:r>
    </w:p>
    <w:p>
      <w:pPr>
        <w:pStyle w:val="Compact"/>
        <w:numPr>
          <w:numId w:val="1103"/>
          <w:ilvl w:val="0"/>
        </w:numPr>
      </w:pPr>
      <w:r>
        <w:t xml:space="preserve">Přímý a nepřímý účinek evropského práva</w:t>
      </w:r>
    </w:p>
    <w:p>
      <w:pPr>
        <w:pStyle w:val="Compact"/>
        <w:numPr>
          <w:numId w:val="1103"/>
          <w:ilvl w:val="0"/>
        </w:numPr>
      </w:pPr>
      <w:r>
        <w:t xml:space="preserve">Nepřímý účinek směrnice</w:t>
      </w:r>
    </w:p>
    <w:p>
      <w:pPr>
        <w:pStyle w:val="Compact"/>
        <w:numPr>
          <w:numId w:val="1103"/>
          <w:ilvl w:val="0"/>
        </w:numPr>
      </w:pPr>
      <w:r>
        <w:t xml:space="preserve">Institut eurokonformního výkladu, na jehož základě je možno dle judikatury ESD dosáhnout vyšší účinnosti směrnic, pokud nebyly řádně transponovány do národního práva.</w:t>
      </w:r>
    </w:p>
    <w:p>
      <w:pPr>
        <w:numPr>
          <w:numId w:val="1103"/>
          <w:ilvl w:val="0"/>
        </w:numPr>
      </w:pPr>
      <w:r>
        <w:t xml:space="preserve">Členské státy jsou povinny zajistit řádnou a úplnou implementaci příslušné směrnice do svého národního právního řádu, tj. jsou povinny zajistit realizaci cíle sledovaného směrnicí.</w:t>
      </w:r>
    </w:p>
    <w:p>
      <w:pPr>
        <w:pStyle w:val="Compact"/>
        <w:numPr>
          <w:numId w:val="1103"/>
          <w:ilvl w:val="0"/>
        </w:numPr>
      </w:pPr>
      <w:r>
        <w:t xml:space="preserve">Přímý a nepřímý účinek evropského práva</w:t>
      </w:r>
    </w:p>
    <w:p>
      <w:pPr>
        <w:pStyle w:val="Compact"/>
        <w:numPr>
          <w:numId w:val="1103"/>
          <w:ilvl w:val="0"/>
        </w:numPr>
      </w:pPr>
      <w:r>
        <w:t xml:space="preserve">Nepřímý účinek směrnice – pokrač.:</w:t>
      </w:r>
    </w:p>
    <w:p>
      <w:pPr>
        <w:pStyle w:val="Compact"/>
        <w:numPr>
          <w:numId w:val="1103"/>
          <w:ilvl w:val="0"/>
        </w:numPr>
      </w:pPr>
      <w:r>
        <w:t xml:space="preserve">Národní právní norma, která byla přijata za účelem transpozice příslušné směrnice, musí být v maximální možné míře vykládána ve světle znění a účelu dotčené směrnice, tj. tak, aby bylo dosaženo cíle stanoveného směrnicí, a tak byla naplněna povinnost vyplývající ze Smlouvy o EU.</w:t>
      </w:r>
    </w:p>
    <w:p>
      <w:pPr>
        <w:numPr>
          <w:numId w:val="1103"/>
          <w:ilvl w:val="0"/>
        </w:numPr>
      </w:pPr>
      <w:r>
        <w:t xml:space="preserve">Výklad v této formě je v zásadě založen na fikci, že členský stát měl v úmyslu řádně splnit své povinnosti vyplývající ze Smlouvy o EU a eurokonformní řešení by se mělo uplatnit bez ohledu na jiné možnosti interpretace takové normy.</w:t>
      </w:r>
    </w:p>
    <w:p>
      <w:pPr>
        <w:pStyle w:val="Compact"/>
        <w:numPr>
          <w:numId w:val="1103"/>
          <w:ilvl w:val="0"/>
        </w:numPr>
      </w:pPr>
      <w:r>
        <w:t xml:space="preserve">Eurokonformní výklad</w:t>
      </w:r>
    </w:p>
    <w:p>
      <w:pPr>
        <w:pStyle w:val="Compact"/>
        <w:numPr>
          <w:numId w:val="1103"/>
          <w:ilvl w:val="0"/>
        </w:numPr>
      </w:pPr>
      <w:r>
        <w:t xml:space="preserve">Je povinný nejen pro soudy, ale i pro správce daně a podobné orgány</w:t>
      </w:r>
    </w:p>
    <w:p>
      <w:pPr>
        <w:pStyle w:val="Compact"/>
        <w:numPr>
          <w:numId w:val="1103"/>
          <w:ilvl w:val="0"/>
        </w:numPr>
      </w:pPr>
      <w:r>
        <w:t xml:space="preserve">Občan, podnikatel, daňový subjekt:</w:t>
      </w:r>
    </w:p>
    <w:p>
      <w:pPr>
        <w:pStyle w:val="Compact"/>
        <w:numPr>
          <w:numId w:val="1106"/>
          <w:ilvl w:val="2"/>
        </w:numPr>
      </w:pPr>
      <w:r>
        <w:t xml:space="preserve">bude se řídit tuzemskou právní úpravou</w:t>
      </w:r>
    </w:p>
    <w:p>
      <w:pPr>
        <w:pStyle w:val="Compact"/>
        <w:numPr>
          <w:numId w:val="1107"/>
          <w:ilvl w:val="2"/>
        </w:numPr>
      </w:pPr>
      <w:r>
        <w:t xml:space="preserve">bude trvat na aplikaci eurokonformního výkladu</w:t>
      </w:r>
    </w:p>
    <w:p>
      <w:pPr>
        <w:pStyle w:val="Compact"/>
        <w:numPr>
          <w:numId w:val="1103"/>
          <w:ilvl w:val="0"/>
        </w:numPr>
      </w:pPr>
      <w:r>
        <w:t xml:space="preserve">Eurokonformní výklad u soudu</w:t>
      </w:r>
    </w:p>
    <w:p>
      <w:pPr>
        <w:pStyle w:val="Compact"/>
        <w:numPr>
          <w:numId w:val="1108"/>
          <w:ilvl w:val="1"/>
        </w:numPr>
      </w:pPr>
      <w:r>
        <w:t xml:space="preserve">národní soud je schopen aplikovat sám</w:t>
      </w:r>
    </w:p>
    <w:p>
      <w:pPr>
        <w:pStyle w:val="Compact"/>
        <w:numPr>
          <w:numId w:val="1109"/>
          <w:ilvl w:val="1"/>
        </w:numPr>
      </w:pPr>
      <w:r>
        <w:t xml:space="preserve">položení předběžné otázky SDEU</w:t>
      </w:r>
    </w:p>
    <w:p>
      <w:pPr>
        <w:numPr>
          <w:numId w:val="1103"/>
          <w:ilvl w:val="0"/>
        </w:numPr>
      </w:pPr>
      <w:r>
        <w:t xml:space="preserve">U ESD (SDEU) se řeší nejrůznější oblasti (např. provozování hracích automatů x nájem prostoru pro automat, možnost být přítomen výslechu svědka v zahraničí, nárok na úrok v případě včasného nevrácení odpočtu DPH apod.)</w:t>
      </w:r>
    </w:p>
    <w:p>
      <w:pPr>
        <w:pStyle w:val="Heading2"/>
      </w:pPr>
      <w:bookmarkStart w:id="108" w:name="pojem-zneužití-práva-praktické-případy"/>
      <w:bookmarkEnd w:id="108"/>
      <w:r>
        <w:t xml:space="preserve">18. Pojem zneužití práva, praktické případy</w:t>
      </w:r>
    </w:p>
    <w:p>
      <w:pPr>
        <w:pStyle w:val="FirstParagraph"/>
      </w:pPr>
      <w:r>
        <w:t xml:space="preserve">Rozdíl mezi:</w:t>
      </w:r>
    </w:p>
    <w:p>
      <w:pPr>
        <w:pStyle w:val="Compact"/>
        <w:numPr>
          <w:numId w:val="1110"/>
          <w:ilvl w:val="0"/>
        </w:numPr>
      </w:pPr>
      <w:r>
        <w:rPr>
          <w:b/>
        </w:rPr>
        <w:t xml:space="preserve">disimulace právního úkonu</w:t>
      </w:r>
      <w:r>
        <w:t xml:space="preserve"> </w:t>
      </w:r>
      <w:r>
        <w:t xml:space="preserve">- (§2 odst. 7 ZSDP, §8 odst. 3 DŘ) - prokazuje finanční úřad - švarcsystém</w:t>
      </w:r>
    </w:p>
    <w:p>
      <w:pPr>
        <w:pStyle w:val="Compact"/>
        <w:numPr>
          <w:numId w:val="1110"/>
          <w:ilvl w:val="0"/>
        </w:numPr>
      </w:pPr>
      <w:r>
        <w:t xml:space="preserve">O zakrývání (dissimulaci) ve smyslu § 2 odst. 7 zákona ČNR č. 337/1992 Sb., o správě daní a poplatků, může jít jen tehdy, pokud účastníci předstírají (simulují) určitý právní úkon, ač jej nechtějí, a zastírají tím právní úkon jiný, který ve skutečnosti chtějí</w:t>
      </w:r>
    </w:p>
    <w:p>
      <w:pPr>
        <w:pStyle w:val="Compact"/>
        <w:numPr>
          <w:numId w:val="1110"/>
          <w:ilvl w:val="0"/>
        </w:numPr>
      </w:pPr>
      <w:r>
        <w:t xml:space="preserve">Příklad:</w:t>
      </w:r>
    </w:p>
    <w:p>
      <w:pPr>
        <w:pStyle w:val="Compact"/>
        <w:numPr>
          <w:numId w:val="1111"/>
          <w:ilvl w:val="1"/>
        </w:numPr>
      </w:pPr>
      <w:r>
        <w:t xml:space="preserve">Finanční úřad v Třebíči vyměřil žalobci dne 10. 4. 2001 dodatečně za zdaňovací období roku 1996 daň z příjmů právnických osob ve výši 926 640 Kč, neboť posoudil transakci žalobce – ten vložil do nově vzniklé společnosti P. pohledávky evidované ve svém účetnictví a tímto způsobem splatil svůj obchodní podíl, který pak následující den prodal společnosti D. za cenu ve výši 1 % hodnoty těchto pohledávek, a v jejímž důsledku vykázal účetní ztrátu, kterou byl snížen hospodářský výsledek za rok 1996 – podle § 2 odst. 7 d. ř. tak, že šlo o dopředu naplánovanou a účelovou transakci, provedenou se záměrem snížit daňovou povinnost, kdy formálním vložením pohledávek a následným prodejem došlo k zastřenému postoupení nedobytných a obtížně vymahatelných pohledávek a ve své podstatě k zastřenému odpisu těchto pohledávek do nákladů, ve snaze vyloučit postup podle § 24 odst. 2 písm. a) a § 25 odst. 1 písm. z) zákona ČNR č. 586/1992 Sb., o daních z příjmů (dále též „zákon o daních z příjmů“)</w:t>
      </w:r>
      <w:r>
        <w:rPr>
          <w:rStyle w:val="FootnoteReference"/>
        </w:rPr>
        <w:footnoteReference w:id="109"/>
      </w:r>
      <w:r>
        <w:t xml:space="preserve">.</w:t>
      </w:r>
    </w:p>
    <w:p>
      <w:pPr>
        <w:pStyle w:val="Compact"/>
        <w:numPr>
          <w:numId w:val="1110"/>
          <w:ilvl w:val="0"/>
        </w:numPr>
      </w:pPr>
      <w:r>
        <w:rPr>
          <w:b/>
        </w:rPr>
        <w:t xml:space="preserve">zneužití práva</w:t>
      </w:r>
      <w:r>
        <w:t xml:space="preserve"> </w:t>
      </w:r>
      <w:r>
        <w:t xml:space="preserve">(§8 odst. 4 DŘ) - prokazuje finanční úřad</w:t>
      </w:r>
    </w:p>
    <w:p>
      <w:pPr>
        <w:pStyle w:val="Compact"/>
        <w:numPr>
          <w:numId w:val="1112"/>
          <w:ilvl w:val="1"/>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113"/>
          <w:ilvl w:val="1"/>
        </w:numPr>
      </w:pPr>
      <w:r>
        <w:t xml:space="preserve">Správce daně dbá na to, aby při rozhodování skutkově shodných nebo podobných případů nevznikaly nedůvodné rozdíly.</w:t>
      </w:r>
    </w:p>
    <w:p>
      <w:pPr>
        <w:pStyle w:val="Compact"/>
        <w:numPr>
          <w:numId w:val="1114"/>
          <w:ilvl w:val="1"/>
        </w:numPr>
      </w:pPr>
      <w:r>
        <w:t xml:space="preserve">Správce daně vychází ze skutečného obsahu právního jednání nebo jiné skutečnosti rozhodné pro správu daní.</w:t>
      </w:r>
    </w:p>
    <w:p>
      <w:pPr>
        <w:pStyle w:val="Compact"/>
        <w:numPr>
          <w:numId w:val="1115"/>
          <w:ilvl w:val="1"/>
        </w:numPr>
      </w:pPr>
      <w:r>
        <w:t xml:space="preserve">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110"/>
          <w:ilvl w:val="0"/>
        </w:numPr>
      </w:pPr>
      <w:r>
        <w:t xml:space="preserve">§ 92 odst. 5 písm. f) DŘ – správce daně prokazuje: „f) skutečnosti rozhodné pro posouzení účelu právního jednání a jiných skutečností rozhodných pro správu daní, jejichž převažujícím účelem je získání daňové výhody v rozporu se smyslem a účelem daňového právního předpisu.”</w:t>
      </w:r>
      <w:r>
        <w:rPr>
          <w:rStyle w:val="FootnoteReference"/>
        </w:rPr>
        <w:footnoteReference w:id="110"/>
      </w:r>
    </w:p>
    <w:p>
      <w:pPr>
        <w:pStyle w:val="Compact"/>
        <w:numPr>
          <w:numId w:val="1110"/>
          <w:ilvl w:val="0"/>
        </w:numPr>
      </w:pPr>
      <w:r>
        <w:t xml:space="preserve">Příklad:</w:t>
      </w:r>
    </w:p>
    <w:p>
      <w:pPr>
        <w:pStyle w:val="Compact"/>
        <w:numPr>
          <w:numId w:val="1116"/>
          <w:ilvl w:val="1"/>
        </w:numPr>
      </w:pPr>
      <w:r>
        <w:t xml:space="preserve">Konkrétní aplikace zneužití práva můžeme zatím vysledovat z judikatury soudů k této oblasti. Tak např. poprvé se zneužití práva v daňové oblasti v ČR objevilo v rozsudku Nejvyššího správního soudu v roce 2005, za zneužití práva označil případ, kdy fyzické osoby založily občanské sdružení, kde byly členové opět ony a jejich rodinní příslušníci. Následně tomuto občanskému sdružení poskytly jako fyzické osoby dary na charitativní účely a odečetly si je od základu daně. Občanské sdružení pak z těchto darů financovalo aktivity jeho členů, tedy v podstatě členů rodiny dárců. Text zákona porušen nebyl. Nejvyšší správní soud ale konstatoval, že u charitativních darů jako odečitatelné položky od základu daně není smyslem zákona použít je v konečném důsledku na spotřebu členů rodiny dárců</w:t>
      </w:r>
      <w:r>
        <w:rPr>
          <w:rStyle w:val="FootnoteReference"/>
        </w:rPr>
        <w:footnoteReference w:id="111"/>
      </w:r>
      <w:r>
        <w:t xml:space="preserve">.</w:t>
      </w:r>
    </w:p>
    <w:p>
      <w:pPr>
        <w:pStyle w:val="Compact"/>
        <w:numPr>
          <w:numId w:val="1110"/>
          <w:ilvl w:val="0"/>
        </w:numPr>
      </w:pPr>
      <w:r>
        <w:rPr>
          <w:b/>
        </w:rPr>
        <w:t xml:space="preserve">obcházení zákona</w:t>
      </w:r>
      <w:r>
        <w:t xml:space="preserve"> </w:t>
      </w:r>
      <w:r>
        <w:t xml:space="preserve">- prokazuje finanční úřad</w:t>
      </w:r>
    </w:p>
    <w:p>
      <w:pPr>
        <w:pStyle w:val="Compact"/>
        <w:numPr>
          <w:numId w:val="1110"/>
          <w:ilvl w:val="0"/>
        </w:numPr>
      </w:pPr>
      <w:r>
        <w:t xml:space="preserve">Pojem obcházení zákona je zobecněn v Nálezu Ústavního soudu ze dne 1. dubna 2003, sp. zn. II. ÚS 119/01 jako „vyloučení závazného pravidla záměrným použitím prostředku, který sám o sobě není zákonem zakázaný… postup, kdy se někdo chová podle práva, ale tak, aby záměrně dosáhl výsledku právní normou nepředvídaného a nežádoucího.“ Obcházením zákona lze např. chápat prodej a následný zpětný nákup akcií za nižší cenu, kdy dochází k účelnému obcházení povinnosti vyplývající ze zákona č. 563/1991 Sb., o účetnictví, ve znění pozdějších předpisů (dále jen „zákon o účetnictví“), konkrétně z § 26 odst. 3, dle kterého by mělo být znehodnocení akcií upraveno o opravné položky. Prodej a zpětný nákup akcií v tomto případě není v rozporu s žádnou právní normou, ale slouží jako záměrný prostředek k vyloučení závazného pravidla stanoveného zákonem o účetnictví a k dosažení výsledku právní normou nepředvídaného a nežádoucího</w:t>
      </w:r>
      <w:r>
        <w:rPr>
          <w:rStyle w:val="FootnoteReference"/>
        </w:rPr>
        <w:footnoteReference w:id="112"/>
      </w:r>
      <w:r>
        <w:t xml:space="preserve">.</w:t>
      </w:r>
    </w:p>
    <w:p>
      <w:pPr>
        <w:pStyle w:val="Heading2"/>
      </w:pPr>
      <w:bookmarkStart w:id="113" w:name="daňové-tvrzení-důkazní-břemeno-v-daňovém-řízení"/>
      <w:bookmarkEnd w:id="113"/>
      <w:r>
        <w:t xml:space="preserve">19. Daňové tvrzení, důkazní břemeno v daňovém řízení</w:t>
      </w:r>
    </w:p>
    <w:p>
      <w:pPr>
        <w:pStyle w:val="Compact"/>
        <w:numPr>
          <w:numId w:val="1117"/>
          <w:ilvl w:val="0"/>
        </w:numPr>
      </w:pPr>
      <w:r>
        <w:t xml:space="preserve">§70 - §77 DŘ</w:t>
      </w:r>
    </w:p>
    <w:p>
      <w:pPr>
        <w:pStyle w:val="Compact"/>
        <w:numPr>
          <w:numId w:val="1117"/>
          <w:ilvl w:val="0"/>
        </w:numPr>
      </w:pPr>
      <w:r>
        <w:t xml:space="preserve">Řízení se zahajuje podáním (například formulářové podání - například daň z příjmu - daňové přiznání)</w:t>
      </w:r>
    </w:p>
    <w:p>
      <w:pPr>
        <w:pStyle w:val="Compact"/>
        <w:numPr>
          <w:numId w:val="1117"/>
          <w:ilvl w:val="0"/>
        </w:numPr>
      </w:pPr>
      <w:r>
        <w:t xml:space="preserve">Podání je úkonem osoby zúčastněné na správě daní směřujícím vůči správci daně.</w:t>
      </w:r>
    </w:p>
    <w:p>
      <w:pPr>
        <w:pStyle w:val="Compact"/>
        <w:numPr>
          <w:numId w:val="1117"/>
          <w:ilvl w:val="0"/>
        </w:numPr>
      </w:pPr>
      <w:r>
        <w:t xml:space="preserve">Podání se činí u příslušného správce daně. Podání je učiněno dnem, kdy tomuto správci daně došlo.</w:t>
      </w:r>
    </w:p>
    <w:p>
      <w:pPr>
        <w:pStyle w:val="Compact"/>
        <w:numPr>
          <w:numId w:val="1117"/>
          <w:ilvl w:val="0"/>
        </w:numPr>
      </w:pPr>
      <w:r>
        <w:t xml:space="preserve">Ne všechny podání musí nutně zahájit řízení</w:t>
      </w:r>
    </w:p>
    <w:p>
      <w:pPr>
        <w:pStyle w:val="Compact"/>
        <w:numPr>
          <w:numId w:val="1117"/>
          <w:ilvl w:val="0"/>
        </w:numPr>
      </w:pPr>
      <w:r>
        <w:t xml:space="preserve">Pokud má podání vady - osoba vyzvána k nápravě</w:t>
      </w:r>
    </w:p>
    <w:p>
      <w:pPr>
        <w:numPr>
          <w:numId w:val="1117"/>
          <w:ilvl w:val="0"/>
        </w:numPr>
      </w:pPr>
      <w:r>
        <w:t xml:space="preserve">Pokud je podáno k nepříslušnému správci daně - postoupí podání příslušnému správci daně</w:t>
      </w:r>
    </w:p>
    <w:p>
      <w:pPr>
        <w:pStyle w:val="Compact"/>
        <w:numPr>
          <w:numId w:val="1117"/>
          <w:ilvl w:val="0"/>
        </w:numPr>
      </w:pPr>
      <w:r>
        <w:t xml:space="preserve">Vyhledávací postupy §78 - §79 DŘ</w:t>
      </w:r>
      <w:r>
        <w:rPr>
          <w:rStyle w:val="FootnoteReference"/>
        </w:rPr>
        <w:footnoteReference w:id="114"/>
      </w:r>
    </w:p>
    <w:p>
      <w:pPr>
        <w:pStyle w:val="Compact"/>
        <w:numPr>
          <w:numId w:val="1117"/>
          <w:ilvl w:val="0"/>
        </w:numPr>
      </w:pPr>
      <w:r>
        <w:t xml:space="preserve">Vyhledávací činnost:</w:t>
      </w:r>
    </w:p>
    <w:p>
      <w:pPr>
        <w:pStyle w:val="Compact"/>
        <w:numPr>
          <w:numId w:val="1118"/>
          <w:ilvl w:val="1"/>
        </w:numPr>
      </w:pPr>
      <w:r>
        <w:t xml:space="preserve">Správce daně vyhledává důkazní prostředky a daňové subjekty a zjišťuje plnění jejich povinností při správě daní před zahájením řízení i v jeho průběhu.</w:t>
      </w:r>
    </w:p>
    <w:p>
      <w:pPr>
        <w:pStyle w:val="Compact"/>
        <w:numPr>
          <w:numId w:val="1118"/>
          <w:ilvl w:val="1"/>
        </w:numPr>
      </w:pPr>
      <w:r>
        <w:t xml:space="preserve">Vyhledávací činnost provádí správce daně i bez součinnosti s daňovým subjektem.</w:t>
      </w:r>
    </w:p>
    <w:p>
      <w:pPr>
        <w:pStyle w:val="Compact"/>
        <w:numPr>
          <w:numId w:val="1118"/>
          <w:ilvl w:val="1"/>
        </w:numPr>
      </w:pPr>
      <w:r>
        <w:t xml:space="preserve">V rámci vyhledávací činnosti správce daně</w:t>
      </w:r>
    </w:p>
    <w:p>
      <w:pPr>
        <w:pStyle w:val="Compact"/>
        <w:numPr>
          <w:numId w:val="1119"/>
          <w:ilvl w:val="2"/>
        </w:numPr>
      </w:pPr>
      <w:r>
        <w:t xml:space="preserve">ověřuje úplnost evidence či registrace daňových subjektů,</w:t>
      </w:r>
    </w:p>
    <w:p>
      <w:pPr>
        <w:pStyle w:val="Compact"/>
        <w:numPr>
          <w:numId w:val="1120"/>
          <w:ilvl w:val="2"/>
        </w:numPr>
      </w:pPr>
      <w:r>
        <w:t xml:space="preserve">zjišťuje údaje týkající se příjmů, majetkových poměrů a dalších skutečností rozhodných pro správné zjištění, stanovení a placení daně,</w:t>
      </w:r>
    </w:p>
    <w:p>
      <w:pPr>
        <w:pStyle w:val="Compact"/>
        <w:numPr>
          <w:numId w:val="1121"/>
          <w:ilvl w:val="2"/>
        </w:numPr>
      </w:pPr>
      <w:r>
        <w:t xml:space="preserve">shromažďuje a zpracovává informace a využívá informační systémy v rozsahu podle § 9 odst. 3,</w:t>
      </w:r>
    </w:p>
    <w:p>
      <w:pPr>
        <w:pStyle w:val="Compact"/>
        <w:numPr>
          <w:numId w:val="1122"/>
          <w:ilvl w:val="2"/>
        </w:numPr>
      </w:pPr>
      <w:r>
        <w:t xml:space="preserve">opatřuje nezbytná vysvětlení,</w:t>
      </w:r>
    </w:p>
    <w:p>
      <w:pPr>
        <w:pStyle w:val="Compact"/>
        <w:numPr>
          <w:numId w:val="1123"/>
          <w:ilvl w:val="2"/>
        </w:numPr>
      </w:pPr>
      <w:r>
        <w:t xml:space="preserve">provádí místní šetření.</w:t>
      </w:r>
    </w:p>
    <w:p>
      <w:pPr>
        <w:pStyle w:val="Compact"/>
        <w:numPr>
          <w:numId w:val="1124"/>
          <w:ilvl w:val="2"/>
        </w:numPr>
      </w:pPr>
      <w:r>
        <w:t xml:space="preserve">Správce daně, který není místně příslušný, může provádět místní šetření i bez dožádání.</w:t>
      </w:r>
    </w:p>
    <w:p>
      <w:pPr>
        <w:pStyle w:val="Compact"/>
        <w:numPr>
          <w:numId w:val="1117"/>
          <w:ilvl w:val="0"/>
        </w:numPr>
      </w:pPr>
      <w:r>
        <w:t xml:space="preserve">Vysvětlení:</w:t>
      </w:r>
    </w:p>
    <w:p>
      <w:pPr>
        <w:pStyle w:val="Compact"/>
        <w:numPr>
          <w:numId w:val="1126"/>
          <w:ilvl w:val="2"/>
        </w:numPr>
      </w:pPr>
      <w:r>
        <w:t xml:space="preserve">Správce daně v rámci vyhledávací činnosti opatřuje nezbytná vysvětlení k prověření skutečností rozhodných pro naplnění cíle správy daní, pokud tyto skutečnosti nelze prověřit jiným úředním postupem.</w:t>
      </w:r>
    </w:p>
    <w:p>
      <w:pPr>
        <w:pStyle w:val="Compact"/>
        <w:numPr>
          <w:numId w:val="1127"/>
          <w:ilvl w:val="2"/>
        </w:numPr>
      </w:pPr>
      <w:r>
        <w:t xml:space="preserve">Každý je povinen podat správci daně vysvětlení; pro odepření vysvětlení se obdobně použije § 96 odst. 2 až 4.</w:t>
      </w:r>
    </w:p>
    <w:p>
      <w:pPr>
        <w:pStyle w:val="Compact"/>
        <w:numPr>
          <w:numId w:val="1128"/>
          <w:ilvl w:val="2"/>
        </w:numPr>
      </w:pPr>
      <w:r>
        <w:t xml:space="preserve">Podané vysvětlení nelze použít jako důkazní prostředek.</w:t>
      </w:r>
    </w:p>
    <w:p>
      <w:pPr>
        <w:pStyle w:val="Compact"/>
        <w:numPr>
          <w:numId w:val="1129"/>
          <w:ilvl w:val="2"/>
        </w:numPr>
      </w:pPr>
      <w:r>
        <w:t xml:space="preserve">O podaném vysvětlení sepíše správce daně podle povahy vysvětlení protokol nebo úřední záznam.</w:t>
      </w:r>
    </w:p>
    <w:p>
      <w:pPr>
        <w:pStyle w:val="Compact"/>
        <w:numPr>
          <w:numId w:val="1117"/>
          <w:ilvl w:val="0"/>
        </w:numPr>
      </w:pPr>
      <w:r>
        <w:t xml:space="preserve">§91 - §107</w:t>
      </w:r>
    </w:p>
    <w:p>
      <w:pPr>
        <w:pStyle w:val="Compact"/>
        <w:numPr>
          <w:numId w:val="1117"/>
          <w:ilvl w:val="0"/>
        </w:numPr>
      </w:pPr>
      <w:r>
        <w:t xml:space="preserve">Zahájení řízení</w:t>
      </w:r>
    </w:p>
    <w:p>
      <w:pPr>
        <w:pStyle w:val="Compact"/>
        <w:numPr>
          <w:numId w:val="1130"/>
          <w:ilvl w:val="1"/>
        </w:numPr>
      </w:pPr>
      <w:r>
        <w:t xml:space="preserve">Řízení je zahájeno dnem, kdy příslušnému správci daně došlo první podání ve věci učiněné osobou zúčastněnou na správě daní, nebo dnem, kdy byl správcem daně vůči osobě zúčastněné na správě daní učiněn první úkon ve věci.</w:t>
      </w:r>
    </w:p>
    <w:p>
      <w:pPr>
        <w:pStyle w:val="Compact"/>
        <w:numPr>
          <w:numId w:val="1130"/>
          <w:ilvl w:val="1"/>
        </w:numPr>
      </w:pPr>
      <w:r>
        <w:t xml:space="preserve">Nesplní-li daňový subjekt svou povinnost učinit podání zahajující řízení, zahájí správce daně toto řízení z moci úřední, jakmile zjistí skutečnosti zakládající tuto povinnost.</w:t>
      </w:r>
    </w:p>
    <w:p>
      <w:pPr>
        <w:pStyle w:val="Compact"/>
        <w:numPr>
          <w:numId w:val="1117"/>
          <w:ilvl w:val="0"/>
        </w:numPr>
      </w:pPr>
      <w:r>
        <w:t xml:space="preserve">Dokazování</w:t>
      </w:r>
    </w:p>
    <w:p>
      <w:pPr>
        <w:pStyle w:val="Compact"/>
        <w:numPr>
          <w:numId w:val="1131"/>
          <w:ilvl w:val="1"/>
        </w:numPr>
      </w:pPr>
      <w:r>
        <w:t xml:space="preserve">Dokazování provádí příslušný správce daně nebo jím dožádaný správce daně.</w:t>
      </w:r>
    </w:p>
    <w:p>
      <w:pPr>
        <w:pStyle w:val="Compact"/>
        <w:numPr>
          <w:numId w:val="1131"/>
          <w:ilvl w:val="1"/>
        </w:numPr>
      </w:pPr>
      <w:r>
        <w:t xml:space="preserve">Správce daně dbá, aby skutečnosti rozhodné pro správné zjištění a stanovení daně byly zjištěny co nejúplněji, a není v tom vázán jen návrhy daňových subjektů.</w:t>
      </w:r>
    </w:p>
    <w:p>
      <w:pPr>
        <w:pStyle w:val="Compact"/>
        <w:numPr>
          <w:numId w:val="1131"/>
          <w:ilvl w:val="1"/>
        </w:numPr>
      </w:pPr>
      <w:r>
        <w:t xml:space="preserve">Daňový subjekt prokazuje všechny skutečnosti, které je povinen uvádět v daňovém tvrzení a dalších podáních.</w:t>
      </w:r>
    </w:p>
    <w:p>
      <w:pPr>
        <w:pStyle w:val="Compact"/>
        <w:numPr>
          <w:numId w:val="1131"/>
          <w:ilvl w:val="1"/>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131"/>
          <w:ilvl w:val="1"/>
        </w:numPr>
      </w:pPr>
      <w:r>
        <w:t xml:space="preserve">Zákon taxativně definuje, co prokazuje správce daně, například:</w:t>
      </w:r>
    </w:p>
    <w:p>
      <w:pPr>
        <w:pStyle w:val="Compact"/>
        <w:numPr>
          <w:numId w:val="1131"/>
          <w:ilvl w:val="1"/>
        </w:numPr>
      </w:pPr>
      <w:r>
        <w:t xml:space="preserve">Oznámení vlastních písemností,</w:t>
      </w:r>
    </w:p>
    <w:p>
      <w:pPr>
        <w:pStyle w:val="Compact"/>
        <w:numPr>
          <w:numId w:val="1131"/>
          <w:ilvl w:val="1"/>
        </w:numPr>
      </w:pPr>
      <w:r>
        <w:t xml:space="preserve">skutečnosti vyvracející věrohodnost úředních záznamů atd.</w:t>
      </w:r>
    </w:p>
    <w:p>
      <w:pPr>
        <w:pStyle w:val="Compact"/>
        <w:numPr>
          <w:numId w:val="1131"/>
          <w:ilvl w:val="1"/>
        </w:numPr>
      </w:pPr>
      <w:r>
        <w:t xml:space="preserve">Je možné navrhnout účast třetí osoby v řízení.</w:t>
      </w:r>
    </w:p>
    <w:p>
      <w:pPr>
        <w:pStyle w:val="Compact"/>
        <w:numPr>
          <w:numId w:val="1131"/>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pStyle w:val="Compact"/>
        <w:numPr>
          <w:numId w:val="1117"/>
          <w:ilvl w:val="0"/>
        </w:numPr>
      </w:pPr>
      <w:r>
        <w:t xml:space="preserve">Důkazní prostředky</w:t>
      </w:r>
    </w:p>
    <w:p>
      <w:pPr>
        <w:pStyle w:val="Compact"/>
        <w:numPr>
          <w:numId w:val="1132"/>
          <w:ilvl w:val="1"/>
        </w:numPr>
      </w:pPr>
      <w:r>
        <w:t xml:space="preserve">Jako důkazních prostředků lze užít všech podkladů, jimiž lze zjistit skutečný stav věci a ověřit skutečnosti rozhodné pro správné zjištění a stanovení daně a které nejsou získány v rozporu s právním předpisem, a to i těch, které byly získány před zahájením řízení. Jde zejména o tvrzení daňového subjektu, listiny, znalecké posudky, svědecké výpovědi a ohledání věci.</w:t>
      </w:r>
    </w:p>
    <w:p>
      <w:pPr>
        <w:pStyle w:val="Compact"/>
        <w:numPr>
          <w:numId w:val="1132"/>
          <w:ilvl w:val="1"/>
        </w:numPr>
      </w:pPr>
      <w:r>
        <w:t xml:space="preserve">Jedná se tak například o:</w:t>
      </w:r>
    </w:p>
    <w:p>
      <w:pPr>
        <w:pStyle w:val="Compact"/>
        <w:numPr>
          <w:numId w:val="1132"/>
          <w:ilvl w:val="1"/>
        </w:numPr>
      </w:pPr>
      <w:r>
        <w:t xml:space="preserve">Listiny,</w:t>
      </w:r>
    </w:p>
    <w:p>
      <w:pPr>
        <w:pStyle w:val="Compact"/>
        <w:numPr>
          <w:numId w:val="1132"/>
          <w:ilvl w:val="1"/>
        </w:numPr>
      </w:pPr>
      <w:r>
        <w:t xml:space="preserve">Znalecký posudek,</w:t>
      </w:r>
    </w:p>
    <w:p>
      <w:pPr>
        <w:pStyle w:val="Compact"/>
        <w:numPr>
          <w:numId w:val="1132"/>
          <w:ilvl w:val="1"/>
        </w:numPr>
      </w:pPr>
      <w:r>
        <w:t xml:space="preserve">Svědky,</w:t>
      </w:r>
    </w:p>
    <w:p>
      <w:pPr>
        <w:pStyle w:val="Compact"/>
        <w:numPr>
          <w:numId w:val="1132"/>
          <w:ilvl w:val="1"/>
        </w:numPr>
      </w:pPr>
      <w:r>
        <w:t xml:space="preserve">Záznamní povinnost - Daňový subjekt, který v rámci své podnikatelské nebo jiné samostatně výdělečné činnosti uskutečňuje platby v hotovosti, je povinen vést průběžně evidenci těchto plateb, pokud nezaznamenává údaje o těchto platbách v jiné evidenci stanovené zákonem.</w:t>
      </w:r>
    </w:p>
    <w:p>
      <w:pPr>
        <w:pStyle w:val="Compact"/>
        <w:numPr>
          <w:numId w:val="1117"/>
          <w:ilvl w:val="0"/>
        </w:numPr>
      </w:pPr>
      <w:r>
        <w:t xml:space="preserve">Pomůcky a sjednání daně</w:t>
      </w:r>
    </w:p>
    <w:p>
      <w:pPr>
        <w:pStyle w:val="Compact"/>
        <w:numPr>
          <w:numId w:val="1133"/>
          <w:ilvl w:val="1"/>
        </w:numPr>
      </w:pPr>
      <w:r>
        <w:t xml:space="preserve">Nesplní-li daňový subjekt při dokazování jím uváděných skutečností některou ze svých zákonných povinností, a v důsledku toho nelze daň stanovit na základě dokazování, správce daně stanoví daň podle pomůcek, které má k dispozici nebo které si obstará, a to i bez součinnosti s daňovým subjektem. Uplatnění tohoto postupu při stanovení daně se uvede ve výroku rozhodnutí.</w:t>
      </w:r>
    </w:p>
    <w:p>
      <w:pPr>
        <w:pStyle w:val="Compact"/>
        <w:numPr>
          <w:numId w:val="1133"/>
          <w:ilvl w:val="1"/>
        </w:numPr>
      </w:pPr>
      <w:r>
        <w:t xml:space="preserve">Pomůckami jsou zejména</w:t>
      </w:r>
    </w:p>
    <w:p>
      <w:pPr>
        <w:pStyle w:val="Compact"/>
        <w:numPr>
          <w:numId w:val="1134"/>
          <w:ilvl w:val="2"/>
        </w:numPr>
      </w:pPr>
      <w:r>
        <w:t xml:space="preserve">důkazní prostředky, které nebyly správcem daně zpochybněny,</w:t>
      </w:r>
    </w:p>
    <w:p>
      <w:pPr>
        <w:pStyle w:val="Compact"/>
        <w:numPr>
          <w:numId w:val="1135"/>
          <w:ilvl w:val="2"/>
        </w:numPr>
      </w:pPr>
      <w:r>
        <w:t xml:space="preserve">podaná vysvětlení,</w:t>
      </w:r>
    </w:p>
    <w:p>
      <w:pPr>
        <w:pStyle w:val="Compact"/>
        <w:numPr>
          <w:numId w:val="1136"/>
          <w:ilvl w:val="2"/>
        </w:numPr>
      </w:pPr>
      <w:r>
        <w:t xml:space="preserve">porovnání srovnatelných daňových subjektů a jejich daňových povinností,</w:t>
      </w:r>
    </w:p>
    <w:p>
      <w:pPr>
        <w:pStyle w:val="Compact"/>
        <w:numPr>
          <w:numId w:val="1137"/>
          <w:ilvl w:val="2"/>
        </w:numPr>
      </w:pPr>
      <w:r>
        <w:t xml:space="preserve">vlastní poznatky správce daně získané při správě daní.</w:t>
      </w:r>
    </w:p>
    <w:p>
      <w:pPr>
        <w:pStyle w:val="Compact"/>
        <w:numPr>
          <w:numId w:val="1133"/>
          <w:ilvl w:val="1"/>
        </w:numPr>
      </w:pPr>
      <w:r>
        <w:t xml:space="preserve">Neprokázal-li daňový subjekt svá tvrzení vztahující se k jeho daňové povinnosti, a daň nelze dostatečně spolehlivě stanovit ani podle pomůcek, které má správce daně k dispozici, správce daně s daňovým subjektem daň sjedná. Sjednání daně se zaprotokoluje a výše sjednané daně se uvede v rozhodnutí, které má náležitosti rozhodnutí o stanovení daně a které je součástí tohoto protokolu; proti tomuto rozhodnutí nelze uplatnit opravné prostředky.</w:t>
      </w:r>
    </w:p>
    <w:p>
      <w:pPr>
        <w:pStyle w:val="Compact"/>
        <w:numPr>
          <w:numId w:val="1117"/>
          <w:ilvl w:val="0"/>
        </w:numPr>
      </w:pPr>
      <w:r>
        <w:t xml:space="preserve">Předběžná otázka</w:t>
      </w:r>
    </w:p>
    <w:p>
      <w:pPr>
        <w:pStyle w:val="Compact"/>
        <w:numPr>
          <w:numId w:val="1138"/>
          <w:ilvl w:val="1"/>
        </w:numPr>
      </w:pPr>
      <w:r>
        <w:t xml:space="preserve">Správce daně je vázán rozhodovací praxí</w:t>
      </w:r>
    </w:p>
    <w:p>
      <w:pPr>
        <w:pStyle w:val="Compact"/>
        <w:numPr>
          <w:numId w:val="1138"/>
          <w:ilvl w:val="1"/>
        </w:numPr>
      </w:pPr>
      <w:r>
        <w:t xml:space="preserve">Může však podat podnět na zahájení řízení</w:t>
      </w:r>
    </w:p>
    <w:p>
      <w:pPr>
        <w:pStyle w:val="Compact"/>
        <w:numPr>
          <w:numId w:val="1138"/>
          <w:ilvl w:val="1"/>
        </w:numPr>
      </w:pPr>
      <w:r>
        <w:t xml:space="preserve">Určité otázky může posoudit sám, jiné nemůže - §99 DŘ</w:t>
      </w:r>
    </w:p>
    <w:p>
      <w:pPr>
        <w:pStyle w:val="Compact"/>
        <w:numPr>
          <w:numId w:val="1117"/>
          <w:ilvl w:val="0"/>
        </w:numPr>
      </w:pPr>
      <w:r>
        <w:t xml:space="preserve">Předvolání a předvedení</w:t>
      </w:r>
    </w:p>
    <w:p>
      <w:pPr>
        <w:pStyle w:val="Compact"/>
        <w:numPr>
          <w:numId w:val="1139"/>
          <w:ilvl w:val="1"/>
        </w:numPr>
      </w:pPr>
      <w:r>
        <w:t xml:space="preserve">Je možné předvolat - do vlastních rukou s poučením,</w:t>
      </w:r>
    </w:p>
    <w:p>
      <w:pPr>
        <w:pStyle w:val="Compact"/>
        <w:numPr>
          <w:numId w:val="1139"/>
          <w:ilvl w:val="1"/>
        </w:numPr>
      </w:pPr>
      <w:r>
        <w:t xml:space="preserve">pokud se osoba nedostaví, je možné jí předvést - §100 DŘ.</w:t>
      </w:r>
    </w:p>
    <w:p>
      <w:pPr>
        <w:pStyle w:val="Compact"/>
        <w:numPr>
          <w:numId w:val="1117"/>
          <w:ilvl w:val="0"/>
        </w:numPr>
      </w:pPr>
      <w:r>
        <w:t xml:space="preserve">Rozhodnutí</w:t>
      </w:r>
    </w:p>
    <w:p>
      <w:pPr>
        <w:pStyle w:val="Compact"/>
        <w:numPr>
          <w:numId w:val="1140"/>
          <w:ilvl w:val="1"/>
        </w:numPr>
      </w:pPr>
      <w:r>
        <w:t xml:space="preserve">Správce daně ukládá povinnosti nebo přiznává práva anebo prohlašuje práva a povinnosti stanovené zákonem rozhodnutím.</w:t>
      </w:r>
    </w:p>
    <w:p>
      <w:pPr>
        <w:pStyle w:val="Compact"/>
        <w:numPr>
          <w:numId w:val="1140"/>
          <w:ilvl w:val="1"/>
        </w:numPr>
      </w:pPr>
      <w:r>
        <w:t xml:space="preserve">Rozhodnutí je vydané okamžikem doručení, pokud se nedoručuje je vydané okamžikem podepsání daného rozhodnutí úřední osobou - §101 DŘ.</w:t>
      </w:r>
    </w:p>
    <w:p>
      <w:pPr>
        <w:pStyle w:val="Compact"/>
        <w:numPr>
          <w:numId w:val="1140"/>
          <w:ilvl w:val="1"/>
        </w:numPr>
      </w:pPr>
      <w:r>
        <w:t xml:space="preserve">Zákon vymezuje co rozhodnutí obsahuje, především se jedná o určení stran, výrok s odůvodnění, lhůty, poučení, podpis úřední osoby a datum.</w:t>
      </w:r>
    </w:p>
    <w:p>
      <w:pPr>
        <w:pStyle w:val="Compact"/>
        <w:numPr>
          <w:numId w:val="1140"/>
          <w:ilvl w:val="1"/>
        </w:numPr>
      </w:pPr>
      <w:r>
        <w:t xml:space="preserve">Rozhodnutí, které je účinní a proti kterému se nelze odvolat, je v právní moci.</w:t>
      </w:r>
    </w:p>
    <w:p>
      <w:pPr>
        <w:pStyle w:val="Compact"/>
        <w:numPr>
          <w:numId w:val="1140"/>
          <w:ilvl w:val="1"/>
        </w:numPr>
      </w:pPr>
      <w:r>
        <w:t xml:space="preserve">Rozhodnutí, které je účinné, je vykonatelné, jestliže se proti němu nelze odvolat, nebo jestliže odvolání nemá odkladný účinek, a uplynula-li lhůta k plnění, pokud byla stanovena.</w:t>
      </w:r>
    </w:p>
    <w:p>
      <w:pPr>
        <w:pStyle w:val="Compact"/>
        <w:numPr>
          <w:numId w:val="1117"/>
          <w:ilvl w:val="0"/>
        </w:numPr>
      </w:pPr>
      <w:r>
        <w:t xml:space="preserve">Opravy zřejmých nesprávností</w:t>
      </w:r>
    </w:p>
    <w:p>
      <w:pPr>
        <w:pStyle w:val="Compact"/>
        <w:numPr>
          <w:numId w:val="1141"/>
          <w:ilvl w:val="1"/>
        </w:numPr>
      </w:pPr>
      <w:r>
        <w:t xml:space="preserve">Správce daně může v rozhodnutí opravit zřejmé nesprávnosti.</w:t>
      </w:r>
    </w:p>
    <w:p>
      <w:pPr>
        <w:pStyle w:val="Compact"/>
        <w:numPr>
          <w:numId w:val="1117"/>
          <w:ilvl w:val="0"/>
        </w:numPr>
      </w:pPr>
      <w:r>
        <w:t xml:space="preserve">Nicotnost rozhodnutí</w:t>
      </w:r>
    </w:p>
    <w:p>
      <w:pPr>
        <w:pStyle w:val="Compact"/>
        <w:numPr>
          <w:numId w:val="1142"/>
          <w:ilvl w:val="1"/>
        </w:numPr>
      </w:pPr>
      <w:r>
        <w:t xml:space="preserve">Nicotnost rozhodnutí zjišťuje a prohlašuje z moci úřední, a to kdykoliv, správce daně nejblíže nadřízený správci daně, který rozhodnutí vydal.</w:t>
      </w:r>
    </w:p>
    <w:p>
      <w:pPr>
        <w:pStyle w:val="Compact"/>
        <w:numPr>
          <w:numId w:val="1142"/>
          <w:ilvl w:val="1"/>
        </w:numPr>
      </w:pPr>
      <w:r>
        <w:t xml:space="preserve">Důvody pro nicotnost zákon stanovuje, jedná se například o - věcnou příslušnost, trpí zásadními vadami, je vydáno na základě nicotného rozhodnutí.</w:t>
      </w:r>
    </w:p>
    <w:p>
      <w:pPr>
        <w:pStyle w:val="Compact"/>
        <w:numPr>
          <w:numId w:val="1117"/>
          <w:ilvl w:val="0"/>
        </w:numPr>
      </w:pPr>
      <w:r>
        <w:t xml:space="preserve">Zastavení řízení</w:t>
      </w:r>
    </w:p>
    <w:p>
      <w:pPr>
        <w:pStyle w:val="Compact"/>
        <w:numPr>
          <w:numId w:val="1143"/>
          <w:ilvl w:val="1"/>
        </w:numPr>
      </w:pPr>
      <w:r>
        <w:t xml:space="preserve">Správce daně rozhodnutím může zastavit řízení, pokud:</w:t>
      </w:r>
    </w:p>
    <w:p>
      <w:pPr>
        <w:pStyle w:val="Compact"/>
        <w:numPr>
          <w:numId w:val="1143"/>
          <w:ilvl w:val="1"/>
        </w:numPr>
      </w:pPr>
      <w:r>
        <w:t xml:space="preserve">osoba zůčastněná na správě daní vzala své podání zpět,</w:t>
      </w:r>
    </w:p>
    <w:p>
      <w:pPr>
        <w:pStyle w:val="Compact"/>
        <w:numPr>
          <w:numId w:val="1143"/>
          <w:ilvl w:val="1"/>
        </w:numPr>
      </w:pPr>
      <w:r>
        <w:t xml:space="preserve">jde o zjevně nepřípustné podání,</w:t>
      </w:r>
    </w:p>
    <w:p>
      <w:pPr>
        <w:pStyle w:val="Compact"/>
        <w:numPr>
          <w:numId w:val="1143"/>
          <w:ilvl w:val="1"/>
        </w:numPr>
      </w:pPr>
      <w:r>
        <w:t xml:space="preserve">ten, o jehož právech a povinnostech má být rozhodnuto, zanikl bez právního nástupce,</w:t>
      </w:r>
    </w:p>
    <w:p>
      <w:pPr>
        <w:pStyle w:val="Compact"/>
        <w:numPr>
          <w:numId w:val="1143"/>
          <w:ilvl w:val="1"/>
        </w:numPr>
      </w:pPr>
      <w:r>
        <w:t xml:space="preserve">o věci již bylo pravomocně rozhodnuto,</w:t>
      </w:r>
    </w:p>
    <w:p>
      <w:pPr>
        <w:pStyle w:val="Compact"/>
        <w:numPr>
          <w:numId w:val="1143"/>
          <w:ilvl w:val="1"/>
        </w:numPr>
      </w:pPr>
      <w:r>
        <w:t xml:space="preserve">nelze v řízení pokračovat z důvodů, které stanoví zákon, nebo,</w:t>
      </w:r>
    </w:p>
    <w:p>
      <w:pPr>
        <w:pStyle w:val="Compact"/>
        <w:numPr>
          <w:numId w:val="1143"/>
          <w:ilvl w:val="1"/>
        </w:numPr>
      </w:pPr>
      <w:r>
        <w:t xml:space="preserve">řízení se stalo bezpředmětným. - §106 DŘ</w:t>
      </w:r>
    </w:p>
    <w:p>
      <w:pPr>
        <w:pStyle w:val="Compact"/>
        <w:numPr>
          <w:numId w:val="1117"/>
          <w:ilvl w:val="0"/>
        </w:numPr>
      </w:pPr>
      <w:r>
        <w:t xml:space="preserve">Náklady řízení</w:t>
      </w:r>
    </w:p>
    <w:p>
      <w:pPr>
        <w:pStyle w:val="Compact"/>
        <w:numPr>
          <w:numId w:val="1144"/>
          <w:ilvl w:val="1"/>
        </w:numPr>
      </w:pPr>
      <w:r>
        <w:t xml:space="preserve">Náklady řízení nese příslušný správce daně, s výjimkou nákladů na vymáhání nedoplatků a nákladů, které vznikly osobě zúčastněné na správě daní, nebo ke kterým byla osoba zúčastněná na správě daní povinna.</w:t>
      </w:r>
    </w:p>
    <w:p>
      <w:pPr>
        <w:pStyle w:val="Heading2"/>
      </w:pPr>
      <w:bookmarkStart w:id="115" w:name="daňová-kontrola-a-jiné-instituty-pro-zjišťování-a-prověřování-daňové-povinnosti"/>
      <w:bookmarkEnd w:id="115"/>
      <w:r>
        <w:t xml:space="preserve">20. Daňová kontrola a jiné instituty pro zjišťování a prověřování daňové povinnosti</w:t>
      </w:r>
    </w:p>
    <w:p>
      <w:pPr>
        <w:pStyle w:val="Compact"/>
        <w:numPr>
          <w:numId w:val="1145"/>
          <w:ilvl w:val="0"/>
        </w:numPr>
      </w:pPr>
      <w:r>
        <w:t xml:space="preserve">Místní šetření (§ 80-84 DŘ)</w:t>
      </w:r>
    </w:p>
    <w:p>
      <w:pPr>
        <w:pStyle w:val="Compact"/>
        <w:numPr>
          <w:numId w:val="1146"/>
          <w:ilvl w:val="1"/>
        </w:numPr>
      </w:pPr>
      <w:r>
        <w:t xml:space="preserve">Správce daně může provádět místní šetření. V rámci tohoto postupu správce daně zejména vyhledává důkazní prostředky a provádí ohledání u daňových subjektů a dalších osob zúčastněných na správě daní, jakož i na místě, kde je to vzhledem k účelu místního šetření nejvhodnější.</w:t>
      </w:r>
    </w:p>
    <w:p>
      <w:pPr>
        <w:pStyle w:val="Compact"/>
        <w:numPr>
          <w:numId w:val="1147"/>
          <w:ilvl w:val="1"/>
        </w:numPr>
      </w:pPr>
      <w:r>
        <w:t xml:space="preserve">K provedení místního šetření může správce daně přizvat osobu, jejíž přítomnost je podle povahy věci potřebná.</w:t>
      </w:r>
    </w:p>
    <w:p>
      <w:pPr>
        <w:pStyle w:val="Compact"/>
        <w:numPr>
          <w:numId w:val="1148"/>
          <w:ilvl w:val="1"/>
        </w:numPr>
      </w:pPr>
      <w:r>
        <w:t xml:space="preserve">O průběhu místního šetření sepíše správce daně podle povahy šetření protokol nebo úřední záznam.</w:t>
      </w:r>
    </w:p>
    <w:p>
      <w:pPr>
        <w:pStyle w:val="Compact"/>
        <w:numPr>
          <w:numId w:val="1149"/>
          <w:ilvl w:val="1"/>
        </w:numPr>
      </w:pPr>
      <w:r>
        <w:t xml:space="preserve">Správce daně může pořizovat obrazový nebo zvukový záznam o skutečnostech dokumentujících průběh úkonu, o čemž předem uvědomí osoby, které se tohoto úkonu účastní.</w:t>
      </w:r>
    </w:p>
    <w:p>
      <w:pPr>
        <w:pStyle w:val="FirstParagraph"/>
      </w:pPr>
      <w:r>
        <w:t xml:space="preserve">Daňová kontrola (§ 85-88a DŘ)</w:t>
      </w:r>
      <w:r>
        <w:br w:type="textWrapping"/>
      </w:r>
      <w:r>
        <w:t xml:space="preserve">Postup k odstranění pochybností (§ 89-90 DŘ)</w:t>
      </w:r>
    </w:p>
    <w:p>
      <w:pPr>
        <w:pStyle w:val="Heading2"/>
      </w:pPr>
      <w:bookmarkStart w:id="116" w:name="dokazování-v-daňovém-řízení"/>
      <w:bookmarkEnd w:id="116"/>
      <w:r>
        <w:t xml:space="preserve">21. Dokazování v daňovém řízení</w:t>
      </w:r>
    </w:p>
    <w:p>
      <w:pPr>
        <w:pStyle w:val="Heading3"/>
      </w:pPr>
      <w:bookmarkStart w:id="117" w:name="obsah"/>
      <w:bookmarkEnd w:id="117"/>
      <w:r>
        <w:t xml:space="preserve">Obsah</w:t>
      </w:r>
    </w:p>
    <w:p>
      <w:pPr>
        <w:pStyle w:val="Compact"/>
        <w:numPr>
          <w:numId w:val="1150"/>
          <w:ilvl w:val="0"/>
        </w:numPr>
      </w:pPr>
      <w:r>
        <w:t xml:space="preserve">Procesní otázky:</w:t>
      </w:r>
    </w:p>
    <w:p>
      <w:pPr>
        <w:pStyle w:val="Compact"/>
        <w:numPr>
          <w:numId w:val="1150"/>
          <w:ilvl w:val="0"/>
        </w:numPr>
      </w:pPr>
      <w:r>
        <w:t xml:space="preserve">Důkazní břemeno</w:t>
      </w:r>
    </w:p>
    <w:p>
      <w:pPr>
        <w:pStyle w:val="Compact"/>
        <w:numPr>
          <w:numId w:val="1150"/>
          <w:ilvl w:val="0"/>
        </w:numPr>
      </w:pPr>
      <w:r>
        <w:t xml:space="preserve">Dokazování</w:t>
      </w:r>
    </w:p>
    <w:p>
      <w:pPr>
        <w:pStyle w:val="Compact"/>
        <w:numPr>
          <w:numId w:val="1150"/>
          <w:ilvl w:val="0"/>
        </w:numPr>
      </w:pPr>
      <w:r>
        <w:t xml:space="preserve">Stanovení daně podle pomůcek</w:t>
      </w:r>
    </w:p>
    <w:p>
      <w:pPr>
        <w:pStyle w:val="Compact"/>
        <w:numPr>
          <w:numId w:val="1150"/>
          <w:ilvl w:val="0"/>
        </w:numPr>
      </w:pPr>
      <w:r>
        <w:t xml:space="preserve">Dokazování ve vybraných případech (reklama, zprostředkování, manažerské služby)</w:t>
      </w:r>
    </w:p>
    <w:p>
      <w:pPr>
        <w:pStyle w:val="Compact"/>
        <w:numPr>
          <w:numId w:val="1150"/>
          <w:ilvl w:val="0"/>
        </w:numPr>
      </w:pPr>
      <w:r>
        <w:t xml:space="preserve">Judikatura soudů a její význam pro daňovou praxi</w:t>
      </w:r>
    </w:p>
    <w:p>
      <w:pPr>
        <w:pStyle w:val="Heading3"/>
      </w:pPr>
      <w:bookmarkStart w:id="118" w:name="dokazování"/>
      <w:bookmarkEnd w:id="118"/>
      <w:r>
        <w:t xml:space="preserve">Dokazování</w:t>
      </w:r>
    </w:p>
    <w:p>
      <w:pPr>
        <w:pStyle w:val="Compact"/>
        <w:numPr>
          <w:numId w:val="1151"/>
          <w:ilvl w:val="0"/>
        </w:numPr>
      </w:pPr>
      <w:r>
        <w:t xml:space="preserve">Dokazování I.</w:t>
      </w:r>
    </w:p>
    <w:p>
      <w:pPr>
        <w:pStyle w:val="Compact"/>
        <w:numPr>
          <w:numId w:val="1151"/>
          <w:ilvl w:val="0"/>
        </w:numPr>
      </w:pPr>
      <w:r>
        <w:t xml:space="preserve">Dokazování provádí</w:t>
      </w:r>
      <w:r>
        <w:t xml:space="preserve"> </w:t>
      </w:r>
      <w:r>
        <w:rPr>
          <w:b/>
        </w:rPr>
        <w:t xml:space="preserve">příslušný správce daně</w:t>
      </w:r>
      <w:r>
        <w:t xml:space="preserve"> </w:t>
      </w:r>
      <w:r>
        <w:t xml:space="preserve">nebo jím</w:t>
      </w:r>
      <w:r>
        <w:t xml:space="preserve"> </w:t>
      </w:r>
      <w:r>
        <w:rPr>
          <w:b/>
        </w:rPr>
        <w:t xml:space="preserve">dožádaný správce daně</w:t>
      </w:r>
      <w:r>
        <w:t xml:space="preserve">.</w:t>
      </w:r>
    </w:p>
    <w:p>
      <w:pPr>
        <w:pStyle w:val="Compact"/>
        <w:numPr>
          <w:numId w:val="1151"/>
          <w:ilvl w:val="0"/>
        </w:numPr>
      </w:pPr>
      <w:r>
        <w:t xml:space="preserve">Správce daně dbá, aby skutečnosti rozhodné pro správné zjištění a stanovení daně byly zjištěny co nejúplněji, a není v tom vázán jen návrhy daňových subjektů.</w:t>
      </w:r>
    </w:p>
    <w:p>
      <w:pPr>
        <w:numPr>
          <w:numId w:val="1151"/>
          <w:ilvl w:val="0"/>
        </w:numPr>
      </w:pPr>
      <w:r>
        <w:rPr>
          <w:b/>
        </w:rPr>
        <w:t xml:space="preserve">Daňový subjekt</w:t>
      </w:r>
      <w:r>
        <w:t xml:space="preserve"> </w:t>
      </w:r>
      <w:r>
        <w:t xml:space="preserve">prokazuje všechny skutečnosti, které je povinen uvádět v řádném daňovém tvrzení, dodatečném daňovém tvrzení a dalších podáních.</w:t>
      </w:r>
    </w:p>
    <w:p>
      <w:pPr>
        <w:numPr>
          <w:numId w:val="1151"/>
          <w:ilvl w:val="0"/>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151"/>
          <w:ilvl w:val="0"/>
        </w:numPr>
      </w:pPr>
      <w:r>
        <w:t xml:space="preserve">Správce daně prokazuje</w:t>
      </w:r>
    </w:p>
    <w:p>
      <w:pPr>
        <w:pStyle w:val="Compact"/>
        <w:numPr>
          <w:numId w:val="1152"/>
          <w:ilvl w:val="1"/>
        </w:numPr>
      </w:pPr>
      <w:r>
        <w:t xml:space="preserve">oznámení vlastních písemností,</w:t>
      </w:r>
    </w:p>
    <w:p>
      <w:pPr>
        <w:pStyle w:val="Compact"/>
        <w:numPr>
          <w:numId w:val="1153"/>
          <w:ilvl w:val="1"/>
        </w:numPr>
      </w:pPr>
      <w:r>
        <w:t xml:space="preserve">skutečnosti rozhodné pro užití právní domněnky nebo právní fikce,</w:t>
      </w:r>
    </w:p>
    <w:p>
      <w:pPr>
        <w:pStyle w:val="Compact"/>
        <w:numPr>
          <w:numId w:val="1154"/>
          <w:ilvl w:val="1"/>
        </w:numPr>
      </w:pPr>
      <w:r>
        <w:t xml:space="preserve">skutečnosti vyvracející věrohodnost, průkaznost, správnost či úplnost povinných evidencí, účetních záznamů, jakož i jiných záznamů, listin a dalších důkazních prostředků uplatněných daňovým subjektem,</w:t>
      </w:r>
    </w:p>
    <w:p>
      <w:pPr>
        <w:pStyle w:val="Compact"/>
        <w:numPr>
          <w:numId w:val="1155"/>
          <w:ilvl w:val="1"/>
        </w:numPr>
      </w:pPr>
      <w:r>
        <w:t xml:space="preserve">skutečnosti rozhodné pro posouzení skutečného obsahu právního úkonu nebo jiné skutečnosti (v ZSDP nebylo),</w:t>
      </w:r>
    </w:p>
    <w:p>
      <w:pPr>
        <w:pStyle w:val="Compact"/>
        <w:numPr>
          <w:numId w:val="1156"/>
          <w:ilvl w:val="1"/>
        </w:numPr>
      </w:pPr>
      <w:r>
        <w:t xml:space="preserve">skutečnosti rozhodné pro uplatnění následku za porušení povinnosti při správě daní.</w:t>
      </w:r>
    </w:p>
    <w:p>
      <w:pPr>
        <w:pStyle w:val="Compact"/>
        <w:numPr>
          <w:numId w:val="1157"/>
          <w:ilvl w:val="1"/>
        </w:numPr>
      </w:pPr>
      <w:r>
        <w:t xml:space="preserve">skutečnosti rozhodné pro posouzení účelu právního jednání a jiných skutečností rozhodných pro správu daní, jejichž převažujícím účelem je získání daňové výhody v rozporu se smyslem a účelem daňového právního předpisu.</w:t>
      </w:r>
    </w:p>
    <w:p>
      <w:pPr>
        <w:pStyle w:val="Compact"/>
        <w:numPr>
          <w:numId w:val="1158"/>
          <w:ilvl w:val="1"/>
        </w:numPr>
      </w:pPr>
      <w:r>
        <w:t xml:space="preserve">zneužití práva</w:t>
      </w:r>
    </w:p>
    <w:p>
      <w:pPr>
        <w:pStyle w:val="Compact"/>
        <w:numPr>
          <w:numId w:val="1151"/>
          <w:ilvl w:val="0"/>
        </w:numPr>
      </w:pPr>
      <w:r>
        <w:t xml:space="preserve">Dokazování II.</w:t>
      </w:r>
    </w:p>
    <w:p>
      <w:pPr>
        <w:pStyle w:val="Compact"/>
        <w:numPr>
          <w:numId w:val="1151"/>
          <w:ilvl w:val="0"/>
        </w:numPr>
      </w:pPr>
      <w:r>
        <w:t xml:space="preserve">DS x SD</w:t>
      </w:r>
    </w:p>
    <w:p>
      <w:pPr>
        <w:pStyle w:val="Compact"/>
        <w:numPr>
          <w:numId w:val="1160"/>
          <w:ilvl w:val="2"/>
        </w:numPr>
      </w:pPr>
      <w:r>
        <w:t xml:space="preserve">Povinnost DS k tvrzení (např. podat DP)</w:t>
      </w:r>
    </w:p>
    <w:p>
      <w:pPr>
        <w:pStyle w:val="Compact"/>
        <w:numPr>
          <w:numId w:val="1161"/>
          <w:ilvl w:val="2"/>
        </w:numPr>
      </w:pPr>
      <w:r>
        <w:t xml:space="preserve">Výzva SD k prokázání</w:t>
      </w:r>
    </w:p>
    <w:p>
      <w:pPr>
        <w:pStyle w:val="Compact"/>
        <w:numPr>
          <w:numId w:val="1162"/>
          <w:ilvl w:val="2"/>
        </w:numPr>
      </w:pPr>
      <w:r>
        <w:t xml:space="preserve">Povinnost DS důkazní (doložit tvrzení)</w:t>
      </w:r>
    </w:p>
    <w:p>
      <w:pPr>
        <w:pStyle w:val="Compact"/>
        <w:numPr>
          <w:numId w:val="1163"/>
          <w:ilvl w:val="2"/>
        </w:numPr>
      </w:pPr>
      <w:r>
        <w:t xml:space="preserve">Povinnost SD prokázat, proč má pochybnosti</w:t>
      </w:r>
    </w:p>
    <w:p>
      <w:pPr>
        <w:pStyle w:val="Compact"/>
        <w:numPr>
          <w:numId w:val="1164"/>
          <w:ilvl w:val="2"/>
        </w:numPr>
      </w:pPr>
      <w:r>
        <w:t xml:space="preserve">Povinnost DS pochybnosti vyvrátit</w:t>
      </w:r>
    </w:p>
    <w:p>
      <w:pPr>
        <w:pStyle w:val="Compact"/>
        <w:numPr>
          <w:numId w:val="1151"/>
          <w:ilvl w:val="0"/>
        </w:numPr>
      </w:pPr>
      <w:r>
        <w:t xml:space="preserve">Dokazování III.</w:t>
      </w:r>
    </w:p>
    <w:p>
      <w:pPr>
        <w:numPr>
          <w:numId w:val="1151"/>
          <w:ilvl w:val="0"/>
        </w:numPr>
      </w:pPr>
      <w:r>
        <w:t xml:space="preserve">Navrhuje-li v řízení účast třetí osoby (např. svědka) daňový subjekt, je povinen současně s návrhem sdělit správci daně potřebné údaje o této třetí osobě a informaci o tom, které skutečnosti hodlá účastí této třetí osoby prokázat nebo vysvětlit, popřípadě jiný důvod účasti. Není-li návrhu vyhověno, správce daně o tom vyrozumí daňový subjekt s uvedením důvodu.</w:t>
      </w:r>
    </w:p>
    <w:p>
      <w:pPr>
        <w:pStyle w:val="Compact"/>
        <w:numPr>
          <w:numId w:val="1151"/>
          <w:ilvl w:val="0"/>
        </w:numPr>
      </w:pPr>
      <w:r>
        <w:t xml:space="preserve">Dokazování IV. důkazní prostředky</w:t>
      </w:r>
    </w:p>
    <w:p>
      <w:pPr>
        <w:pStyle w:val="Compact"/>
        <w:numPr>
          <w:numId w:val="1151"/>
          <w:ilvl w:val="0"/>
        </w:numPr>
      </w:pPr>
      <w:r>
        <w:t xml:space="preserve">všechny podklady, jimiž lze zjistit skutečný stav věci a ověřit skutečnosti rozhodné pro správné zjištění a stanovení daně a které nejsou získány v rozporu s právním předpisem, a to i těch, které byly získány před zahájením řízení. (Tvrzení daňového subjektu, listiny, znalecké posudky, svědecké výpovědi a ohledání věci),</w:t>
      </w:r>
    </w:p>
    <w:p>
      <w:pPr>
        <w:pStyle w:val="Compact"/>
        <w:numPr>
          <w:numId w:val="1151"/>
          <w:ilvl w:val="0"/>
        </w:numPr>
      </w:pPr>
      <w:r>
        <w:t xml:space="preserve">zákonně získané veškeré podklady předané správci daně jinými orgány veřejné moci, které byly získány pro jimi vedená řízení, jakož i podklady převzaté z jiných daňových řízení nebo získané při správě daní jiných daňových subjektů (např. výslech svědka na policii),</w:t>
      </w:r>
    </w:p>
    <w:p>
      <w:pPr>
        <w:pStyle w:val="Compact"/>
        <w:numPr>
          <w:numId w:val="1151"/>
          <w:ilvl w:val="0"/>
        </w:numPr>
      </w:pPr>
      <w:r>
        <w:t xml:space="preserve">Je-li podkladem předaným podle předch. bodu protokol o svědecké výpovědi, správce daně na návrh daňového subjektu provede svědeckou výpověď v rámci daňového řízení o této daňové povinnosti.</w:t>
      </w:r>
    </w:p>
    <w:p>
      <w:pPr>
        <w:numPr>
          <w:numId w:val="1151"/>
          <w:ilvl w:val="0"/>
        </w:numPr>
      </w:pPr>
      <w:r>
        <w:t xml:space="preserve">Osoby, které mají listiny a další věci nezbytné pro správu daní, které mohou být důkazním prostředkem při správě daní, jsou povinny za podmínek podle § 58 na vyžádání správce daně listiny nebo jejich kopie a jiné věci vydat nebo zapůjčit k ohledání.</w:t>
      </w:r>
    </w:p>
    <w:p>
      <w:pPr>
        <w:pStyle w:val="Compact"/>
        <w:numPr>
          <w:numId w:val="1151"/>
          <w:ilvl w:val="0"/>
        </w:numPr>
      </w:pPr>
      <w:r>
        <w:t xml:space="preserve">Dokazování V.</w:t>
      </w:r>
    </w:p>
    <w:p>
      <w:pPr>
        <w:pStyle w:val="Compact"/>
        <w:numPr>
          <w:numId w:val="1151"/>
          <w:ilvl w:val="0"/>
        </w:numPr>
      </w:pPr>
      <w:r>
        <w:t xml:space="preserve">§ 8 odst. 3 DŘ</w:t>
      </w:r>
    </w:p>
    <w:p>
      <w:pPr>
        <w:pStyle w:val="Compact"/>
        <w:numPr>
          <w:numId w:val="1165"/>
          <w:ilvl w:val="1"/>
        </w:numPr>
      </w:pPr>
      <w:r>
        <w:t xml:space="preserve">„</w:t>
      </w:r>
      <w:r>
        <w:rPr>
          <w:i/>
        </w:rPr>
        <w:t xml:space="preserve">Správce daně vychází ze skutečného obsahu právního úkonu nebo jiné skutečnosti rozhodné pro správu daní.</w:t>
      </w:r>
      <w:r>
        <w:t xml:space="preserve">“</w:t>
      </w:r>
    </w:p>
    <w:p>
      <w:pPr>
        <w:pStyle w:val="Compact"/>
        <w:numPr>
          <w:numId w:val="1151"/>
          <w:ilvl w:val="0"/>
        </w:numPr>
      </w:pPr>
      <w:r>
        <w:t xml:space="preserve">srovnej s:</w:t>
      </w:r>
    </w:p>
    <w:p>
      <w:pPr>
        <w:pStyle w:val="Compact"/>
        <w:numPr>
          <w:numId w:val="1151"/>
          <w:ilvl w:val="0"/>
        </w:numPr>
      </w:pPr>
      <w:r>
        <w:t xml:space="preserve">§2 odst. 7 ZSDP x</w:t>
      </w:r>
    </w:p>
    <w:p>
      <w:pPr>
        <w:pStyle w:val="Compact"/>
        <w:numPr>
          <w:numId w:val="1166"/>
          <w:ilvl w:val="1"/>
        </w:numPr>
      </w:pPr>
      <w:r>
        <w:t xml:space="preserve">„</w:t>
      </w:r>
      <w:r>
        <w:rPr>
          <w:i/>
        </w:rPr>
        <w:t xml:space="preserve">Při uplatňování daňových zákonů v daňovém řízení se bere v úvahu vždy skutečný obsah právního úkonu nebo jiné skutečnosti rozhodné pro stanovení či vybrání daně, pokud je zastřený stavem formálně právním a liší se od něho.</w:t>
      </w:r>
      <w:r>
        <w:t xml:space="preserve">“</w:t>
      </w:r>
    </w:p>
    <w:p>
      <w:pPr>
        <w:numPr>
          <w:numId w:val="1151"/>
          <w:ilvl w:val="0"/>
        </w:numPr>
      </w:pPr>
      <w:r>
        <w:t xml:space="preserve">(nutnost nové judikatury, též zneužití práva §8/4 DŘ)</w:t>
      </w:r>
    </w:p>
    <w:p>
      <w:pPr>
        <w:pStyle w:val="Compact"/>
        <w:numPr>
          <w:numId w:val="1151"/>
          <w:ilvl w:val="0"/>
        </w:numPr>
      </w:pPr>
      <w:r>
        <w:t xml:space="preserve">Dokazování VI.</w:t>
      </w:r>
    </w:p>
    <w:p>
      <w:pPr>
        <w:pStyle w:val="Compact"/>
        <w:numPr>
          <w:numId w:val="1151"/>
          <w:ilvl w:val="0"/>
        </w:numPr>
      </w:pPr>
      <w:r>
        <w:t xml:space="preserve">Hodnocení důkazních prostředků:</w:t>
      </w:r>
    </w:p>
    <w:p>
      <w:pPr>
        <w:pStyle w:val="Compact"/>
        <w:numPr>
          <w:numId w:val="1167"/>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numPr>
          <w:numId w:val="1151"/>
          <w:ilvl w:val="0"/>
        </w:numPr>
      </w:pPr>
      <w:r>
        <w:t xml:space="preserve">§8/1 volné hodnocení důkazů - 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151"/>
          <w:ilvl w:val="0"/>
        </w:numPr>
      </w:pPr>
      <w:r>
        <w:t xml:space="preserve">Dokazování VII.</w:t>
      </w:r>
    </w:p>
    <w:p>
      <w:pPr>
        <w:pStyle w:val="Compact"/>
        <w:numPr>
          <w:numId w:val="1151"/>
          <w:ilvl w:val="0"/>
        </w:numPr>
      </w:pPr>
      <w:r>
        <w:t xml:space="preserve">Neunesení důkazního břemene:</w:t>
      </w:r>
    </w:p>
    <w:p>
      <w:pPr>
        <w:numPr>
          <w:numId w:val="1151"/>
          <w:ilvl w:val="0"/>
        </w:numPr>
      </w:pPr>
      <w:r>
        <w:t xml:space="preserve">možnost pomůcek</w:t>
      </w:r>
    </w:p>
    <w:p>
      <w:pPr>
        <w:pStyle w:val="Compact"/>
        <w:numPr>
          <w:numId w:val="1151"/>
          <w:ilvl w:val="0"/>
        </w:numPr>
      </w:pPr>
      <w:r>
        <w:t xml:space="preserve">Nahlížení do spisu</w:t>
      </w:r>
    </w:p>
    <w:p>
      <w:pPr>
        <w:pStyle w:val="Compact"/>
        <w:numPr>
          <w:numId w:val="1151"/>
          <w:ilvl w:val="0"/>
        </w:numPr>
      </w:pPr>
      <w:r>
        <w:t xml:space="preserve">Veřejná a „tajná“ vyhledávací část spisu</w:t>
      </w:r>
    </w:p>
    <w:p>
      <w:pPr>
        <w:numPr>
          <w:numId w:val="1151"/>
          <w:ilvl w:val="0"/>
        </w:numPr>
      </w:pPr>
      <w:r>
        <w:t xml:space="preserve">„Není-li ohrožen zájem jiného daňového subjektu nebo jiných osob zúčastněných na správě daní anebo cíl správy daní, může správce daně v odůvodněných případech, kdy je to nutné pro další průběh řízení, umožnit nahlédnutí i do písemností ve vyhledávací části spisu.“</w:t>
      </w:r>
    </w:p>
    <w:p>
      <w:pPr>
        <w:pStyle w:val="Compact"/>
        <w:numPr>
          <w:numId w:val="1151"/>
          <w:ilvl w:val="0"/>
        </w:numPr>
      </w:pPr>
      <w:r>
        <w:t xml:space="preserve">Nahlížení do spisu II.</w:t>
      </w:r>
    </w:p>
    <w:p>
      <w:pPr>
        <w:pStyle w:val="Compact"/>
        <w:numPr>
          <w:numId w:val="1151"/>
          <w:ilvl w:val="0"/>
        </w:numPr>
      </w:pPr>
      <w:r>
        <w:t xml:space="preserve">Obrana pro neumožnění nahlédnutí - sporná:</w:t>
      </w:r>
    </w:p>
    <w:p>
      <w:pPr>
        <w:pStyle w:val="Compact"/>
        <w:numPr>
          <w:numId w:val="1151"/>
          <w:ilvl w:val="0"/>
        </w:numPr>
      </w:pPr>
      <w:r>
        <w:t xml:space="preserve">Stížnost § 261 DŘ</w:t>
      </w:r>
    </w:p>
    <w:p>
      <w:pPr>
        <w:pStyle w:val="Compact"/>
        <w:numPr>
          <w:numId w:val="1151"/>
          <w:ilvl w:val="0"/>
        </w:numPr>
      </w:pPr>
      <w:r>
        <w:t xml:space="preserve">Odvolání § 101 DŘ</w:t>
      </w:r>
    </w:p>
    <w:p>
      <w:pPr>
        <w:numPr>
          <w:numId w:val="1151"/>
          <w:ilvl w:val="0"/>
        </w:numPr>
      </w:pPr>
      <w:r>
        <w:t xml:space="preserve">Soudní obrana</w:t>
      </w:r>
    </w:p>
    <w:p>
      <w:pPr>
        <w:pStyle w:val="Compact"/>
        <w:numPr>
          <w:numId w:val="1151"/>
          <w:ilvl w:val="0"/>
        </w:numPr>
      </w:pPr>
      <w:r>
        <w:t xml:space="preserve">Svědci</w:t>
      </w:r>
    </w:p>
    <w:p>
      <w:pPr>
        <w:pStyle w:val="Compact"/>
        <w:numPr>
          <w:numId w:val="1151"/>
          <w:ilvl w:val="0"/>
        </w:numPr>
      </w:pPr>
      <w:r>
        <w:t xml:space="preserve">nutnost vyrozumění DS a umožnění účasti na ní,</w:t>
      </w:r>
    </w:p>
    <w:p>
      <w:pPr>
        <w:pStyle w:val="Compact"/>
        <w:numPr>
          <w:numId w:val="1151"/>
          <w:ilvl w:val="0"/>
        </w:numPr>
      </w:pPr>
      <w:r>
        <w:t xml:space="preserve">označení svědka a věci, ve které bude vypovídat,</w:t>
      </w:r>
    </w:p>
    <w:p>
      <w:pPr>
        <w:numPr>
          <w:numId w:val="1151"/>
          <w:ilvl w:val="0"/>
        </w:numPr>
      </w:pPr>
      <w:r>
        <w:t xml:space="preserve">vyrozumění není nutné, pokud hrozí nebezpečí z prodlení nebo zmaření účelu výpovědi</w:t>
      </w:r>
    </w:p>
    <w:p>
      <w:pPr>
        <w:pStyle w:val="Compact"/>
        <w:numPr>
          <w:numId w:val="1151"/>
          <w:ilvl w:val="0"/>
        </w:numPr>
      </w:pPr>
      <w:r>
        <w:t xml:space="preserve">Každá osoba je povinna vypovídat jako svědek o důležitých okolnostech při správě daní týkajících se jiných osob, pokud jsou jí známy; musí vypovídat pravdivě a nic nezamlčovat.</w:t>
      </w:r>
    </w:p>
    <w:p>
      <w:pPr>
        <w:pStyle w:val="Compact"/>
        <w:numPr>
          <w:numId w:val="1151"/>
          <w:ilvl w:val="0"/>
        </w:numPr>
      </w:pPr>
      <w:r>
        <w:t xml:space="preserve">Výpověď může odepřít ten, kdo by tím způsobil nebezpečí trestního stíhání sobě nebo osobám mu blízkým.</w:t>
      </w:r>
    </w:p>
    <w:p>
      <w:pPr>
        <w:numPr>
          <w:numId w:val="1151"/>
          <w:ilvl w:val="0"/>
        </w:numPr>
      </w:pPr>
      <w:r>
        <w:t xml:space="preserve">Jako svědek nesmí být vyslechnut ten, kdo by porušil povinnosti spojené s utajováním informací podle jiného právního předpisu, nebo zákonem uloženou nebo uznanou povinnost mlčenlivosti, ledaže by byl této povinnosti zproštěn příslušným orgánem nebo tím, v jehož zájmu tuto povinnost má.</w:t>
      </w:r>
    </w:p>
    <w:p>
      <w:pPr>
        <w:pStyle w:val="Compact"/>
        <w:numPr>
          <w:numId w:val="1151"/>
          <w:ilvl w:val="0"/>
        </w:numPr>
      </w:pPr>
      <w:r>
        <w:t xml:space="preserve">Svědek musí být poučen - před výslechem SD poučí svědka o možnosti odepřít výpověď, o povinnosti vypovídat pravdivě a nic nezamlčovat a o právních následcích podané nepravdivé nebo neúplné výpovědi.</w:t>
      </w:r>
    </w:p>
    <w:p>
      <w:pPr>
        <w:numPr>
          <w:numId w:val="1151"/>
          <w:ilvl w:val="0"/>
        </w:numPr>
      </w:pPr>
      <w:r>
        <w:t xml:space="preserve">Svědek má nárok na náhradu nákladů.</w:t>
      </w:r>
    </w:p>
    <w:p>
      <w:pPr>
        <w:pStyle w:val="Compact"/>
        <w:numPr>
          <w:numId w:val="1151"/>
          <w:ilvl w:val="0"/>
        </w:numPr>
      </w:pPr>
      <w:r>
        <w:t xml:space="preserve">Daňový subjekt má právo být přítomen výslechu svědka a klást mu otázky v rámci dokazovaní svých práv a povinností. O provádění svědecké výpovědi správce daně daňový subjekt včas vyrozumí, nehrozí-li nebezpečí z prodlení.</w:t>
      </w:r>
    </w:p>
    <w:p>
      <w:pPr>
        <w:numPr>
          <w:numId w:val="1151"/>
          <w:ilvl w:val="0"/>
        </w:numPr>
      </w:pPr>
      <w:r>
        <w:t xml:space="preserve">Ve vyrozumění daňového subjektu o provádění svědecké výpovědi správce daně uvede označení věci, ve které bude svědek vypovídat, a označení svědka, nehrozí-li nebezpečí, že by došlo ke zmaření účelu výpovědi.</w:t>
      </w:r>
    </w:p>
    <w:p>
      <w:pPr>
        <w:pStyle w:val="Heading3"/>
      </w:pPr>
      <w:bookmarkStart w:id="119" w:name="pomůcky"/>
      <w:bookmarkEnd w:id="119"/>
      <w:r>
        <w:t xml:space="preserve">Pomůcky</w:t>
      </w:r>
    </w:p>
    <w:p>
      <w:pPr>
        <w:pStyle w:val="Compact"/>
        <w:numPr>
          <w:numId w:val="1168"/>
          <w:ilvl w:val="0"/>
        </w:numPr>
      </w:pPr>
      <w:r>
        <w:t xml:space="preserve">Pomůcky – kdy se použijí?</w:t>
      </w:r>
    </w:p>
    <w:p>
      <w:pPr>
        <w:pStyle w:val="Compact"/>
        <w:numPr>
          <w:numId w:val="1168"/>
          <w:ilvl w:val="0"/>
        </w:numPr>
      </w:pPr>
      <w:r>
        <w:t xml:space="preserve">§ 87 – Nevyhovění výzvě SD k zahájení kontroly (Daňová kontrola, Daňová kontrola a Postup k odstranění pochybností jsou dva druhy Kontrolních postupů)</w:t>
      </w:r>
      <w:r>
        <w:rPr>
          <w:rStyle w:val="FootnoteReference"/>
        </w:rPr>
        <w:footnoteReference w:id="120"/>
      </w:r>
    </w:p>
    <w:p>
      <w:pPr>
        <w:pStyle w:val="Compact"/>
        <w:numPr>
          <w:numId w:val="1168"/>
          <w:ilvl w:val="0"/>
        </w:numPr>
      </w:pPr>
      <w:r>
        <w:t xml:space="preserve">§ 90 - Neposkytnutí součinnosti u POP (Postup k odstranění pochybností)</w:t>
      </w:r>
    </w:p>
    <w:p>
      <w:pPr>
        <w:pStyle w:val="Compact"/>
        <w:numPr>
          <w:numId w:val="1168"/>
          <w:ilvl w:val="0"/>
        </w:numPr>
      </w:pPr>
      <w:r>
        <w:t xml:space="preserve">§ 98 – Nemožnost stanovit daň dokazováním</w:t>
      </w:r>
    </w:p>
    <w:p>
      <w:pPr>
        <w:pStyle w:val="Compact"/>
        <w:numPr>
          <w:numId w:val="1168"/>
          <w:ilvl w:val="0"/>
        </w:numPr>
      </w:pPr>
      <w:r>
        <w:t xml:space="preserve">§ 145 – Nepodání DP nebo dodateč. DP ani po výzvě SD</w:t>
      </w:r>
    </w:p>
    <w:p>
      <w:pPr>
        <w:pStyle w:val="Compact"/>
        <w:numPr>
          <w:numId w:val="1168"/>
          <w:ilvl w:val="0"/>
        </w:numPr>
      </w:pPr>
      <w:r>
        <w:t xml:space="preserve">§ 167 – Zjištění výše zajišť. částky u zajišťovacího příkazu</w:t>
      </w:r>
    </w:p>
    <w:p>
      <w:pPr>
        <w:numPr>
          <w:numId w:val="1168"/>
          <w:ilvl w:val="0"/>
        </w:numPr>
      </w:pPr>
      <w:r>
        <w:t xml:space="preserve">§ 244 – Zjistí-li insolvenční správce, že nemá podklady</w:t>
      </w:r>
    </w:p>
    <w:p>
      <w:pPr>
        <w:pStyle w:val="Compact"/>
        <w:numPr>
          <w:numId w:val="1168"/>
          <w:ilvl w:val="0"/>
        </w:numPr>
      </w:pPr>
      <w:r>
        <w:t xml:space="preserve">Pomůcky - pravidla</w:t>
      </w:r>
    </w:p>
    <w:p>
      <w:pPr>
        <w:pStyle w:val="Compact"/>
        <w:numPr>
          <w:numId w:val="1168"/>
          <w:ilvl w:val="0"/>
        </w:numPr>
      </w:pPr>
      <w:r>
        <w:t xml:space="preserve">pomůcky správce daně buď má nebo si je obstará</w:t>
      </w:r>
    </w:p>
    <w:p>
      <w:pPr>
        <w:pStyle w:val="Compact"/>
        <w:numPr>
          <w:numId w:val="1168"/>
          <w:ilvl w:val="0"/>
        </w:numPr>
      </w:pPr>
      <w:r>
        <w:t xml:space="preserve">při použití pomůcek není nutná součinnost s DS</w:t>
      </w:r>
    </w:p>
    <w:p>
      <w:pPr>
        <w:pStyle w:val="Compact"/>
        <w:numPr>
          <w:numId w:val="1168"/>
          <w:ilvl w:val="0"/>
        </w:numPr>
      </w:pPr>
      <w:r>
        <w:t xml:space="preserve">uplatnění pomůcek se uvede ve výroku rozhodnutí</w:t>
      </w:r>
    </w:p>
    <w:p>
      <w:pPr>
        <w:numPr>
          <w:numId w:val="1168"/>
          <w:ilvl w:val="0"/>
        </w:numPr>
      </w:pPr>
      <w:r>
        <w:t xml:space="preserve">nutno přihlédnout k výhodám pro DS, i když jím nebyly uplatněny</w:t>
      </w:r>
    </w:p>
    <w:p>
      <w:pPr>
        <w:pStyle w:val="Compact"/>
        <w:numPr>
          <w:numId w:val="1168"/>
          <w:ilvl w:val="0"/>
        </w:numPr>
      </w:pPr>
      <w:r>
        <w:t xml:space="preserve">Pomůcky – podmnínky pro použití</w:t>
      </w:r>
    </w:p>
    <w:p>
      <w:pPr>
        <w:pStyle w:val="Compact"/>
        <w:numPr>
          <w:numId w:val="1168"/>
          <w:ilvl w:val="0"/>
        </w:numPr>
      </w:pPr>
      <w:r>
        <w:t xml:space="preserve">Stanovit daň za použití pomůcek lze za splnění dvou kumulativních podmínek:</w:t>
      </w:r>
    </w:p>
    <w:p>
      <w:pPr>
        <w:pStyle w:val="Compact"/>
        <w:numPr>
          <w:numId w:val="1169"/>
          <w:ilvl w:val="1"/>
        </w:numPr>
      </w:pPr>
      <w:r>
        <w:t xml:space="preserve">Daňový subjekt nesplní při dokazování některou ze svých zákonných povinností</w:t>
      </w:r>
    </w:p>
    <w:p>
      <w:pPr>
        <w:pStyle w:val="Compact"/>
        <w:numPr>
          <w:numId w:val="1170"/>
          <w:ilvl w:val="1"/>
        </w:numPr>
      </w:pPr>
      <w:r>
        <w:t xml:space="preserve">Současně není možno stanovit daňovou povinnost dokazováním.</w:t>
      </w:r>
    </w:p>
    <w:p>
      <w:pPr>
        <w:pStyle w:val="Compact"/>
        <w:numPr>
          <w:numId w:val="1168"/>
          <w:ilvl w:val="0"/>
        </w:numPr>
      </w:pPr>
      <w:r>
        <w:t xml:space="preserve">Pomůcky - výčet</w:t>
      </w:r>
    </w:p>
    <w:p>
      <w:pPr>
        <w:pStyle w:val="Compact"/>
        <w:numPr>
          <w:numId w:val="1168"/>
          <w:ilvl w:val="0"/>
        </w:numPr>
      </w:pPr>
      <w:r>
        <w:t xml:space="preserve">Co může být pomůckou?</w:t>
      </w:r>
    </w:p>
    <w:p>
      <w:pPr>
        <w:pStyle w:val="Compact"/>
        <w:numPr>
          <w:numId w:val="1172"/>
          <w:ilvl w:val="2"/>
        </w:numPr>
      </w:pPr>
      <w:r>
        <w:t xml:space="preserve">důkazní prostředky, které nebyly správcem daně zpochybněny,</w:t>
      </w:r>
    </w:p>
    <w:p>
      <w:pPr>
        <w:pStyle w:val="Compact"/>
        <w:numPr>
          <w:numId w:val="1173"/>
          <w:ilvl w:val="2"/>
        </w:numPr>
      </w:pPr>
      <w:r>
        <w:t xml:space="preserve">podaná vysvětlení,</w:t>
      </w:r>
    </w:p>
    <w:p>
      <w:pPr>
        <w:pStyle w:val="Compact"/>
        <w:numPr>
          <w:numId w:val="1174"/>
          <w:ilvl w:val="2"/>
        </w:numPr>
      </w:pPr>
      <w:r>
        <w:t xml:space="preserve">porovnání srovnatelných daňových subjektů a jejich daňových povinností,</w:t>
      </w:r>
    </w:p>
    <w:p>
      <w:pPr>
        <w:pStyle w:val="Compact"/>
        <w:numPr>
          <w:numId w:val="1175"/>
          <w:ilvl w:val="2"/>
        </w:numPr>
      </w:pPr>
      <w:r>
        <w:t xml:space="preserve">vlastní poznatky správce daně získané při správě daní.</w:t>
      </w:r>
    </w:p>
    <w:p>
      <w:pPr>
        <w:pStyle w:val="Compact"/>
        <w:numPr>
          <w:numId w:val="1168"/>
          <w:ilvl w:val="0"/>
        </w:numPr>
      </w:pPr>
      <w:r>
        <w:t xml:space="preserve">Pomůcky – kde je najdeme?</w:t>
      </w:r>
    </w:p>
    <w:p>
      <w:pPr>
        <w:pStyle w:val="Compact"/>
        <w:numPr>
          <w:numId w:val="1168"/>
          <w:ilvl w:val="0"/>
        </w:numPr>
      </w:pPr>
      <w:r>
        <w:t xml:space="preserve">Součástí vyhledávací části spisu jsou:</w:t>
      </w:r>
    </w:p>
    <w:p>
      <w:pPr>
        <w:numPr>
          <w:numId w:val="1168"/>
          <w:ilvl w:val="0"/>
        </w:numPr>
      </w:pPr>
      <w:r>
        <w:t xml:space="preserve">písemnosti, které mohou být použity při stanovení daně jako pomůcky, jejichž zpřístupnění daňovému subjektu by ohrozilo zájem jiného daňového subjektu nebo jiných osob zúčastněných na správě daní,</w:t>
      </w:r>
    </w:p>
    <w:p>
      <w:pPr>
        <w:pStyle w:val="Compact"/>
        <w:numPr>
          <w:numId w:val="1168"/>
          <w:ilvl w:val="0"/>
        </w:numPr>
      </w:pPr>
      <w:r>
        <w:t xml:space="preserve">Pomůcky – jejich zpřístupnění</w:t>
      </w:r>
    </w:p>
    <w:p>
      <w:pPr>
        <w:pStyle w:val="Compact"/>
        <w:numPr>
          <w:numId w:val="1168"/>
          <w:ilvl w:val="0"/>
        </w:numPr>
      </w:pPr>
      <w:r>
        <w:t xml:space="preserve">nevztahuje se na ně §65/2 o nutnosti je z vyhledávací části spisu ponechat nejdéle do provedení hodnocení důkazů</w:t>
      </w:r>
    </w:p>
    <w:p>
      <w:pPr>
        <w:numPr>
          <w:numId w:val="1168"/>
          <w:ilvl w:val="0"/>
        </w:numPr>
      </w:pPr>
      <w:r>
        <w:t xml:space="preserve">Na druhé straně se do vyhledávací části spisu ukládají pouze takové pomůcky, které by mohly ohrozit zájem jiného DS nebo jiných osob zúčastněných na správě daní.</w:t>
      </w:r>
    </w:p>
    <w:p>
      <w:pPr>
        <w:pStyle w:val="Compact"/>
        <w:numPr>
          <w:numId w:val="1168"/>
          <w:ilvl w:val="0"/>
        </w:numPr>
      </w:pPr>
      <w:r>
        <w:t xml:space="preserve">Pomůcky - odvolání</w:t>
      </w:r>
    </w:p>
    <w:p>
      <w:pPr>
        <w:numPr>
          <w:numId w:val="1168"/>
          <w:ilvl w:val="0"/>
        </w:numPr>
      </w:pPr>
      <w:r>
        <w:t xml:space="preserve">Směřuje-li odvolání proti rozhodnutí o stanovení daně podle pomůcek, zkoumá odvolací orgán pouze dodržení zákonných podmínek použití tohoto způsobu stanovení daně, jakož i přiměřenosti použitých pomůcek.</w:t>
      </w:r>
    </w:p>
    <w:p>
      <w:pPr>
        <w:pStyle w:val="Compact"/>
        <w:numPr>
          <w:numId w:val="1168"/>
          <w:ilvl w:val="0"/>
        </w:numPr>
      </w:pPr>
      <w:r>
        <w:t xml:space="preserve">Pomůcky – sjednání daně</w:t>
      </w:r>
    </w:p>
    <w:p>
      <w:pPr>
        <w:pStyle w:val="Compact"/>
        <w:numPr>
          <w:numId w:val="1168"/>
          <w:ilvl w:val="0"/>
        </w:numPr>
      </w:pPr>
      <w:r>
        <w:t xml:space="preserve">Sjednání daně přichází v úvahu, jestiže:</w:t>
      </w:r>
    </w:p>
    <w:p>
      <w:pPr>
        <w:pStyle w:val="Compact"/>
        <w:numPr>
          <w:numId w:val="1176"/>
          <w:ilvl w:val="1"/>
        </w:numPr>
      </w:pPr>
      <w:r>
        <w:t xml:space="preserve">daň nelze stanovit dokazováním a zároveň</w:t>
      </w:r>
    </w:p>
    <w:p>
      <w:pPr>
        <w:pStyle w:val="Compact"/>
        <w:numPr>
          <w:numId w:val="1176"/>
          <w:ilvl w:val="1"/>
        </w:numPr>
      </w:pPr>
      <w:r>
        <w:t xml:space="preserve">daň nelze dostatečně spolehlivě stanovit ani podle pomůcek, které má správce daně k dispozici (ne tedy, které si opatří)</w:t>
      </w:r>
    </w:p>
    <w:p>
      <w:pPr>
        <w:pStyle w:val="Compact"/>
        <w:numPr>
          <w:numId w:val="1168"/>
          <w:ilvl w:val="0"/>
        </w:numPr>
      </w:pPr>
      <w:r>
        <w:t xml:space="preserve">Sjednání daně se zaprotokoluje</w:t>
      </w:r>
    </w:p>
    <w:p>
      <w:pPr>
        <w:pStyle w:val="Compact"/>
        <w:numPr>
          <w:numId w:val="1168"/>
          <w:ilvl w:val="0"/>
        </w:numPr>
      </w:pPr>
      <w:r>
        <w:t xml:space="preserve">výše sjednané daně se uvede v rozhodnutí, které má náležitosti rozhodnutí o stanovení daně a které je součástí tohoto protokolu;</w:t>
      </w:r>
    </w:p>
    <w:p>
      <w:pPr>
        <w:numPr>
          <w:numId w:val="1168"/>
          <w:ilvl w:val="0"/>
        </w:numPr>
      </w:pPr>
      <w:r>
        <w:t xml:space="preserve">proti tomuto rozhodnutí nelze uplatnit opravné prostředky.</w:t>
      </w:r>
    </w:p>
    <w:p>
      <w:pPr>
        <w:pStyle w:val="Compact"/>
        <w:numPr>
          <w:numId w:val="1168"/>
          <w:ilvl w:val="0"/>
        </w:numPr>
      </w:pPr>
      <w:r>
        <w:t xml:space="preserve">Pomůcky – možné směry obrany</w:t>
      </w:r>
    </w:p>
    <w:p>
      <w:pPr>
        <w:pStyle w:val="Compact"/>
        <w:numPr>
          <w:numId w:val="1168"/>
          <w:ilvl w:val="0"/>
        </w:numPr>
      </w:pPr>
      <w:r>
        <w:t xml:space="preserve">Daň se dala stanovit dokazováním - snaha o vyvrácení tvrzení správce daně, že daň bylo nutno stanovit podle pomůcek.</w:t>
      </w:r>
    </w:p>
    <w:p>
      <w:pPr>
        <w:pStyle w:val="Compact"/>
        <w:numPr>
          <w:numId w:val="1168"/>
          <w:ilvl w:val="0"/>
        </w:numPr>
      </w:pPr>
      <w:r>
        <w:t xml:space="preserve">Správce daně neunesl své důkazní břemeno</w:t>
      </w:r>
    </w:p>
    <w:p>
      <w:pPr>
        <w:pStyle w:val="Compact"/>
        <w:numPr>
          <w:numId w:val="1168"/>
          <w:ilvl w:val="0"/>
        </w:numPr>
      </w:pPr>
      <w:r>
        <w:t xml:space="preserve">(např. neprokáže, že doručil výzvu k odstranění pochybností, platební výměr apod.)</w:t>
      </w:r>
    </w:p>
    <w:p>
      <w:pPr>
        <w:pStyle w:val="Compact"/>
        <w:numPr>
          <w:numId w:val="1168"/>
          <w:ilvl w:val="0"/>
        </w:numPr>
      </w:pPr>
      <w:r>
        <w:t xml:space="preserve">Porušení práv daňového subjektu</w:t>
      </w:r>
    </w:p>
    <w:p>
      <w:pPr>
        <w:pStyle w:val="Compact"/>
        <w:numPr>
          <w:numId w:val="1177"/>
          <w:ilvl w:val="1"/>
        </w:numPr>
      </w:pPr>
      <w:r>
        <w:t xml:space="preserve">nenechal daňový subjekt nahlédnout do spisu</w:t>
      </w:r>
    </w:p>
    <w:p>
      <w:pPr>
        <w:pStyle w:val="Compact"/>
        <w:numPr>
          <w:numId w:val="1177"/>
          <w:ilvl w:val="1"/>
        </w:numPr>
      </w:pPr>
      <w:r>
        <w:t xml:space="preserve">nevyslechl navrhované svědky</w:t>
      </w:r>
    </w:p>
    <w:p>
      <w:pPr>
        <w:pStyle w:val="Compact"/>
        <w:numPr>
          <w:numId w:val="1177"/>
          <w:ilvl w:val="1"/>
        </w:numPr>
      </w:pPr>
      <w:r>
        <w:t xml:space="preserve">neprojednal s ním zprávu o kontrole</w:t>
      </w:r>
    </w:p>
    <w:p>
      <w:pPr>
        <w:pStyle w:val="Compact"/>
        <w:numPr>
          <w:numId w:val="1168"/>
          <w:ilvl w:val="0"/>
        </w:numPr>
      </w:pPr>
      <w:r>
        <w:t xml:space="preserve">Pomůcky – možné směry obrany II.</w:t>
      </w:r>
    </w:p>
    <w:p>
      <w:pPr>
        <w:pStyle w:val="Compact"/>
        <w:numPr>
          <w:numId w:val="1168"/>
          <w:ilvl w:val="0"/>
        </w:numPr>
      </w:pPr>
      <w:r>
        <w:t xml:space="preserve">Procesní problémy správce daně:</w:t>
      </w:r>
    </w:p>
    <w:p>
      <w:pPr>
        <w:pStyle w:val="Compact"/>
        <w:numPr>
          <w:numId w:val="1178"/>
          <w:ilvl w:val="1"/>
        </w:numPr>
      </w:pPr>
      <w:r>
        <w:t xml:space="preserve">rozhodnutí bez všech náležitostí,</w:t>
      </w:r>
    </w:p>
    <w:p>
      <w:pPr>
        <w:pStyle w:val="Compact"/>
        <w:numPr>
          <w:numId w:val="1178"/>
          <w:ilvl w:val="1"/>
        </w:numPr>
      </w:pPr>
      <w:r>
        <w:t xml:space="preserve">nepřezkoumatelnost rozhodnutí finančních orgánů pro nedostatek odůvodnění rozhodnutí</w:t>
      </w:r>
    </w:p>
    <w:p>
      <w:pPr>
        <w:numPr>
          <w:numId w:val="1168"/>
          <w:ilvl w:val="0"/>
        </w:numPr>
      </w:pPr>
      <w:r>
        <w:t xml:space="preserve">polemika s výší pomůcek - nepřiměřenost jejich výše, nestanovení daně dostatečně spolehlivě, nepřihlédnutí k výhodám svědčící pro daňový subjekt</w:t>
      </w:r>
    </w:p>
    <w:p>
      <w:pPr>
        <w:numPr>
          <w:numId w:val="1168"/>
          <w:ilvl w:val="0"/>
        </w:numPr>
      </w:pPr>
      <w:r>
        <w:t xml:space="preserve">Pomůcky - judikatura</w:t>
      </w:r>
    </w:p>
    <w:p>
      <w:pPr>
        <w:pStyle w:val="Compact"/>
        <w:numPr>
          <w:numId w:val="1168"/>
          <w:ilvl w:val="0"/>
        </w:numPr>
      </w:pPr>
      <w:r>
        <w:t xml:space="preserve">Pomůcky – judikatura – nahlížení do pomůcek</w:t>
      </w:r>
    </w:p>
    <w:p>
      <w:pPr>
        <w:pStyle w:val="Compact"/>
        <w:numPr>
          <w:numId w:val="1179"/>
          <w:ilvl w:val="1"/>
        </w:numPr>
      </w:pPr>
      <w:r>
        <w:t xml:space="preserve">ÚS 359/05 z 28. března 2006</w:t>
      </w:r>
    </w:p>
    <w:p>
      <w:pPr>
        <w:pStyle w:val="Compact"/>
        <w:numPr>
          <w:numId w:val="1180"/>
          <w:ilvl w:val="1"/>
        </w:numPr>
      </w:pPr>
      <w:r>
        <w:t xml:space="preserve">„Postupem souladným se zákonem je takový postup, kdy správce daně přihlédne i k výhodám plynoucím pro daňový subjekt. Přitom je však na daňovém subjektu, aby vznášel k případné nezákonnosti postupu správce daně námitky, tedy i relevantní a kvalifikované námitky týkající se nedodržení povinnosti správce daně přihlédnout k výhodám plynoucím pro daňový subjekt. Rovnost daňového subjektu garantovaná čl. 37 odst. 3 Listiny by však byla iluzorní, pokud by nebyl sám daňový subjekt obeznámen s tím, že k této výhodě bylo skutečně přihlédnuto a o jakou výhodu se jednalo.“</w:t>
      </w:r>
    </w:p>
    <w:p>
      <w:pPr>
        <w:pStyle w:val="Compact"/>
        <w:numPr>
          <w:numId w:val="1168"/>
          <w:ilvl w:val="0"/>
        </w:numPr>
      </w:pPr>
      <w:r>
        <w:t xml:space="preserve">Pomůcky – judikatura – nahlížení do pomůcek</w:t>
      </w:r>
    </w:p>
    <w:p>
      <w:pPr>
        <w:pStyle w:val="Compact"/>
        <w:numPr>
          <w:numId w:val="1181"/>
          <w:ilvl w:val="1"/>
        </w:numPr>
      </w:pPr>
      <w:r>
        <w:t xml:space="preserve">ÚS 359/05 – pokrač.:</w:t>
      </w:r>
    </w:p>
    <w:p>
      <w:pPr>
        <w:pStyle w:val="Compact"/>
        <w:numPr>
          <w:numId w:val="1182"/>
          <w:ilvl w:val="1"/>
        </w:numPr>
      </w:pPr>
      <w:r>
        <w:t xml:space="preserve">„Nelze proto připustit výklad, podle kterého postačí, aby byla tato výhoda patrná z daňového spisu a aby se s postupem správce daně seznámil toliko odvolací orgán, případně soudy přezkoumávající postup správce daně, resp. rozhodnutí odvolacího orgánu, a aby se s tímto postupem nemohl seznámit samotný daňový subjekt. Námitky může daňový subjekt relevantně a kvalifikovaně vznášet pouze tehdy, je-li s postupem správce daně seznámen, tedy je-li seznámen i s tím, jakou okolnost správce daně považoval za výhodu pro daňový subjekt.“</w:t>
      </w:r>
    </w:p>
    <w:p>
      <w:pPr>
        <w:pStyle w:val="Compact"/>
        <w:numPr>
          <w:numId w:val="1168"/>
          <w:ilvl w:val="0"/>
        </w:numPr>
      </w:pPr>
      <w:r>
        <w:t xml:space="preserve">Pomůcky – judikatura – výhody pro DS</w:t>
      </w:r>
    </w:p>
    <w:p>
      <w:pPr>
        <w:pStyle w:val="Compact"/>
        <w:numPr>
          <w:numId w:val="1183"/>
          <w:ilvl w:val="1"/>
        </w:numPr>
      </w:pPr>
      <w:r>
        <w:t xml:space="preserve">ÚS 179/01 z 31. 8. 2001</w:t>
      </w:r>
    </w:p>
    <w:p>
      <w:pPr>
        <w:pStyle w:val="Compact"/>
        <w:numPr>
          <w:numId w:val="1184"/>
          <w:ilvl w:val="1"/>
        </w:numPr>
      </w:pPr>
      <w:r>
        <w:t xml:space="preserve">„V případech, kdy je daň stanovena podle pomůcek, musí se odvolací orgán vyrovnat i s otázkou, zda správce daně splnil své zákonné povinnosti vyplývající z ustanovení § 46 odst. 3 ZSDP (= výhody pro DS). Každý jiný postup staví účastníka daňového řízení do nedůvodně nerovného postavení a je tedy v rozporu s čl. 37 odst. 3 Listiny základních práv a svobod.“</w:t>
      </w:r>
    </w:p>
    <w:p>
      <w:pPr>
        <w:pStyle w:val="Compact"/>
        <w:numPr>
          <w:numId w:val="1168"/>
          <w:ilvl w:val="0"/>
        </w:numPr>
      </w:pPr>
      <w:r>
        <w:t xml:space="preserve">Pomůcky – judikatura – výhody pro DS</w:t>
      </w:r>
    </w:p>
    <w:p>
      <w:pPr>
        <w:pStyle w:val="Compact"/>
        <w:numPr>
          <w:numId w:val="1185"/>
          <w:ilvl w:val="1"/>
        </w:numPr>
      </w:pPr>
      <w:r>
        <w:t xml:space="preserve">ÚS 360/05 z 20. 11. 2006</w:t>
      </w:r>
    </w:p>
    <w:p>
      <w:pPr>
        <w:pStyle w:val="Compact"/>
        <w:numPr>
          <w:numId w:val="1186"/>
          <w:ilvl w:val="1"/>
        </w:numPr>
      </w:pPr>
      <w:r>
        <w:t xml:space="preserve">„Za takové výhody lze považovat příkladmo okolnosti, za jakých podmínek daňový subjekt podniká, v jakém oboru činnosti podniká, v jaké lokalitě má umístěnu provozovnu apod. To, zda správce daně takovou skutečnost zohlednil, je pak skutečností, kterou v rámci přezkumu zákonnosti musí hodnotit odvolací orgán v rámci odvolacího řízení.</w:t>
      </w:r>
    </w:p>
    <w:p>
      <w:pPr>
        <w:pStyle w:val="Compact"/>
        <w:numPr>
          <w:numId w:val="1168"/>
          <w:ilvl w:val="0"/>
        </w:numPr>
      </w:pPr>
      <w:r>
        <w:t xml:space="preserve">Pomůcky – judikatura – pomůcky chtěl marně DS</w:t>
      </w:r>
    </w:p>
    <w:p>
      <w:pPr>
        <w:pStyle w:val="Compact"/>
        <w:numPr>
          <w:numId w:val="1168"/>
          <w:ilvl w:val="0"/>
        </w:numPr>
      </w:pPr>
      <w:r>
        <w:t xml:space="preserve">NSS 7 Afs 21/2012 – 44 z 27. 9. 2012</w:t>
      </w:r>
    </w:p>
    <w:p>
      <w:pPr>
        <w:pStyle w:val="Compact"/>
        <w:numPr>
          <w:numId w:val="1187"/>
          <w:ilvl w:val="1"/>
        </w:numPr>
      </w:pPr>
      <w:r>
        <w:t xml:space="preserve">Stěžovatelce byla doměřena daň (dokazováním) 77 868 Kč, protože nedokázala prokázat výdaje</w:t>
      </w:r>
    </w:p>
    <w:p>
      <w:pPr>
        <w:pStyle w:val="Compact"/>
        <w:numPr>
          <w:numId w:val="1187"/>
          <w:ilvl w:val="1"/>
        </w:numPr>
      </w:pPr>
      <w:r>
        <w:t xml:space="preserve">Stěžovatelka požadovala doměření podle pomůcek, protože když existovalo prodané zboží, je nemyslitelné, aby na něj nebyly žádné výdaje</w:t>
      </w:r>
    </w:p>
    <w:p>
      <w:pPr>
        <w:numPr>
          <w:numId w:val="1168"/>
          <w:ilvl w:val="0"/>
        </w:numPr>
      </w:pPr>
      <w:r>
        <w:t xml:space="preserve">SD ani KS nevyhověl</w:t>
      </w:r>
    </w:p>
    <w:p>
      <w:pPr>
        <w:pStyle w:val="Compact"/>
        <w:numPr>
          <w:numId w:val="1168"/>
          <w:ilvl w:val="0"/>
        </w:numPr>
      </w:pPr>
      <w:r>
        <w:t xml:space="preserve">Pomůcky – judikatura – pomůcky chtěl marně DS</w:t>
      </w:r>
    </w:p>
    <w:p>
      <w:pPr>
        <w:pStyle w:val="Compact"/>
        <w:numPr>
          <w:numId w:val="1168"/>
          <w:ilvl w:val="0"/>
        </w:numPr>
      </w:pPr>
      <w:r>
        <w:t xml:space="preserve">NSS 7 Afs 21/2012 – 44 pokrač.:</w:t>
      </w:r>
    </w:p>
    <w:p>
      <w:pPr>
        <w:pStyle w:val="Compact"/>
        <w:numPr>
          <w:numId w:val="1188"/>
          <w:ilvl w:val="1"/>
        </w:numPr>
      </w:pPr>
      <w:r>
        <w:t xml:space="preserve">Názor NSS:</w:t>
      </w:r>
    </w:p>
    <w:p>
      <w:pPr>
        <w:pStyle w:val="Compact"/>
        <w:numPr>
          <w:numId w:val="1188"/>
          <w:ilvl w:val="1"/>
        </w:numPr>
      </w:pPr>
      <w:r>
        <w:t xml:space="preserve">SD neuznal 95 % výdajů, nebyly věrohodně stanoveny ani příjmy</w:t>
      </w:r>
    </w:p>
    <w:p>
      <w:pPr>
        <w:pStyle w:val="Compact"/>
        <w:numPr>
          <w:numId w:val="1188"/>
          <w:ilvl w:val="1"/>
        </w:numPr>
      </w:pPr>
      <w:r>
        <w:t xml:space="preserve">Daň nebylo možno stanovit dokazováním, mělo být použito pomůcek</w:t>
      </w:r>
    </w:p>
    <w:p>
      <w:pPr>
        <w:pStyle w:val="Compact"/>
        <w:numPr>
          <w:numId w:val="1188"/>
          <w:ilvl w:val="1"/>
        </w:numPr>
      </w:pPr>
      <w:r>
        <w:t xml:space="preserve">Nelze zcela opomenout výdaje DS, pomůcky by byly pro ni výhodnější, proto SD pochybil, když je nepoužil</w:t>
      </w:r>
    </w:p>
    <w:p>
      <w:pPr>
        <w:pStyle w:val="Compact"/>
        <w:numPr>
          <w:numId w:val="1168"/>
          <w:ilvl w:val="0"/>
        </w:numPr>
      </w:pPr>
      <w:r>
        <w:t xml:space="preserve">Pomůcky – judikatura – DPH nutnost pomůcek na vstup i výstup</w:t>
      </w:r>
    </w:p>
    <w:p>
      <w:pPr>
        <w:pStyle w:val="Compact"/>
        <w:numPr>
          <w:numId w:val="1168"/>
          <w:ilvl w:val="0"/>
        </w:numPr>
      </w:pPr>
      <w:r>
        <w:t xml:space="preserve">1 Afs 19/2004 – 67 ze dne 3. 11. 2004 (Sbírka NSS 12/2006 č. 991/2006):</w:t>
      </w:r>
    </w:p>
    <w:p>
      <w:pPr>
        <w:pStyle w:val="Compact"/>
        <w:numPr>
          <w:numId w:val="1189"/>
          <w:ilvl w:val="1"/>
        </w:numPr>
      </w:pPr>
      <w:r>
        <w:t xml:space="preserve">„Nastanou-li skutečnosti předvídané ustanovením § 31 odst. 5 a násl. ZSDP, je povinností správce daně stanovit daň pomocí pomůcek. Jde-li o daň z přidané hodnoty, pak - vzhledem k zákonné konstrukci daňové povinnosti u této daně jako rozdílu mezi daní na vstupu a daní na výstupu - je nutno stanovit daňovou povinnost za určité zdaňovací období jednotně podle pomůcek.“</w:t>
      </w:r>
    </w:p>
    <w:p>
      <w:pPr>
        <w:pStyle w:val="Compact"/>
        <w:numPr>
          <w:numId w:val="1168"/>
          <w:ilvl w:val="0"/>
        </w:numPr>
      </w:pPr>
      <w:r>
        <w:t xml:space="preserve">Pomůcky – judikatura – částečné dokazování</w:t>
      </w:r>
    </w:p>
    <w:p>
      <w:pPr>
        <w:pStyle w:val="Compact"/>
        <w:numPr>
          <w:numId w:val="1168"/>
          <w:ilvl w:val="0"/>
        </w:numPr>
      </w:pPr>
      <w:r>
        <w:t xml:space="preserve">2 Afs 25/2003 – 87 ze dne 25. května 2004</w:t>
      </w:r>
    </w:p>
    <w:p>
      <w:pPr>
        <w:pStyle w:val="Compact"/>
        <w:numPr>
          <w:numId w:val="1190"/>
          <w:ilvl w:val="1"/>
        </w:numPr>
      </w:pPr>
      <w:r>
        <w:t xml:space="preserve">Správce daně nemůže hovořit o vyměření daň podle pomůcek tam, kde ve skutečnosti stanovil daň dokazováním, nemožnost stanovit daň částečně dokazováním a částečné pomůckami</w:t>
      </w:r>
    </w:p>
    <w:p>
      <w:pPr>
        <w:numPr>
          <w:numId w:val="1168"/>
          <w:ilvl w:val="0"/>
        </w:numPr>
      </w:pPr>
      <w:r>
        <w:t xml:space="preserve">Jestliže totiž rozhodnutí žalovaného např. konstatuje, že stěžovatelem nebyly předloženy evidenční listy, mělo by obsahovat rovněž zdůvodnění, proč nelze pro tuto skutečnost stanovit výši příjmů z pronájmu bytů dokazováním, např. na základě výzev k součinnosti třetích osob.</w:t>
      </w:r>
    </w:p>
    <w:p>
      <w:pPr>
        <w:pStyle w:val="Compact"/>
        <w:numPr>
          <w:numId w:val="1168"/>
          <w:ilvl w:val="0"/>
        </w:numPr>
      </w:pPr>
      <w:r>
        <w:t xml:space="preserve">Pomůcky – malý rozsah chyb neopravňuje k přechodu na pomůcky</w:t>
      </w:r>
    </w:p>
    <w:p>
      <w:pPr>
        <w:pStyle w:val="Compact"/>
        <w:numPr>
          <w:numId w:val="1168"/>
          <w:ilvl w:val="0"/>
        </w:numPr>
      </w:pPr>
      <w:r>
        <w:t xml:space="preserve">NSS 2 Afs 132/2005 – 71 z 27. 7. 2006</w:t>
      </w:r>
    </w:p>
    <w:p>
      <w:pPr>
        <w:pStyle w:val="Compact"/>
        <w:numPr>
          <w:numId w:val="1191"/>
          <w:ilvl w:val="1"/>
        </w:numPr>
      </w:pPr>
      <w:r>
        <w:t xml:space="preserve">„Nesplnění povinností daňovým subjektem je důvodem pro stanovení daně podle pomůcek jen za situace, kdy je v důsledku toho vyloučeno stanovení daně dokazováním.</w:t>
      </w:r>
    </w:p>
    <w:p>
      <w:pPr>
        <w:pStyle w:val="Compact"/>
        <w:numPr>
          <w:numId w:val="1191"/>
          <w:ilvl w:val="1"/>
        </w:numPr>
      </w:pPr>
      <w:r>
        <w:t xml:space="preserve">Zjištění, že daňový subjekt neúčtoval o stravenkách jako o ceninách, ale jako o hotovostním příjmu, že v ojedinělých případech byla přepsána pořadová čísla faktur, a že neoprávněně zaúčtoval jeden výdaj, samo o sobě stanovení daně dokazováním nevylučuje“.</w:t>
      </w:r>
    </w:p>
    <w:p>
      <w:pPr>
        <w:pStyle w:val="Compact"/>
        <w:numPr>
          <w:numId w:val="1168"/>
          <w:ilvl w:val="0"/>
        </w:numPr>
      </w:pPr>
      <w:r>
        <w:t xml:space="preserve">Pomůcky – judikatura – oprávněnost použití</w:t>
      </w:r>
    </w:p>
    <w:p>
      <w:pPr>
        <w:pStyle w:val="Compact"/>
        <w:numPr>
          <w:numId w:val="1168"/>
          <w:ilvl w:val="0"/>
        </w:numPr>
      </w:pPr>
      <w:r>
        <w:t xml:space="preserve">NSS 5 Afs 129/2006 z 27. 7. 2007</w:t>
      </w:r>
    </w:p>
    <w:p>
      <w:pPr>
        <w:pStyle w:val="Compact"/>
        <w:numPr>
          <w:numId w:val="1192"/>
          <w:ilvl w:val="1"/>
        </w:numPr>
      </w:pPr>
      <w:r>
        <w:t xml:space="preserve">„Jednalo-li se svým objemem o podstatnou část účetnictvístěžovatele, která byla zpochybněna a správcem daně neuznána, stěží lze konstatovat, že vypovídací schopnost účetnictví jako celku nebyla zpochybněna, resp. zachována. ZSDP v § 31 odst. 5 naopak nevylučuje, aby nemohlo být údajů z účetnictví, které není úplné a průkazné, použito jakožto jedné z možných pomůcek“.</w:t>
      </w:r>
    </w:p>
    <w:p>
      <w:pPr>
        <w:pStyle w:val="Compact"/>
        <w:numPr>
          <w:numId w:val="1168"/>
          <w:ilvl w:val="0"/>
        </w:numPr>
      </w:pPr>
      <w:r>
        <w:t xml:space="preserve">Pomůcky – judikatura – odcizené účetnictví</w:t>
      </w:r>
    </w:p>
    <w:p>
      <w:pPr>
        <w:pStyle w:val="Compact"/>
        <w:numPr>
          <w:numId w:val="1168"/>
          <w:ilvl w:val="0"/>
        </w:numPr>
      </w:pPr>
      <w:r>
        <w:t xml:space="preserve">NSS 1 Afs 94/2006-60 ze dne 31. 1. 2007</w:t>
      </w:r>
    </w:p>
    <w:p>
      <w:pPr>
        <w:pStyle w:val="Compact"/>
        <w:numPr>
          <w:numId w:val="1193"/>
          <w:ilvl w:val="1"/>
        </w:numPr>
      </w:pPr>
      <w:r>
        <w:t xml:space="preserve">Žalobce se ocitl v důkazní nouzi, neboť účetní doklady mu byly odcizeny.</w:t>
      </w:r>
    </w:p>
    <w:p>
      <w:pPr>
        <w:pStyle w:val="Compact"/>
        <w:numPr>
          <w:numId w:val="1193"/>
          <w:ilvl w:val="1"/>
        </w:numPr>
      </w:pPr>
      <w:r>
        <w:t xml:space="preserve">To samo o sobě však nemusí vždy způsobit takovou absenci důkazních prostředků, že by za všech okolností muselo dojít ke stanovení daně za užití pomůcek, jak předpokládá § 31 odst. 5 ZSDP.</w:t>
      </w:r>
    </w:p>
    <w:p>
      <w:pPr>
        <w:pStyle w:val="Compact"/>
        <w:numPr>
          <w:numId w:val="1193"/>
          <w:ilvl w:val="1"/>
        </w:numPr>
      </w:pPr>
      <w:r>
        <w:t xml:space="preserve">Lze si představit, že i v takové situaci budou existovat jiné důkazy, jimiž daňový subjekt spolehlivě prokáže jím tvrzenou daň.</w:t>
      </w:r>
    </w:p>
    <w:p>
      <w:pPr>
        <w:pStyle w:val="Compact"/>
        <w:numPr>
          <w:numId w:val="1168"/>
          <w:ilvl w:val="0"/>
        </w:numPr>
      </w:pPr>
      <w:r>
        <w:t xml:space="preserve">Dokazování ve vybraných případech</w:t>
      </w:r>
    </w:p>
    <w:p>
      <w:pPr>
        <w:pStyle w:val="Compact"/>
        <w:numPr>
          <w:numId w:val="1168"/>
          <w:ilvl w:val="0"/>
        </w:numPr>
      </w:pPr>
      <w:r>
        <w:t xml:space="preserve">Zprostředkování, reklama, manažerské služby</w:t>
      </w:r>
    </w:p>
    <w:p>
      <w:pPr>
        <w:pStyle w:val="Compact"/>
        <w:numPr>
          <w:numId w:val="1168"/>
          <w:ilvl w:val="0"/>
        </w:numPr>
      </w:pPr>
      <w:r>
        <w:t xml:space="preserve">Základní problémy:</w:t>
      </w:r>
    </w:p>
    <w:p>
      <w:pPr>
        <w:pStyle w:val="Compact"/>
        <w:numPr>
          <w:numId w:val="1168"/>
          <w:ilvl w:val="0"/>
        </w:numPr>
      </w:pPr>
      <w:r>
        <w:t xml:space="preserve">Fakturování fiktivních služeb, které nebyly poskytnuty</w:t>
      </w:r>
    </w:p>
    <w:p>
      <w:pPr>
        <w:pStyle w:val="Compact"/>
        <w:numPr>
          <w:numId w:val="1168"/>
          <w:ilvl w:val="0"/>
        </w:numPr>
      </w:pPr>
      <w:r>
        <w:t xml:space="preserve">Falešné doklady</w:t>
      </w:r>
    </w:p>
    <w:p>
      <w:pPr>
        <w:pStyle w:val="Compact"/>
        <w:numPr>
          <w:numId w:val="1168"/>
          <w:ilvl w:val="0"/>
        </w:numPr>
      </w:pPr>
      <w:r>
        <w:t xml:space="preserve">Nereálné ceny za služby, řetězové navyšování cen – cena „obvyklá“</w:t>
      </w:r>
    </w:p>
    <w:p>
      <w:pPr>
        <w:pStyle w:val="Compact"/>
        <w:numPr>
          <w:numId w:val="1168"/>
          <w:ilvl w:val="0"/>
        </w:numPr>
      </w:pPr>
      <w:r>
        <w:t xml:space="preserve">Nekontaktní a zapomnětliví svědci</w:t>
      </w:r>
    </w:p>
    <w:p>
      <w:pPr>
        <w:numPr>
          <w:numId w:val="1168"/>
          <w:ilvl w:val="0"/>
        </w:numPr>
      </w:pPr>
      <w:r>
        <w:t xml:space="preserve">Chybějící dokumentace k prováděným činnostem</w:t>
      </w:r>
    </w:p>
    <w:p>
      <w:pPr>
        <w:pStyle w:val="Compact"/>
        <w:numPr>
          <w:numId w:val="1168"/>
          <w:ilvl w:val="0"/>
        </w:numPr>
      </w:pPr>
      <w:r>
        <w:t xml:space="preserve">Reklama</w:t>
      </w:r>
    </w:p>
    <w:p>
      <w:pPr>
        <w:numPr>
          <w:numId w:val="1168"/>
          <w:ilvl w:val="0"/>
        </w:numPr>
      </w:pPr>
      <w:r>
        <w:t xml:space="preserve">§25/1/t zákona o daních z příjmů neuznává daňově výdaje na reprezentaci, kterými jsou zejména výdaje na pohoštění, občerstvení a dar; za dar se nepovažuje reklamní nebo propagační předmět, který je opatřen jménem nebo ochrannou známkou poskytovatele tohoto předmětu nebo názvem propagovaného zboží nebo služby, jehož hodnota bez daně z přidané hodnoty nepřesahuje 500 Kč a který není s výjimkou tichého vína předmětem spotřební daně</w:t>
      </w:r>
    </w:p>
    <w:p>
      <w:pPr>
        <w:pStyle w:val="Compact"/>
        <w:numPr>
          <w:numId w:val="1168"/>
          <w:ilvl w:val="0"/>
        </w:numPr>
      </w:pPr>
      <w:r>
        <w:t xml:space="preserve">Reklama</w:t>
      </w:r>
    </w:p>
    <w:p>
      <w:pPr>
        <w:pStyle w:val="Compact"/>
        <w:numPr>
          <w:numId w:val="1168"/>
          <w:ilvl w:val="0"/>
        </w:numPr>
      </w:pPr>
      <w:r>
        <w:t xml:space="preserve">Problémy:</w:t>
      </w:r>
    </w:p>
    <w:p>
      <w:pPr>
        <w:pStyle w:val="Compact"/>
        <w:numPr>
          <w:numId w:val="1195"/>
          <w:ilvl w:val="2"/>
        </w:numPr>
      </w:pPr>
      <w:r>
        <w:t xml:space="preserve">prokázat, že jde o výdaj na reklamu a nikoli na reprezentaci,</w:t>
      </w:r>
    </w:p>
    <w:p>
      <w:pPr>
        <w:pStyle w:val="Compact"/>
        <w:numPr>
          <w:numId w:val="1196"/>
          <w:ilvl w:val="2"/>
        </w:numPr>
      </w:pPr>
      <w:r>
        <w:t xml:space="preserve">i v případě, že jde o výdaj na reklamu, prokázat, že reklama byla opravdu uskutečněna, včetně jejího deklarovaného rozsahu, času a v ceně odpovídající odvedenému dílu,</w:t>
      </w:r>
    </w:p>
    <w:p>
      <w:pPr>
        <w:pStyle w:val="Compact"/>
        <w:numPr>
          <w:numId w:val="1197"/>
          <w:ilvl w:val="2"/>
        </w:numPr>
      </w:pPr>
      <w:r>
        <w:t xml:space="preserve">můžeme se setkat i s opačným problémem, tedy se snahou vykázat reklamu jako „charitativní“ dar s možností uplatnit jej jako odečitatelnou položku od základu daně.</w:t>
      </w:r>
    </w:p>
    <w:p>
      <w:pPr>
        <w:pStyle w:val="Compact"/>
        <w:numPr>
          <w:numId w:val="1198"/>
          <w:ilvl w:val="2"/>
        </w:numPr>
      </w:pPr>
      <w:r>
        <w:t xml:space="preserve">plnění, které daňový subjekt poskytuje, bývá posouzeno jako dar a nikoli jako součást ceny (jiného) prodávaného zboží či služby,</w:t>
      </w:r>
    </w:p>
    <w:p>
      <w:pPr>
        <w:pStyle w:val="Compact"/>
        <w:numPr>
          <w:numId w:val="1199"/>
          <w:ilvl w:val="2"/>
        </w:numPr>
      </w:pPr>
      <w:r>
        <w:t xml:space="preserve">plnění spočívající obvykle v uspořádání nějaké akce (i bez poskytovaných dárků) nebývá uznáno jako reklama, ale označeno za výdaj na reprezentaci,</w:t>
      </w:r>
    </w:p>
    <w:p>
      <w:pPr>
        <w:pStyle w:val="Compact"/>
        <w:numPr>
          <w:numId w:val="1200"/>
          <w:ilvl w:val="2"/>
        </w:numPr>
      </w:pPr>
      <w:r>
        <w:t xml:space="preserve">předmětné plnění sice definici reprezentace nenaplňuje, ale příčinná souvislost příslušné akce s daňovými výnosy je nedostatečná.</w:t>
      </w:r>
    </w:p>
    <w:p>
      <w:pPr>
        <w:pStyle w:val="Compact"/>
        <w:numPr>
          <w:numId w:val="1168"/>
          <w:ilvl w:val="0"/>
        </w:numPr>
      </w:pPr>
      <w:r>
        <w:t xml:space="preserve">Reklama</w:t>
      </w:r>
    </w:p>
    <w:p>
      <w:pPr>
        <w:pStyle w:val="Compact"/>
        <w:numPr>
          <w:numId w:val="1168"/>
          <w:ilvl w:val="0"/>
        </w:numPr>
      </w:pPr>
      <w:r>
        <w:t xml:space="preserve">Příklad</w:t>
      </w:r>
    </w:p>
    <w:p>
      <w:pPr>
        <w:pStyle w:val="Compact"/>
        <w:numPr>
          <w:numId w:val="1201"/>
          <w:ilvl w:val="1"/>
        </w:numPr>
      </w:pPr>
      <w:r>
        <w:t xml:space="preserve">Pokud tedy např. tělovýchovná jednota přijme finanční částku na svůj provoz, ale zároveň se zaváže, že jako reciprocitu budou na dresech jejich hráčů uvedeno logo firmy, nejde o dar, ale výdaj na reklamu.</w:t>
      </w:r>
    </w:p>
    <w:p>
      <w:pPr>
        <w:pStyle w:val="Compact"/>
        <w:numPr>
          <w:numId w:val="1168"/>
          <w:ilvl w:val="0"/>
        </w:numPr>
      </w:pPr>
      <w:r>
        <w:t xml:space="preserve">Reklama - judikatura</w:t>
      </w:r>
    </w:p>
    <w:p>
      <w:pPr>
        <w:pStyle w:val="Compact"/>
        <w:numPr>
          <w:numId w:val="1168"/>
          <w:ilvl w:val="0"/>
        </w:numPr>
      </w:pPr>
      <w:r>
        <w:t xml:space="preserve">Prokázání uskutečnění reklamy (NSS 7 Afs 112/2008 – 64 ze dne 11. 12. 2008)</w:t>
      </w:r>
    </w:p>
    <w:p>
      <w:pPr>
        <w:pStyle w:val="Compact"/>
        <w:numPr>
          <w:numId w:val="1202"/>
          <w:ilvl w:val="1"/>
        </w:numPr>
      </w:pPr>
      <w:r>
        <w:t xml:space="preserve">DS předložil formálně bezvadné doklady, fotodokumentaci o tom, že reklamní činnost proběhla, navrhl svědky a další důkazy.</w:t>
      </w:r>
    </w:p>
    <w:p>
      <w:pPr>
        <w:pStyle w:val="Compact"/>
        <w:numPr>
          <w:numId w:val="1202"/>
          <w:ilvl w:val="1"/>
        </w:numPr>
      </w:pPr>
      <w:r>
        <w:t xml:space="preserve">Někteří svědci (zástupci dodavatelských firem) popřeli, že by reklamní činnost pro daný subjekt prováděli a daný subjekt vůbec znali, jiní sdělili, že si danou situaci již nepamatují.</w:t>
      </w:r>
    </w:p>
    <w:p>
      <w:pPr>
        <w:pStyle w:val="Compact"/>
        <w:numPr>
          <w:numId w:val="1168"/>
          <w:ilvl w:val="0"/>
        </w:numPr>
      </w:pPr>
      <w:r>
        <w:t xml:space="preserve">Reklama - judikatura</w:t>
      </w:r>
    </w:p>
    <w:p>
      <w:pPr>
        <w:pStyle w:val="Compact"/>
        <w:numPr>
          <w:numId w:val="1168"/>
          <w:ilvl w:val="0"/>
        </w:numPr>
      </w:pPr>
      <w:r>
        <w:t xml:space="preserve">7 Afs 112/2008 – pokrač.</w:t>
      </w:r>
    </w:p>
    <w:p>
      <w:pPr>
        <w:pStyle w:val="Compact"/>
        <w:numPr>
          <w:numId w:val="1203"/>
          <w:ilvl w:val="1"/>
        </w:numPr>
      </w:pPr>
      <w:r>
        <w:t xml:space="preserve">K dispozici byly i doklady vystavené zmíněnými dodavatelskými firmami, svědci většinou popřeli, že by tyto doklady podepsali, v některých případech však nepopřeli, že by mohlo jít o jejich razítko či doklad.</w:t>
      </w:r>
    </w:p>
    <w:p>
      <w:pPr>
        <w:pStyle w:val="Compact"/>
        <w:numPr>
          <w:numId w:val="1203"/>
          <w:ilvl w:val="1"/>
        </w:numPr>
      </w:pPr>
      <w:r>
        <w:t xml:space="preserve">Stěžovatel navrhl provést důkazy předložením účetnictví dodavatelů, ti však byli nekontaktní. Výsledkem bylo neunesení důkazního břemene ze strany daňového subjektu a neuznání předmětných výdajů.</w:t>
      </w:r>
    </w:p>
    <w:p>
      <w:pPr>
        <w:pStyle w:val="Compact"/>
        <w:numPr>
          <w:numId w:val="1168"/>
          <w:ilvl w:val="0"/>
        </w:numPr>
      </w:pPr>
      <w:r>
        <w:t xml:space="preserve">Reklama - judikatura</w:t>
      </w:r>
    </w:p>
    <w:p>
      <w:pPr>
        <w:pStyle w:val="Compact"/>
        <w:numPr>
          <w:numId w:val="1168"/>
          <w:ilvl w:val="0"/>
        </w:numPr>
      </w:pPr>
      <w:r>
        <w:t xml:space="preserve">Reklama nebo zakryté financování sportovních aktivit? (NSS 7 Afs 10/2007-55 z 1. 11. 2007)</w:t>
      </w:r>
    </w:p>
    <w:p>
      <w:pPr>
        <w:pStyle w:val="Compact"/>
        <w:numPr>
          <w:numId w:val="1204"/>
          <w:ilvl w:val="1"/>
        </w:numPr>
      </w:pPr>
      <w:r>
        <w:t xml:space="preserve">umístění stěžovatelčiny obchodní firmy nebo loga nebo názvu stěžovatelky nebo identifikace jejích produktů na reklamních plochách instalovaných na ledním stadionu, na dresech hráčů hokejového klubu S. H., na plakátech k jednotlivým utkáním S. H. a na reklamních předmětech S. H.</w:t>
      </w:r>
    </w:p>
    <w:p>
      <w:pPr>
        <w:pStyle w:val="Compact"/>
        <w:numPr>
          <w:numId w:val="1204"/>
          <w:ilvl w:val="1"/>
        </w:numPr>
      </w:pPr>
      <w:r>
        <w:t xml:space="preserve">reklama nebyla v odpovídající šíři prokázána (např. fotodokumentace reklamy nebyla datovaná a zjistilo se, že by mohla odpovídat spíše jiné sezóně).</w:t>
      </w:r>
    </w:p>
    <w:p>
      <w:pPr>
        <w:pStyle w:val="Compact"/>
        <w:numPr>
          <w:numId w:val="1168"/>
          <w:ilvl w:val="0"/>
        </w:numPr>
      </w:pPr>
      <w:r>
        <w:t xml:space="preserve">Reklama - judikatura</w:t>
      </w:r>
    </w:p>
    <w:p>
      <w:pPr>
        <w:pStyle w:val="Compact"/>
        <w:numPr>
          <w:numId w:val="1168"/>
          <w:ilvl w:val="0"/>
        </w:numPr>
      </w:pPr>
      <w:r>
        <w:t xml:space="preserve">7 Afs 10/2007-55 pokrač.:</w:t>
      </w:r>
    </w:p>
    <w:p>
      <w:pPr>
        <w:pStyle w:val="Compact"/>
        <w:numPr>
          <w:numId w:val="1205"/>
          <w:ilvl w:val="1"/>
        </w:numPr>
      </w:pPr>
      <w:r>
        <w:t xml:space="preserve">Dále se vyskytla otázka, zda nedošlo ve skutečnosti spíše k zakrytému financování sportovních aktivit příjemce reklamy (přičemž zde mohlo jít i o sportovní aktivity rodinných příslušníků firmy, která reklamu hradila). Nebyl též prokázán vztah mezi údajnou reklamou a hospodářským výsledkem zadavatele reklamy.</w:t>
      </w:r>
    </w:p>
    <w:p>
      <w:pPr>
        <w:pStyle w:val="Compact"/>
        <w:numPr>
          <w:numId w:val="1168"/>
          <w:ilvl w:val="0"/>
        </w:numPr>
      </w:pPr>
      <w:r>
        <w:t xml:space="preserve">Reklama - judikatura</w:t>
      </w:r>
    </w:p>
    <w:p>
      <w:pPr>
        <w:pStyle w:val="Compact"/>
        <w:numPr>
          <w:numId w:val="1168"/>
          <w:ilvl w:val="0"/>
        </w:numPr>
      </w:pPr>
      <w:r>
        <w:t xml:space="preserve">Neprokázaný mediální servis (NSS 9 Afs 27/2010 – 130 z 30. 11. 2010)</w:t>
      </w:r>
    </w:p>
    <w:p>
      <w:pPr>
        <w:pStyle w:val="Compact"/>
        <w:numPr>
          <w:numId w:val="1206"/>
          <w:ilvl w:val="1"/>
        </w:numPr>
      </w:pPr>
      <w:r>
        <w:t xml:space="preserve">DS nebyl schopen prokázat nárok na odpočet DPH z milionových částek vyplacených svému dodavateli za zajištění vysílacího prostoru při konání Evropského poháru tahačů. Formálně byly doklady a další dokumentace v pořádku, při podrobnějším zkoumání však bylo zjištěno, že obrazová dokumentace pochází z jiného období, svědci si nic nepamatují, byla provedena úhrada za prostor v neexistujícím rádiu. Přestože v řadě sdělovacích prostředků byly reportáže ze zmíněného závodu vysílány, redaktoři daných médií si je zajišťovali sami.</w:t>
      </w:r>
    </w:p>
    <w:p>
      <w:pPr>
        <w:pStyle w:val="Compact"/>
        <w:numPr>
          <w:numId w:val="1168"/>
          <w:ilvl w:val="0"/>
        </w:numPr>
      </w:pPr>
      <w:r>
        <w:t xml:space="preserve">Reklama - judikatura</w:t>
      </w:r>
    </w:p>
    <w:p>
      <w:pPr>
        <w:pStyle w:val="Compact"/>
        <w:numPr>
          <w:numId w:val="1168"/>
          <w:ilvl w:val="0"/>
        </w:numPr>
      </w:pPr>
      <w:r>
        <w:t xml:space="preserve">9 Afs 27/2010 pokrač.:</w:t>
      </w:r>
    </w:p>
    <w:p>
      <w:pPr>
        <w:pStyle w:val="Compact"/>
        <w:numPr>
          <w:numId w:val="1207"/>
          <w:ilvl w:val="1"/>
        </w:numPr>
      </w:pPr>
      <w:r>
        <w:t xml:space="preserve">Z obecnějšího pohledu je podstatné, že je na odběrateli, aby byl schopen prokázat, že příslušné zdanitelné plnění přijal. Jinými slovy, nemůže se spokojit s tím, že věří dodavateli, že příslušné plnění provedl a vyfakturoval, ale musí disponovat (kromě smluv a faktur) dalšími důkazy, které prokážou, že příslušné plnění přijal. V praxi to může být pochopitelně velmi komplikované, tím spíše, že se jedná nikoli o zboží, ale o služby. Situace bývá ještě komplikovanější pak v případech, kdy dodavatel má ještě další subdodavatele.</w:t>
      </w:r>
    </w:p>
    <w:p>
      <w:pPr>
        <w:pStyle w:val="Compact"/>
        <w:numPr>
          <w:numId w:val="1207"/>
          <w:ilvl w:val="1"/>
        </w:numPr>
      </w:pPr>
      <w:r>
        <w:t xml:space="preserve">V daních však platí presumpce viny a odběratel musí mít příslušné důkazy k dispozici.</w:t>
      </w:r>
    </w:p>
    <w:p>
      <w:pPr>
        <w:pStyle w:val="Compact"/>
        <w:numPr>
          <w:numId w:val="1168"/>
          <w:ilvl w:val="0"/>
        </w:numPr>
      </w:pPr>
      <w:r>
        <w:t xml:space="preserve">Reklama - judikatura</w:t>
      </w:r>
    </w:p>
    <w:p>
      <w:pPr>
        <w:pStyle w:val="Compact"/>
        <w:numPr>
          <w:numId w:val="1168"/>
          <w:ilvl w:val="0"/>
        </w:numPr>
      </w:pPr>
      <w:r>
        <w:t xml:space="preserve">Socha, parní čistič a vstupenky na hrad v daňových nákladech (podle rozsudku Nejvyššího správního soudu 2 Afs 200/2005 – 86 ze dne 26. září 2006)</w:t>
      </w:r>
    </w:p>
    <w:p>
      <w:pPr>
        <w:pStyle w:val="Compact"/>
        <w:numPr>
          <w:numId w:val="1208"/>
          <w:ilvl w:val="1"/>
        </w:numPr>
      </w:pPr>
      <w:r>
        <w:t xml:space="preserve">DS provozující cestovní kancelář si do nákladů zahrnul barokní sochu, kterou měl umístěnu v zahradě před kanceláří – nebyla mu uznána. Neepomohla ani skutečnost, že v dalších létech sochu prodal téměř za pořizovací cenu a příjem zahrnul do daňového základu. V případě parního čističe poplatník přehlédl, že mu výdaj byl uznán z 92 % a mylně předpokládal, že nebyl uznán vůbec. Konečně v posledním případě zaplatil vstupné za skauty, poté, co neprošlo jako daňový náklad, pokusil se neúspěšně obhájit tento výdaj jako „charitativní“ dar.</w:t>
      </w:r>
    </w:p>
    <w:p>
      <w:pPr>
        <w:pStyle w:val="Compact"/>
        <w:numPr>
          <w:numId w:val="1168"/>
          <w:ilvl w:val="0"/>
        </w:numPr>
      </w:pPr>
      <w:r>
        <w:t xml:space="preserve">Reklama - judikatura</w:t>
      </w:r>
    </w:p>
    <w:p>
      <w:pPr>
        <w:pStyle w:val="Compact"/>
        <w:numPr>
          <w:numId w:val="1168"/>
          <w:ilvl w:val="0"/>
        </w:numPr>
      </w:pPr>
      <w:r>
        <w:t xml:space="preserve">Věrnostní program a nárok na odpočet DPH (podle rozsudku Evropského soudního dvora C-48/97 (Kuwait Petroleum))</w:t>
      </w:r>
    </w:p>
    <w:p>
      <w:pPr>
        <w:pStyle w:val="Compact"/>
        <w:numPr>
          <w:numId w:val="1209"/>
          <w:ilvl w:val="1"/>
        </w:numPr>
      </w:pPr>
      <w:r>
        <w:t xml:space="preserve">Dodavatel pohonných hmot – společnost Kuwait Petroleum poskytoval tento subjekt svým zákazníkům známky na „sběratelskou kartu“ za každých odebraných 12 litrů benzínu.</w:t>
      </w:r>
    </w:p>
    <w:p>
      <w:pPr>
        <w:pStyle w:val="Compact"/>
        <w:numPr>
          <w:numId w:val="1209"/>
          <w:ilvl w:val="1"/>
        </w:numPr>
      </w:pPr>
      <w:r>
        <w:t xml:space="preserve">Po nasbírání určitého počtu známek bylo možno „sběratelské karty“ vyměnit za určité zboží (dárek).</w:t>
      </w:r>
    </w:p>
    <w:p>
      <w:pPr>
        <w:pStyle w:val="Compact"/>
        <w:numPr>
          <w:numId w:val="1209"/>
          <w:ilvl w:val="1"/>
        </w:numPr>
      </w:pPr>
      <w:r>
        <w:t xml:space="preserve">Za příslušný dárek již zákazník nic nedoplácel.</w:t>
      </w:r>
    </w:p>
    <w:p>
      <w:pPr>
        <w:pStyle w:val="Compact"/>
        <w:numPr>
          <w:numId w:val="1209"/>
          <w:ilvl w:val="1"/>
        </w:numPr>
      </w:pPr>
      <w:r>
        <w:t xml:space="preserve">Pokud se týká ceny pohonných hmot, ať už si zákazník vzal známku do sběratelské karty či nevzal, za pohonné hmoty platil stejnou částku.</w:t>
      </w:r>
    </w:p>
    <w:p>
      <w:pPr>
        <w:pStyle w:val="Compact"/>
        <w:numPr>
          <w:numId w:val="1168"/>
          <w:ilvl w:val="0"/>
        </w:numPr>
      </w:pPr>
      <w:r>
        <w:t xml:space="preserve">Reklama - judikatura</w:t>
      </w:r>
    </w:p>
    <w:p>
      <w:pPr>
        <w:pStyle w:val="Compact"/>
        <w:numPr>
          <w:numId w:val="1168"/>
          <w:ilvl w:val="0"/>
        </w:numPr>
      </w:pPr>
      <w:r>
        <w:t xml:space="preserve">C-48/97 – pokrač.:</w:t>
      </w:r>
    </w:p>
    <w:p>
      <w:pPr>
        <w:pStyle w:val="Compact"/>
        <w:numPr>
          <w:numId w:val="1210"/>
          <w:ilvl w:val="1"/>
        </w:numPr>
      </w:pPr>
      <w:r>
        <w:t xml:space="preserve">Poskytnutí kupónu při nákupu pohonných hmot bylo učiněno v souvislosti s podnikatelskou činností společnosti s cílem zvýšení prodeje. Společnosti tedy nikdo nezpochybňoval její oprávnění uplatnit si nárok na odpočet DPH na vstupu při pořízení zboží, které bylo následně poskytováno jako dárky zákazníkům dle jejich výběru z katalogu</w:t>
      </w:r>
    </w:p>
    <w:p>
      <w:pPr>
        <w:pStyle w:val="Compact"/>
        <w:numPr>
          <w:numId w:val="1210"/>
          <w:ilvl w:val="1"/>
        </w:numPr>
      </w:pPr>
      <w:r>
        <w:t xml:space="preserve">ESD dospěl k tomu, že se společnosti nepodařilo prokázat, že cena hrazená za pohonné hmoty obsahovala v sobě část představující hodnotu „dárků“ vybraných z katalogu.</w:t>
      </w:r>
    </w:p>
    <w:p>
      <w:pPr>
        <w:pStyle w:val="Compact"/>
        <w:numPr>
          <w:numId w:val="1210"/>
          <w:ilvl w:val="1"/>
        </w:numPr>
      </w:pPr>
      <w:r>
        <w:t xml:space="preserve">Poskytnutí dárků z katalogu tak bylo posouzeno jako samostatné zdanitelné plnění s povinností odvést DPH na výstupu.</w:t>
      </w:r>
    </w:p>
    <w:p>
      <w:pPr>
        <w:pStyle w:val="Compact"/>
        <w:numPr>
          <w:numId w:val="1168"/>
          <w:ilvl w:val="0"/>
        </w:numPr>
      </w:pPr>
      <w:r>
        <w:t xml:space="preserve">Reklama - judikatura</w:t>
      </w:r>
    </w:p>
    <w:p>
      <w:pPr>
        <w:pStyle w:val="Compact"/>
        <w:numPr>
          <w:numId w:val="1168"/>
          <w:ilvl w:val="0"/>
        </w:numPr>
      </w:pPr>
      <w:r>
        <w:t xml:space="preserve">Nárok na odpočet DPH z ohňostroje (podle rozsudku Nejvyššího správního soudu 5 Afs 152/2004 – 55 ze dne 4. srpna 2005)</w:t>
      </w:r>
    </w:p>
    <w:p>
      <w:pPr>
        <w:pStyle w:val="Compact"/>
        <w:numPr>
          <w:numId w:val="1211"/>
          <w:ilvl w:val="1"/>
        </w:numPr>
      </w:pPr>
      <w:r>
        <w:t xml:space="preserve">Firma se snažila zviditelnit u svých zákazníků tím, že uspořádala ohňostroj. Finančním orgánům se příčilo uznat nárok na odpočet DPH na vstupu spatřovala v ní spíše plnění charakteru reprezentace.</w:t>
      </w:r>
    </w:p>
    <w:p>
      <w:pPr>
        <w:pStyle w:val="Compact"/>
        <w:numPr>
          <w:numId w:val="1211"/>
          <w:ilvl w:val="1"/>
        </w:numPr>
      </w:pPr>
      <w:r>
        <w:t xml:space="preserve">DS však byl v tomto případě úspěšný a svůj nárok obhájil. Vzhledem k obdobnosti zmiňované problematiky jsou východiska z tohoto rozsudku aplikovatelná nejen na oblast DPH, ale i daňových nákladů u daně zpříjmů.</w:t>
      </w:r>
    </w:p>
    <w:p>
      <w:pPr>
        <w:pStyle w:val="Compact"/>
        <w:numPr>
          <w:numId w:val="1211"/>
          <w:ilvl w:val="1"/>
        </w:numPr>
      </w:pPr>
      <w:r>
        <w:t xml:space="preserve">Zároveň nelze přehlédnout názor soudu, že se předmětná plnění nedají posuzovat plošně – co může být daňovým nákladem u jednoho subjektu vzhledem k jeho předmětu a způsobu podnikání, nemusí být uznáno u jiného.</w:t>
      </w:r>
    </w:p>
    <w:p>
      <w:pPr>
        <w:pStyle w:val="Compact"/>
        <w:numPr>
          <w:numId w:val="1168"/>
          <w:ilvl w:val="0"/>
        </w:numPr>
      </w:pPr>
      <w:r>
        <w:t xml:space="preserve">Reklama - judikatura</w:t>
      </w:r>
    </w:p>
    <w:p>
      <w:pPr>
        <w:pStyle w:val="Compact"/>
        <w:numPr>
          <w:numId w:val="1168"/>
          <w:ilvl w:val="0"/>
        </w:numPr>
      </w:pPr>
      <w:r>
        <w:t xml:space="preserve">Dálniční známky zdarma MS v Praze čj. 5 Ca 67/2008-77 z 25. srpna 2010</w:t>
      </w:r>
    </w:p>
    <w:p>
      <w:pPr>
        <w:pStyle w:val="Compact"/>
        <w:numPr>
          <w:numId w:val="1212"/>
          <w:ilvl w:val="1"/>
        </w:numPr>
      </w:pPr>
      <w:r>
        <w:t xml:space="preserve">DS poskytl svým zákazníkům dálniční známky, popř. poukázky na pohonné hmoty zdarma, jako „bonus“ za to, že si u něj nechají opravit havarované auto. Zákazníci nehradili ani opravu (tu hradila pojišťovna) ani cenu dálniční známky či poukázky na benzín. Finanční orgány i soud posoudily výdaje na nákup dálniční známky i poukázek na pohonné hmoty jako daňově neuznatelný výdaj na reprezentaci.</w:t>
      </w:r>
    </w:p>
    <w:p>
      <w:pPr>
        <w:pStyle w:val="Compact"/>
        <w:numPr>
          <w:numId w:val="1168"/>
          <w:ilvl w:val="0"/>
        </w:numPr>
      </w:pPr>
      <w:r>
        <w:t xml:space="preserve">Reklama - judikatura</w:t>
      </w:r>
    </w:p>
    <w:p>
      <w:pPr>
        <w:pStyle w:val="Compact"/>
        <w:numPr>
          <w:numId w:val="1168"/>
          <w:ilvl w:val="0"/>
        </w:numPr>
      </w:pPr>
      <w:r>
        <w:t xml:space="preserve">Přeprava, vstupné a občerstvení účastníků „prodejních“ zájezdů NSS čj. 2 Afs 6/2004 – 67 z 27. 10. 2004)</w:t>
      </w:r>
    </w:p>
    <w:p>
      <w:pPr>
        <w:pStyle w:val="Compact"/>
        <w:numPr>
          <w:numId w:val="1213"/>
          <w:ilvl w:val="1"/>
        </w:numPr>
      </w:pPr>
      <w:r>
        <w:t xml:space="preserve">výdaje za stravování účastníků, vstupné na prohlídku pivovaru, náklady za výlet lodí, výlety parním vlakem a za přepravu autobusem,</w:t>
      </w:r>
    </w:p>
    <w:p>
      <w:pPr>
        <w:pStyle w:val="Compact"/>
        <w:numPr>
          <w:numId w:val="1213"/>
          <w:ilvl w:val="1"/>
        </w:numPr>
      </w:pPr>
      <w:r>
        <w:t xml:space="preserve">hlavní činnost žalobkyně spočívá v nákupu zboží za účelem jeho dalšího prodeje, který je realizován prostřednictvím prodejních zájezdů.</w:t>
      </w:r>
    </w:p>
    <w:p>
      <w:pPr>
        <w:pStyle w:val="Compact"/>
        <w:numPr>
          <w:numId w:val="1213"/>
          <w:ilvl w:val="1"/>
        </w:numPr>
      </w:pPr>
      <w:r>
        <w:t xml:space="preserve">potenciálním zákazníkům jsou nabízeny kulturní akce, společný oběd, výlety rekreační lodí nebo vlakem a upomínkové předměty. Podle vyjádření stěžovatelky je jejím příjmem účastnický poplatek zaplacený účastníky zájezdu a tržby ze zboží prodaného na přednáškách. U takto prodávaného zboží činí obchodní přirážka přibližně 200 %.</w:t>
      </w:r>
    </w:p>
    <w:p>
      <w:pPr>
        <w:pStyle w:val="Compact"/>
        <w:numPr>
          <w:numId w:val="1168"/>
          <w:ilvl w:val="0"/>
        </w:numPr>
      </w:pPr>
      <w:r>
        <w:t xml:space="preserve">Reklama - judikatura</w:t>
      </w:r>
    </w:p>
    <w:p>
      <w:pPr>
        <w:pStyle w:val="Compact"/>
        <w:numPr>
          <w:numId w:val="1168"/>
          <w:ilvl w:val="0"/>
        </w:numPr>
      </w:pPr>
      <w:r>
        <w:t xml:space="preserve">2 Afs 6/2004 pokrač.:</w:t>
      </w:r>
    </w:p>
    <w:p>
      <w:pPr>
        <w:pStyle w:val="Compact"/>
        <w:numPr>
          <w:numId w:val="1214"/>
          <w:ilvl w:val="1"/>
        </w:numPr>
      </w:pPr>
      <w:r>
        <w:t xml:space="preserve">Ve spise je založen vzor nabídkového listu, prostřednictvím kterého stěžovatelka nabízí zájezd autobusem, prezentovaný jako „Super výlet s jedinou reklamní akcí“, „Výlet parním vlakem pro všechny zdarma“, „Toulky Severní Moravou za železniční historií“. Dále je na letáku uvedeno, že se frekventanti zájezdu zúčastní reklamní prezentace zboží s možností zakoupení levného oběda, zúčastní se prohlídky města Králíky</w:t>
      </w:r>
    </w:p>
    <w:p>
      <w:pPr>
        <w:pStyle w:val="Compact"/>
        <w:numPr>
          <w:numId w:val="1214"/>
          <w:ilvl w:val="1"/>
        </w:numPr>
      </w:pPr>
      <w:r>
        <w:t xml:space="preserve">a historických památek v Letohradě. Účastnický poplatek zájezdu činil 140 Kč.</w:t>
      </w:r>
    </w:p>
    <w:p>
      <w:pPr>
        <w:pStyle w:val="Compact"/>
        <w:numPr>
          <w:numId w:val="1214"/>
          <w:ilvl w:val="1"/>
        </w:numPr>
      </w:pPr>
      <w:r>
        <w:t xml:space="preserve">NO nebyl uznán</w:t>
      </w:r>
    </w:p>
    <w:p>
      <w:pPr>
        <w:pStyle w:val="Compact"/>
        <w:numPr>
          <w:numId w:val="1168"/>
          <w:ilvl w:val="0"/>
        </w:numPr>
      </w:pPr>
      <w:r>
        <w:t xml:space="preserve">Dokazování ve vybraných případech</w:t>
      </w:r>
    </w:p>
    <w:p>
      <w:pPr>
        <w:pStyle w:val="Compact"/>
        <w:numPr>
          <w:numId w:val="1168"/>
          <w:ilvl w:val="0"/>
        </w:numPr>
      </w:pPr>
      <w:r>
        <w:t xml:space="preserve">I zde platí základní schéma dokazování:</w:t>
      </w:r>
    </w:p>
    <w:p>
      <w:pPr>
        <w:pStyle w:val="Compact"/>
        <w:numPr>
          <w:numId w:val="1216"/>
          <w:ilvl w:val="2"/>
        </w:numPr>
      </w:pPr>
      <w:r>
        <w:t xml:space="preserve">Povinnost DS k tvrzení (např. podat DP)</w:t>
      </w:r>
    </w:p>
    <w:p>
      <w:pPr>
        <w:pStyle w:val="Compact"/>
        <w:numPr>
          <w:numId w:val="1217"/>
          <w:ilvl w:val="2"/>
        </w:numPr>
      </w:pPr>
      <w:r>
        <w:t xml:space="preserve">Výzva SD k prokázání</w:t>
      </w:r>
    </w:p>
    <w:p>
      <w:pPr>
        <w:pStyle w:val="Compact"/>
        <w:numPr>
          <w:numId w:val="1218"/>
          <w:ilvl w:val="2"/>
        </w:numPr>
      </w:pPr>
      <w:r>
        <w:t xml:space="preserve">Povinnost DS důkazní (doložit tvrzení)</w:t>
      </w:r>
    </w:p>
    <w:p>
      <w:pPr>
        <w:pStyle w:val="Compact"/>
        <w:numPr>
          <w:numId w:val="1219"/>
          <w:ilvl w:val="2"/>
        </w:numPr>
      </w:pPr>
      <w:r>
        <w:t xml:space="preserve">Povinnost SD prokázat, proč má pochybnosti</w:t>
      </w:r>
    </w:p>
    <w:p>
      <w:pPr>
        <w:pStyle w:val="Compact"/>
        <w:numPr>
          <w:numId w:val="1220"/>
          <w:ilvl w:val="2"/>
        </w:numPr>
      </w:pPr>
      <w:r>
        <w:t xml:space="preserve">Povinnost DS pochybnosti vyvrátit</w:t>
      </w:r>
    </w:p>
    <w:p>
      <w:pPr>
        <w:pStyle w:val="Heading2"/>
      </w:pPr>
      <w:bookmarkStart w:id="121" w:name="opravné-a-dozorčí-prostředky-v-daňovém-řízení"/>
      <w:bookmarkEnd w:id="121"/>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22"/>
      </w:r>
      <w:r>
        <w:t xml:space="preserve"> </w:t>
      </w:r>
      <w:r>
        <w:t xml:space="preserve">v daňovém řízení -</w:t>
      </w:r>
      <w:r>
        <w:t xml:space="preserve"> </w:t>
      </w:r>
      <w:r>
        <w:rPr>
          <w:b/>
        </w:rPr>
        <w:t xml:space="preserve">daňový řád</w:t>
      </w:r>
      <w:r>
        <w:t xml:space="preserve">.</w:t>
      </w:r>
    </w:p>
    <w:p>
      <w:pPr>
        <w:pStyle w:val="Compact"/>
        <w:numPr>
          <w:numId w:val="1221"/>
          <w:ilvl w:val="0"/>
        </w:numPr>
      </w:pPr>
      <w:r>
        <w:t xml:space="preserve">Paragrafy 108 až §124a.</w:t>
      </w:r>
    </w:p>
    <w:p>
      <w:pPr>
        <w:pStyle w:val="Heading3"/>
      </w:pPr>
      <w:bookmarkStart w:id="123" w:name="použití-opravných-a-dozorčích-prostředků"/>
      <w:bookmarkEnd w:id="123"/>
      <w:r>
        <w:t xml:space="preserve">Použití opravných a dozorčích prostředků</w:t>
      </w:r>
    </w:p>
    <w:p>
      <w:pPr>
        <w:pStyle w:val="Compact"/>
        <w:numPr>
          <w:numId w:val="1222"/>
          <w:ilvl w:val="0"/>
        </w:numPr>
      </w:pPr>
      <w:r>
        <w:t xml:space="preserve">Rozhodnutí vydané při správě daní lze přezkoumat na základě:</w:t>
      </w:r>
    </w:p>
    <w:p>
      <w:pPr>
        <w:pStyle w:val="Compact"/>
        <w:numPr>
          <w:numId w:val="1223"/>
          <w:ilvl w:val="1"/>
        </w:numPr>
      </w:pPr>
      <w:r>
        <w:t xml:space="preserve">řádného opravného prostředku, kterým je odvolání nebo rozklad,</w:t>
      </w:r>
    </w:p>
    <w:p>
      <w:pPr>
        <w:pStyle w:val="Compact"/>
        <w:numPr>
          <w:numId w:val="1224"/>
          <w:ilvl w:val="1"/>
        </w:numPr>
      </w:pPr>
      <w:r>
        <w:t xml:space="preserve">mimořádného opravného prostředku, kterým je návrh na povolení obnovy řízení, nebo</w:t>
      </w:r>
    </w:p>
    <w:p>
      <w:pPr>
        <w:pStyle w:val="Compact"/>
        <w:numPr>
          <w:numId w:val="1225"/>
          <w:ilvl w:val="1"/>
        </w:numPr>
      </w:pPr>
      <w:r>
        <w:t xml:space="preserve">dozorčího prostředku, kterým je nařízení obnovy řízení a nařízení přezkoumání rozhodnutí.</w:t>
      </w:r>
    </w:p>
    <w:p>
      <w:pPr>
        <w:numPr>
          <w:numId w:val="1222"/>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222"/>
          <w:ilvl w:val="0"/>
        </w:numPr>
      </w:pPr>
      <w:r>
        <w:t xml:space="preserve">Opravné a dozorčí prostředky v daňovém řízení</w:t>
      </w:r>
    </w:p>
    <w:p>
      <w:pPr>
        <w:pStyle w:val="Compact"/>
        <w:numPr>
          <w:numId w:val="1222"/>
          <w:ilvl w:val="0"/>
        </w:numPr>
      </w:pPr>
      <w:r>
        <w:t xml:space="preserve">Řádný opravný prostředek</w:t>
      </w:r>
    </w:p>
    <w:p>
      <w:pPr>
        <w:pStyle w:val="Compact"/>
        <w:numPr>
          <w:numId w:val="1222"/>
          <w:ilvl w:val="0"/>
        </w:numPr>
      </w:pPr>
      <w:r>
        <w:t xml:space="preserve">odvolání</w:t>
      </w:r>
    </w:p>
    <w:p>
      <w:pPr>
        <w:pStyle w:val="Compact"/>
        <w:numPr>
          <w:numId w:val="1222"/>
          <w:ilvl w:val="0"/>
        </w:numPr>
      </w:pPr>
      <w:r>
        <w:t xml:space="preserve">Rozklad</w:t>
      </w:r>
    </w:p>
    <w:p>
      <w:pPr>
        <w:pStyle w:val="Compact"/>
        <w:numPr>
          <w:numId w:val="1222"/>
          <w:ilvl w:val="0"/>
        </w:numPr>
      </w:pPr>
      <w:r>
        <w:t xml:space="preserve">Mimořádný opravný prostředek</w:t>
      </w:r>
    </w:p>
    <w:p>
      <w:pPr>
        <w:pStyle w:val="Compact"/>
        <w:numPr>
          <w:numId w:val="1222"/>
          <w:ilvl w:val="0"/>
        </w:numPr>
      </w:pPr>
      <w:r>
        <w:t xml:space="preserve">návrh na povolení obnovy řízení - pokud podá sám stěžovatel</w:t>
      </w:r>
    </w:p>
    <w:p>
      <w:pPr>
        <w:pStyle w:val="Compact"/>
        <w:numPr>
          <w:numId w:val="1222"/>
          <w:ilvl w:val="0"/>
        </w:numPr>
      </w:pPr>
      <w:r>
        <w:t xml:space="preserve">Dozorčí prostředek</w:t>
      </w:r>
    </w:p>
    <w:p>
      <w:pPr>
        <w:pStyle w:val="Compact"/>
        <w:numPr>
          <w:numId w:val="1222"/>
          <w:ilvl w:val="0"/>
        </w:numPr>
      </w:pPr>
      <w:r>
        <w:t xml:space="preserve">nařízení obnovy - z moci úřední</w:t>
      </w:r>
    </w:p>
    <w:p>
      <w:pPr>
        <w:numPr>
          <w:numId w:val="1222"/>
          <w:ilvl w:val="0"/>
        </w:numPr>
      </w:pPr>
      <w:r>
        <w:t xml:space="preserve">nařízení přezkoumání</w:t>
      </w:r>
    </w:p>
    <w:p>
      <w:pPr>
        <w:pStyle w:val="Compact"/>
        <w:numPr>
          <w:numId w:val="1222"/>
          <w:ilvl w:val="0"/>
        </w:numPr>
      </w:pPr>
      <w:r>
        <w:rPr>
          <w:b/>
        </w:rPr>
        <w:t xml:space="preserve">Odvolání (§ 109-116 DŘ)</w:t>
      </w:r>
    </w:p>
    <w:p>
      <w:pPr>
        <w:pStyle w:val="Compact"/>
        <w:numPr>
          <w:numId w:val="1222"/>
          <w:ilvl w:val="0"/>
        </w:numPr>
      </w:pPr>
      <w:r>
        <w:t xml:space="preserve">Obecná ustanovení o odvolání</w:t>
      </w:r>
    </w:p>
    <w:p>
      <w:pPr>
        <w:pStyle w:val="Compact"/>
        <w:numPr>
          <w:numId w:val="1226"/>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226"/>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226"/>
          <w:ilvl w:val="1"/>
        </w:numPr>
      </w:pPr>
      <w:r>
        <w:t xml:space="preserve">Odvolání se podává u správce daně, jehož rozhodnutí je odvoláním napadeno.</w:t>
      </w:r>
    </w:p>
    <w:p>
      <w:pPr>
        <w:pStyle w:val="Compact"/>
        <w:numPr>
          <w:numId w:val="1226"/>
          <w:ilvl w:val="1"/>
        </w:numPr>
      </w:pPr>
      <w:r>
        <w:t xml:space="preserve">Odvolání lze podat do 30 dnů ode dne doručení rozhodnutí, proti němuž odvolání směřuje, a to i před doručením tohoto rozhodnutí.</w:t>
      </w:r>
    </w:p>
    <w:p>
      <w:pPr>
        <w:pStyle w:val="Compact"/>
        <w:numPr>
          <w:numId w:val="1226"/>
          <w:ilvl w:val="1"/>
        </w:numPr>
      </w:pPr>
      <w:r>
        <w:t xml:space="preserve">Pokud je nesprávné poučení podle §102 - do 30 dní od doručení správného rozhodnutí, maximálně do 3 měsíců od původního rozhodnutí.</w:t>
      </w:r>
    </w:p>
    <w:p>
      <w:pPr>
        <w:pStyle w:val="Compact"/>
        <w:numPr>
          <w:numId w:val="1226"/>
          <w:ilvl w:val="1"/>
        </w:numPr>
      </w:pPr>
      <w:r>
        <w:t xml:space="preserve">Pokud je v poučení nesprávně určeno, že odvolání je přípustné - řízení o odvolání se zastaví, pokud bylo podáno.</w:t>
      </w:r>
    </w:p>
    <w:p>
      <w:pPr>
        <w:pStyle w:val="Compact"/>
        <w:numPr>
          <w:numId w:val="1226"/>
          <w:ilvl w:val="1"/>
        </w:numPr>
      </w:pPr>
      <w:r>
        <w:t xml:space="preserve">Pokud je v poučení nesprávně určen odkladný účinek, i když ho zákon nepřiznává - nastává odkladný účinek.</w:t>
      </w:r>
    </w:p>
    <w:p>
      <w:pPr>
        <w:pStyle w:val="Compact"/>
        <w:numPr>
          <w:numId w:val="1226"/>
          <w:ilvl w:val="1"/>
        </w:numPr>
      </w:pPr>
      <w:r>
        <w:t xml:space="preserve">Odvolání nemá odkladný účinek, pokud zákon nestanoví jinak.</w:t>
      </w:r>
    </w:p>
    <w:p>
      <w:pPr>
        <w:pStyle w:val="Compact"/>
        <w:numPr>
          <w:numId w:val="1222"/>
          <w:ilvl w:val="0"/>
        </w:numPr>
      </w:pPr>
      <w:r>
        <w:t xml:space="preserve">Náležitosti odvolání</w:t>
      </w:r>
    </w:p>
    <w:p>
      <w:pPr>
        <w:pStyle w:val="Compact"/>
        <w:numPr>
          <w:numId w:val="1227"/>
          <w:ilvl w:val="1"/>
        </w:numPr>
      </w:pPr>
      <w:r>
        <w:t xml:space="preserve">Odvolání lze vzít zpět.</w:t>
      </w:r>
    </w:p>
    <w:p>
      <w:pPr>
        <w:pStyle w:val="Compact"/>
        <w:numPr>
          <w:numId w:val="1227"/>
          <w:ilvl w:val="1"/>
        </w:numPr>
      </w:pPr>
      <w:r>
        <w:t xml:space="preserve">Dokud neuplyne lhůta pro odvolání je možné ho měnit, doplňovat, nebo vzít zpět.</w:t>
      </w:r>
    </w:p>
    <w:p>
      <w:pPr>
        <w:pStyle w:val="Compact"/>
        <w:numPr>
          <w:numId w:val="1227"/>
          <w:ilvl w:val="1"/>
        </w:numPr>
      </w:pPr>
      <w:r>
        <w:t xml:space="preserve">Zpětvzetím je odvolací řízení zastaveno - původní rozhodnutí nabývá právní moci.</w:t>
      </w:r>
    </w:p>
    <w:p>
      <w:pPr>
        <w:pStyle w:val="Compact"/>
        <w:numPr>
          <w:numId w:val="1227"/>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227"/>
          <w:ilvl w:val="1"/>
        </w:numPr>
      </w:pPr>
      <w:r>
        <w:t xml:space="preserve">Odvolání musí mít následující náležitosti:</w:t>
      </w:r>
    </w:p>
    <w:p>
      <w:pPr>
        <w:pStyle w:val="Compact"/>
        <w:numPr>
          <w:numId w:val="1227"/>
          <w:ilvl w:val="1"/>
        </w:numPr>
      </w:pPr>
      <w:r>
        <w:t xml:space="preserve">označení správního orgánu, který napadané rozhodnutí vydal</w:t>
      </w:r>
    </w:p>
    <w:p>
      <w:pPr>
        <w:pStyle w:val="Compact"/>
        <w:numPr>
          <w:numId w:val="1227"/>
          <w:ilvl w:val="1"/>
        </w:numPr>
      </w:pPr>
      <w:r>
        <w:t xml:space="preserve">označení odvolatele,</w:t>
      </w:r>
    </w:p>
    <w:p>
      <w:pPr>
        <w:pStyle w:val="Compact"/>
        <w:numPr>
          <w:numId w:val="1227"/>
          <w:ilvl w:val="1"/>
        </w:numPr>
      </w:pPr>
      <w:r>
        <w:t xml:space="preserve">identifikace rozhodnutí,</w:t>
      </w:r>
    </w:p>
    <w:p>
      <w:pPr>
        <w:pStyle w:val="Compact"/>
        <w:numPr>
          <w:numId w:val="1227"/>
          <w:ilvl w:val="1"/>
        </w:numPr>
      </w:pPr>
      <w:r>
        <w:t xml:space="preserve">uvedení důvodů, v nichž jsou spatřovány nesprávnosti nebo nezákonnosti napadeného rozhodnutí,</w:t>
      </w:r>
    </w:p>
    <w:p>
      <w:pPr>
        <w:pStyle w:val="Compact"/>
        <w:numPr>
          <w:numId w:val="1227"/>
          <w:ilvl w:val="1"/>
        </w:numPr>
      </w:pPr>
      <w:r>
        <w:t xml:space="preserve">označení důkazů,</w:t>
      </w:r>
    </w:p>
    <w:p>
      <w:pPr>
        <w:pStyle w:val="Compact"/>
        <w:numPr>
          <w:numId w:val="1227"/>
          <w:ilvl w:val="1"/>
        </w:numPr>
      </w:pPr>
      <w:r>
        <w:t xml:space="preserve">návrh na změnu, nebo zrušení rozhodnutí.</w:t>
      </w:r>
    </w:p>
    <w:p>
      <w:pPr>
        <w:pStyle w:val="Compact"/>
        <w:numPr>
          <w:numId w:val="1227"/>
          <w:ilvl w:val="1"/>
        </w:numPr>
      </w:pPr>
      <w:r>
        <w:t xml:space="preserve">Pokud odvolání obsahuje vady - vyzve ho správce daně k nápravě v minimální lhůtě 15 dní, pokud nejsou vady opraveny - řízení se zastaví.</w:t>
      </w:r>
    </w:p>
    <w:p>
      <w:pPr>
        <w:pStyle w:val="Compact"/>
        <w:numPr>
          <w:numId w:val="1222"/>
          <w:ilvl w:val="0"/>
        </w:numPr>
      </w:pPr>
      <w:r>
        <w:t xml:space="preserve">Postup správce daně prvního stupně</w:t>
      </w:r>
    </w:p>
    <w:p>
      <w:pPr>
        <w:pStyle w:val="Compact"/>
        <w:numPr>
          <w:numId w:val="1228"/>
          <w:ilvl w:val="1"/>
        </w:numPr>
      </w:pPr>
      <w:r>
        <w:t xml:space="preserve">Může rozhodnout o odvolání sám pokud - mu plně vyhoví a toto rozhodnutí není v rozporu s vyjádřením příjemců,</w:t>
      </w:r>
    </w:p>
    <w:p>
      <w:pPr>
        <w:pStyle w:val="Compact"/>
        <w:numPr>
          <w:numId w:val="1228"/>
          <w:ilvl w:val="1"/>
        </w:numPr>
      </w:pPr>
      <w:r>
        <w:t xml:space="preserve">Může rozhodnout pokud mu vyhoví částečně,</w:t>
      </w:r>
    </w:p>
    <w:p>
      <w:pPr>
        <w:pStyle w:val="Compact"/>
        <w:numPr>
          <w:numId w:val="1228"/>
          <w:ilvl w:val="1"/>
        </w:numPr>
      </w:pPr>
      <w:r>
        <w:t xml:space="preserve">Může řízení zastavit, pokud je odvolání nepřípustné, nebo bylo podáno po lhůtě.</w:t>
      </w:r>
    </w:p>
    <w:p>
      <w:pPr>
        <w:pStyle w:val="Compact"/>
        <w:numPr>
          <w:numId w:val="1222"/>
          <w:ilvl w:val="0"/>
        </w:numPr>
      </w:pPr>
      <w:r>
        <w:t xml:space="preserve">Postup odvolacího orgánu</w:t>
      </w:r>
    </w:p>
    <w:p>
      <w:pPr>
        <w:pStyle w:val="Compact"/>
        <w:numPr>
          <w:numId w:val="1229"/>
          <w:ilvl w:val="1"/>
        </w:numPr>
      </w:pPr>
      <w:r>
        <w:t xml:space="preserve">Pokud o něm nemůže rozhodnout správce v prvním stupni.</w:t>
      </w:r>
    </w:p>
    <w:p>
      <w:pPr>
        <w:pStyle w:val="Compact"/>
        <w:numPr>
          <w:numId w:val="1229"/>
          <w:ilvl w:val="1"/>
        </w:numPr>
      </w:pPr>
      <w:r>
        <w:t xml:space="preserve">Odvolacím orgánem je orgán nejblíže nadřazený správci daně, který rozhodnutí vydal.</w:t>
      </w:r>
    </w:p>
    <w:p>
      <w:pPr>
        <w:pStyle w:val="Compact"/>
        <w:numPr>
          <w:numId w:val="1229"/>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229"/>
          <w:ilvl w:val="1"/>
        </w:numPr>
      </w:pPr>
      <w:r>
        <w:t xml:space="preserve">Rovněž může provádět vlastní šetření a doplňovat.</w:t>
      </w:r>
    </w:p>
    <w:p>
      <w:pPr>
        <w:pStyle w:val="Compact"/>
        <w:numPr>
          <w:numId w:val="1229"/>
          <w:ilvl w:val="1"/>
        </w:numPr>
      </w:pPr>
      <w:r>
        <w:t xml:space="preserve">Musí s nimi odvolatele seznámit, umožnit mu se k nim vyjádřit a navrhnout vlastní.</w:t>
      </w:r>
    </w:p>
    <w:p>
      <w:pPr>
        <w:pStyle w:val="Compact"/>
        <w:numPr>
          <w:numId w:val="1229"/>
          <w:ilvl w:val="1"/>
        </w:numPr>
      </w:pPr>
      <w:r>
        <w:t xml:space="preserve">Lhůta maximálně 15 dní.</w:t>
      </w:r>
    </w:p>
    <w:p>
      <w:pPr>
        <w:pStyle w:val="Compact"/>
        <w:numPr>
          <w:numId w:val="1229"/>
          <w:ilvl w:val="1"/>
        </w:numPr>
      </w:pPr>
      <w:r>
        <w:t xml:space="preserve">Může prověřit použití pomůcek pro stanovení výše daně, pokud proti nim odvolání směřuje.</w:t>
      </w:r>
    </w:p>
    <w:p>
      <w:pPr>
        <w:pStyle w:val="Compact"/>
        <w:numPr>
          <w:numId w:val="1229"/>
          <w:ilvl w:val="1"/>
        </w:numPr>
      </w:pPr>
      <w:r>
        <w:t xml:space="preserve">Rozhodnutí:</w:t>
      </w:r>
    </w:p>
    <w:p>
      <w:pPr>
        <w:pStyle w:val="Compact"/>
        <w:numPr>
          <w:numId w:val="1229"/>
          <w:ilvl w:val="1"/>
        </w:numPr>
      </w:pPr>
      <w:r>
        <w:t xml:space="preserve">napadené rozhodnutí změní,</w:t>
      </w:r>
    </w:p>
    <w:p>
      <w:pPr>
        <w:pStyle w:val="Compact"/>
        <w:numPr>
          <w:numId w:val="1229"/>
          <w:ilvl w:val="1"/>
        </w:numPr>
      </w:pPr>
      <w:r>
        <w:t xml:space="preserve">napadené rozhodnutí zruší a zastaví řízení,</w:t>
      </w:r>
    </w:p>
    <w:p>
      <w:pPr>
        <w:pStyle w:val="Compact"/>
        <w:numPr>
          <w:numId w:val="1229"/>
          <w:ilvl w:val="1"/>
        </w:numPr>
      </w:pPr>
      <w:r>
        <w:t xml:space="preserve">odvolání zamítne a napadené rozhodnutí potvrdí,</w:t>
      </w:r>
    </w:p>
    <w:p>
      <w:pPr>
        <w:pStyle w:val="Compact"/>
        <w:numPr>
          <w:numId w:val="1229"/>
          <w:ilvl w:val="1"/>
        </w:numPr>
      </w:pPr>
      <w:r>
        <w:t xml:space="preserve">pokud zjistí, že mohl rozhodnout správce daně v prvním stupni, může mu odvolání vrátit s právním názorem.</w:t>
      </w:r>
    </w:p>
    <w:p>
      <w:pPr>
        <w:pStyle w:val="Compact"/>
        <w:numPr>
          <w:numId w:val="1229"/>
          <w:ilvl w:val="1"/>
        </w:numPr>
      </w:pPr>
      <w:r>
        <w:t xml:space="preserve">Nelze se proti tomuto rozhodnutí dále odvolat - lze pouze použít mimořádné opravné prostředky.</w:t>
      </w:r>
    </w:p>
    <w:p>
      <w:pPr>
        <w:pStyle w:val="Compact"/>
        <w:numPr>
          <w:numId w:val="1222"/>
          <w:ilvl w:val="0"/>
        </w:numPr>
      </w:pPr>
      <w:r>
        <w:t xml:space="preserve">Obnova řízení (§117-120 DŘ)</w:t>
      </w:r>
    </w:p>
    <w:p>
      <w:pPr>
        <w:pStyle w:val="Compact"/>
        <w:numPr>
          <w:numId w:val="1222"/>
          <w:ilvl w:val="0"/>
        </w:numPr>
      </w:pPr>
      <w:r>
        <w:t xml:space="preserve">Povolení obnovy řízení</w:t>
      </w:r>
    </w:p>
    <w:p>
      <w:pPr>
        <w:pStyle w:val="Compact"/>
        <w:numPr>
          <w:numId w:val="1230"/>
          <w:ilvl w:val="1"/>
        </w:numPr>
      </w:pPr>
      <w:r>
        <w:t xml:space="preserve">Řízení ukončené pravomocným rozhodnutím správce daně se obnoví na návrh příjemce rozhodnutí, nebo z moci úřední, jestliže:</w:t>
      </w:r>
    </w:p>
    <w:p>
      <w:pPr>
        <w:pStyle w:val="Compact"/>
        <w:numPr>
          <w:numId w:val="1230"/>
          <w:ilvl w:val="1"/>
        </w:numPr>
      </w:pPr>
      <w:r>
        <w:t xml:space="preserve">vyšly najevo nové skutečnosti, nebo důkazy,</w:t>
      </w:r>
    </w:p>
    <w:p>
      <w:pPr>
        <w:pStyle w:val="Compact"/>
        <w:numPr>
          <w:numId w:val="1230"/>
          <w:ilvl w:val="1"/>
        </w:numPr>
      </w:pPr>
      <w:r>
        <w:t xml:space="preserve">za jiných zákonem stanovených podmínek - například bylo rozhodnuto kvůli padělaným dokladům, nebo bylo rozhodnutí dosaženo pomocí trestného činu.</w:t>
      </w:r>
    </w:p>
    <w:p>
      <w:pPr>
        <w:pStyle w:val="Compact"/>
        <w:numPr>
          <w:numId w:val="1230"/>
          <w:ilvl w:val="1"/>
        </w:numPr>
      </w:pPr>
      <w:r>
        <w:t xml:space="preserve">Návrh se podává u správce daně, který o věci rozhodl v prvním stupni.</w:t>
      </w:r>
    </w:p>
    <w:p>
      <w:pPr>
        <w:pStyle w:val="Compact"/>
        <w:numPr>
          <w:numId w:val="1230"/>
          <w:ilvl w:val="1"/>
        </w:numPr>
      </w:pPr>
      <w:r>
        <w:t xml:space="preserve">Existuje subjektivní lhůta 6 měsíců ode dne, kdy se navrhovatel měl dozvědět o skutečnostech, objektivní lhůta je 3 roky.</w:t>
      </w:r>
    </w:p>
    <w:p>
      <w:pPr>
        <w:pStyle w:val="Compact"/>
        <w:numPr>
          <w:numId w:val="1230"/>
          <w:ilvl w:val="1"/>
        </w:numPr>
      </w:pPr>
      <w:r>
        <w:t xml:space="preserve">Návrh musí obsahovat okolnosti svědčící o jeho důvodnosti a dodržení lhůty.</w:t>
      </w:r>
    </w:p>
    <w:p>
      <w:pPr>
        <w:pStyle w:val="Compact"/>
        <w:numPr>
          <w:numId w:val="1230"/>
          <w:ilvl w:val="1"/>
        </w:numPr>
      </w:pPr>
      <w:r>
        <w:t xml:space="preserve">Obnovu řízení povolí nebo nařídí správce daně, který ve věci rozhodl v posledním stupni, a neshledá-li důvod povolení obnovy, návrh zamítne.</w:t>
      </w:r>
    </w:p>
    <w:p>
      <w:pPr>
        <w:pStyle w:val="Compact"/>
        <w:numPr>
          <w:numId w:val="1230"/>
          <w:ilvl w:val="1"/>
        </w:numPr>
      </w:pPr>
      <w:r>
        <w:t xml:space="preserve">Řízení probíhá u správce daně v prvním stupni, zahajuje se rozhodnutím, má odkladné účinky a pokud bude vydáno nové rozhodnutí se původní rozhodnutí ruší.</w:t>
      </w:r>
    </w:p>
    <w:p>
      <w:pPr>
        <w:numPr>
          <w:numId w:val="1222"/>
          <w:ilvl w:val="0"/>
        </w:numPr>
      </w:pPr>
      <w:r>
        <w:t xml:space="preserve">Nařízení obnovy řízení (dozorčí prostředek)</w:t>
      </w:r>
    </w:p>
    <w:p>
      <w:pPr>
        <w:pStyle w:val="Compact"/>
        <w:numPr>
          <w:numId w:val="1222"/>
          <w:ilvl w:val="0"/>
        </w:numPr>
      </w:pPr>
      <w:r>
        <w:t xml:space="preserve">Přezkumné řízení (§ 121-123)</w:t>
      </w:r>
    </w:p>
    <w:p>
      <w:pPr>
        <w:pStyle w:val="Compact"/>
        <w:numPr>
          <w:numId w:val="1222"/>
          <w:ilvl w:val="0"/>
        </w:numPr>
      </w:pPr>
      <w:r>
        <w:t xml:space="preserve">Nařízení přezkoumání rozhodnutí (dozorčí prostředek)</w:t>
      </w:r>
    </w:p>
    <w:p>
      <w:pPr>
        <w:pStyle w:val="Compact"/>
        <w:numPr>
          <w:numId w:val="1231"/>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231"/>
          <w:ilvl w:val="1"/>
        </w:numPr>
      </w:pPr>
      <w:r>
        <w:t xml:space="preserve">Podnět může podat kterýkoliv správce daně, u správce daně, který rozhodl v řízení v posledním stupni.</w:t>
      </w:r>
    </w:p>
    <w:p>
      <w:pPr>
        <w:pStyle w:val="Compact"/>
        <w:numPr>
          <w:numId w:val="1222"/>
          <w:ilvl w:val="0"/>
        </w:numPr>
      </w:pPr>
      <w:r>
        <w:t xml:space="preserve">Postup při přezkumném řízení</w:t>
      </w:r>
    </w:p>
    <w:p>
      <w:pPr>
        <w:pStyle w:val="Compact"/>
        <w:numPr>
          <w:numId w:val="1232"/>
          <w:ilvl w:val="1"/>
        </w:numPr>
      </w:pPr>
      <w:r>
        <w:t xml:space="preserve">Přezkoumání rozhodnutí nařídí správce daně nejblíže nadřízený správci daně, který ve věci rozhodl v posledním stupni.</w:t>
      </w:r>
    </w:p>
    <w:p>
      <w:pPr>
        <w:pStyle w:val="Compact"/>
        <w:numPr>
          <w:numId w:val="1232"/>
          <w:ilvl w:val="1"/>
        </w:numPr>
      </w:pPr>
      <w:r>
        <w:t xml:space="preserve">Maximálně ve lhůtě 3 let.</w:t>
      </w:r>
    </w:p>
    <w:p>
      <w:pPr>
        <w:pStyle w:val="Compact"/>
        <w:numPr>
          <w:numId w:val="1232"/>
          <w:ilvl w:val="1"/>
        </w:numPr>
      </w:pPr>
      <w:r>
        <w:t xml:space="preserve">Přezkumné řízení provede správce daně, který ve věci rozhodl v posledním stupni.</w:t>
      </w:r>
    </w:p>
    <w:p>
      <w:pPr>
        <w:pStyle w:val="Compact"/>
        <w:numPr>
          <w:numId w:val="1232"/>
          <w:ilvl w:val="1"/>
        </w:numPr>
      </w:pPr>
      <w:r>
        <w:t xml:space="preserve">Řízení je zahájeno vydáním rozhodnutí o nařízení přezkoumání rozhodnutí.</w:t>
      </w:r>
    </w:p>
    <w:p>
      <w:pPr>
        <w:pStyle w:val="Compact"/>
        <w:numPr>
          <w:numId w:val="1232"/>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232"/>
          <w:ilvl w:val="1"/>
        </w:numPr>
      </w:pPr>
      <w:r>
        <w:t xml:space="preserve">Má odkladný účinek.</w:t>
      </w:r>
    </w:p>
    <w:p>
      <w:pPr>
        <w:pStyle w:val="Heading3"/>
      </w:pPr>
      <w:bookmarkStart w:id="124" w:name="vztah-ke-správnímu-soudnictví"/>
      <w:bookmarkEnd w:id="124"/>
      <w:r>
        <w:t xml:space="preserve">Vztah ke správnímu soudnictví</w:t>
      </w:r>
    </w:p>
    <w:p>
      <w:pPr>
        <w:pStyle w:val="Compact"/>
        <w:numPr>
          <w:numId w:val="1233"/>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233"/>
          <w:ilvl w:val="0"/>
        </w:numPr>
      </w:pPr>
      <w:r>
        <w:t xml:space="preserve">V rámci přezkumného řízení směřujícího k uspokojení navrhovatele ve správním soudnictví nelze změnit rozhodnutí v neprospěch navrhovatele.</w:t>
      </w:r>
    </w:p>
    <w:p>
      <w:pPr>
        <w:pStyle w:val="Heading2"/>
      </w:pPr>
      <w:bookmarkStart w:id="125" w:name="ochrana-daňového-subjektu-ve-správním-soudnictví-žaloby-a-opravné-prostředky"/>
      <w:bookmarkEnd w:id="125"/>
      <w:r>
        <w:t xml:space="preserve">23. Ochrana daňového subjektu ve správním soudnictví – žaloby a opravné prostředky</w:t>
      </w:r>
    </w:p>
    <w:p>
      <w:pPr>
        <w:pStyle w:val="Heading3"/>
      </w:pPr>
      <w:bookmarkStart w:id="126" w:name="podklady"/>
      <w:bookmarkEnd w:id="126"/>
      <w:r>
        <w:t xml:space="preserve">Podklady</w:t>
      </w:r>
    </w:p>
    <w:p>
      <w:pPr>
        <w:pStyle w:val="Compact"/>
        <w:numPr>
          <w:numId w:val="1234"/>
          <w:ilvl w:val="0"/>
        </w:numPr>
      </w:pPr>
      <w:r>
        <w:t xml:space="preserve">Ústavní zákon č. 1/1993 Sb., Ústava České republiky</w:t>
      </w:r>
    </w:p>
    <w:p>
      <w:pPr>
        <w:pStyle w:val="Compact"/>
        <w:numPr>
          <w:numId w:val="1234"/>
          <w:ilvl w:val="0"/>
        </w:numPr>
      </w:pPr>
      <w:r>
        <w:t xml:space="preserve">Usnesení č. 2/1993 předsednictva ČNR o vyhlášení Listiny základních práv a svobod jako součásti ústavního pořádku ČR</w:t>
      </w:r>
    </w:p>
    <w:p>
      <w:pPr>
        <w:pStyle w:val="Compact"/>
        <w:numPr>
          <w:numId w:val="1234"/>
          <w:ilvl w:val="0"/>
        </w:numPr>
      </w:pPr>
      <w:r>
        <w:t xml:space="preserve">Zákon č. 99/1963 Sb., občanský soudní řád</w:t>
      </w:r>
    </w:p>
    <w:p>
      <w:pPr>
        <w:pStyle w:val="Compact"/>
        <w:numPr>
          <w:numId w:val="1234"/>
          <w:ilvl w:val="0"/>
        </w:numPr>
      </w:pPr>
      <w:r>
        <w:t xml:space="preserve">Zákon č. 150/2002 Sb., soudní řád správní</w:t>
      </w:r>
    </w:p>
    <w:p>
      <w:pPr>
        <w:pStyle w:val="Compact"/>
        <w:numPr>
          <w:numId w:val="1234"/>
          <w:ilvl w:val="0"/>
        </w:numPr>
      </w:pPr>
      <w:r>
        <w:t xml:space="preserve">Vyhláška 177/1996 Sb. – advokátní tarif</w:t>
      </w:r>
    </w:p>
    <w:p>
      <w:pPr>
        <w:pStyle w:val="Compact"/>
        <w:numPr>
          <w:numId w:val="1234"/>
          <w:ilvl w:val="0"/>
        </w:numPr>
      </w:pPr>
      <w:r>
        <w:t xml:space="preserve">Zákon č. 549/1991 Sb., o správních poplatcích</w:t>
      </w:r>
    </w:p>
    <w:p>
      <w:pPr>
        <w:pStyle w:val="Heading3"/>
      </w:pPr>
      <w:bookmarkStart w:id="127" w:name="opravné-a-dozorčí-prostředky"/>
      <w:bookmarkEnd w:id="127"/>
      <w:r>
        <w:t xml:space="preserve">Opravné a dozorčí prostředky</w:t>
      </w:r>
    </w:p>
    <w:p>
      <w:pPr>
        <w:pStyle w:val="Compact"/>
        <w:numPr>
          <w:numId w:val="1235"/>
          <w:ilvl w:val="0"/>
        </w:numPr>
      </w:pPr>
      <w:r>
        <w:t xml:space="preserve">Správní řízení má</w:t>
      </w:r>
      <w:r>
        <w:rPr>
          <w:rStyle w:val="FootnoteReference"/>
        </w:rPr>
        <w:footnoteReference w:id="128"/>
      </w:r>
      <w:r>
        <w:t xml:space="preserve">:</w:t>
      </w:r>
    </w:p>
    <w:p>
      <w:pPr>
        <w:pStyle w:val="Compact"/>
        <w:numPr>
          <w:numId w:val="1235"/>
          <w:ilvl w:val="0"/>
        </w:numPr>
      </w:pPr>
      <w:r>
        <w:t xml:space="preserve">opravné a</w:t>
      </w:r>
    </w:p>
    <w:p>
      <w:pPr>
        <w:numPr>
          <w:numId w:val="1235"/>
          <w:ilvl w:val="0"/>
        </w:numPr>
      </w:pPr>
      <w:r>
        <w:t xml:space="preserve">dozorčí prostředky.</w:t>
      </w:r>
    </w:p>
    <w:p>
      <w:pPr>
        <w:pStyle w:val="Compact"/>
        <w:numPr>
          <w:numId w:val="1235"/>
          <w:ilvl w:val="0"/>
        </w:numPr>
      </w:pPr>
      <w:r>
        <w:t xml:space="preserve">Důležité je, že před podáním žaloby musí být vyčerpány všechny opravné prostředky, dozorčí prostředky však použity být nemusí.</w:t>
      </w:r>
    </w:p>
    <w:p>
      <w:pPr>
        <w:numPr>
          <w:numId w:val="1235"/>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235"/>
          <w:ilvl w:val="0"/>
        </w:numPr>
      </w:pPr>
      <w:r>
        <w:t xml:space="preserve">Existující opravné prostředky ve správním řízení:</w:t>
      </w:r>
    </w:p>
    <w:p>
      <w:pPr>
        <w:pStyle w:val="Compact"/>
        <w:numPr>
          <w:numId w:val="1235"/>
          <w:ilvl w:val="0"/>
        </w:numPr>
      </w:pPr>
      <w:r>
        <w:t xml:space="preserve">odvolání - napadení rozhodnutí správního orgánu - standardně rozhoduje nadřízený orgán,</w:t>
      </w:r>
    </w:p>
    <w:p>
      <w:pPr>
        <w:pStyle w:val="Compact"/>
        <w:numPr>
          <w:numId w:val="1235"/>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235"/>
          <w:ilvl w:val="0"/>
        </w:numPr>
      </w:pPr>
      <w:r>
        <w:t xml:space="preserve">odpor - forma odvolání proti uložení písemného příkazu.</w:t>
      </w:r>
    </w:p>
    <w:p>
      <w:pPr>
        <w:pStyle w:val="Compact"/>
        <w:numPr>
          <w:numId w:val="1235"/>
          <w:ilvl w:val="0"/>
        </w:numPr>
      </w:pPr>
      <w:r>
        <w:t xml:space="preserve">Existující mimořádné opravné prostředky ve správním řízení:</w:t>
      </w:r>
    </w:p>
    <w:p>
      <w:pPr>
        <w:pStyle w:val="Compact"/>
        <w:numPr>
          <w:numId w:val="1235"/>
          <w:ilvl w:val="0"/>
        </w:numPr>
      </w:pPr>
      <w:r>
        <w:t xml:space="preserve">obnova řízení - před správním orgánem - například pokud vyšly najevo dříve neznáme skutečnosti nebo důkazy,</w:t>
      </w:r>
    </w:p>
    <w:p>
      <w:pPr>
        <w:numPr>
          <w:numId w:val="1235"/>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29" w:name="obsah-kapitoly"/>
      <w:bookmarkEnd w:id="129"/>
      <w:r>
        <w:t xml:space="preserve">Obsah kapitoly</w:t>
      </w:r>
    </w:p>
    <w:p>
      <w:pPr>
        <w:pStyle w:val="Compact"/>
        <w:numPr>
          <w:numId w:val="1236"/>
          <w:ilvl w:val="0"/>
        </w:numPr>
      </w:pPr>
      <w:r>
        <w:t xml:space="preserve">Důvody existence správního soudnictví</w:t>
      </w:r>
    </w:p>
    <w:p>
      <w:pPr>
        <w:pStyle w:val="Compact"/>
        <w:numPr>
          <w:numId w:val="1236"/>
          <w:ilvl w:val="0"/>
        </w:numPr>
      </w:pPr>
      <w:r>
        <w:t xml:space="preserve">Správní soudnictví v ČR</w:t>
      </w:r>
    </w:p>
    <w:p>
      <w:pPr>
        <w:pStyle w:val="Compact"/>
        <w:numPr>
          <w:numId w:val="1236"/>
          <w:ilvl w:val="0"/>
        </w:numPr>
      </w:pPr>
      <w:r>
        <w:t xml:space="preserve">Druhy žalob</w:t>
      </w:r>
    </w:p>
    <w:p>
      <w:pPr>
        <w:pStyle w:val="Compact"/>
        <w:numPr>
          <w:numId w:val="1236"/>
          <w:ilvl w:val="0"/>
        </w:numPr>
      </w:pPr>
      <w:r>
        <w:t xml:space="preserve">Žaloba proti rozhodnutí správního orgánu</w:t>
      </w:r>
    </w:p>
    <w:p>
      <w:pPr>
        <w:pStyle w:val="Compact"/>
        <w:numPr>
          <w:numId w:val="1236"/>
          <w:ilvl w:val="0"/>
        </w:numPr>
      </w:pPr>
      <w:r>
        <w:t xml:space="preserve">Nečinnostní žaloba</w:t>
      </w:r>
    </w:p>
    <w:p>
      <w:pPr>
        <w:pStyle w:val="Compact"/>
        <w:numPr>
          <w:numId w:val="1236"/>
          <w:ilvl w:val="0"/>
        </w:numPr>
      </w:pPr>
      <w:r>
        <w:t xml:space="preserve">Zásahová žaloba</w:t>
      </w:r>
    </w:p>
    <w:p>
      <w:pPr>
        <w:pStyle w:val="Compact"/>
        <w:numPr>
          <w:numId w:val="1236"/>
          <w:ilvl w:val="0"/>
        </w:numPr>
      </w:pPr>
      <w:r>
        <w:t xml:space="preserve">Přezkum opatření obecné povahy</w:t>
      </w:r>
    </w:p>
    <w:p>
      <w:pPr>
        <w:pStyle w:val="Compact"/>
        <w:numPr>
          <w:numId w:val="1236"/>
          <w:ilvl w:val="0"/>
        </w:numPr>
      </w:pPr>
      <w:r>
        <w:t xml:space="preserve">Opravné prostředky ve správním soudnictví – kasační stížnost, obnova řízení</w:t>
      </w:r>
    </w:p>
    <w:p>
      <w:pPr>
        <w:pStyle w:val="Compact"/>
        <w:numPr>
          <w:numId w:val="1236"/>
          <w:ilvl w:val="0"/>
        </w:numPr>
      </w:pPr>
      <w:r>
        <w:t xml:space="preserve">Náklady na soudní řízení</w:t>
      </w:r>
    </w:p>
    <w:p>
      <w:pPr>
        <w:pStyle w:val="Heading3"/>
      </w:pPr>
      <w:bookmarkStart w:id="130" w:name="důvody-existence-správního-soudnictví"/>
      <w:bookmarkEnd w:id="130"/>
      <w:r>
        <w:t xml:space="preserve">Důvody existence správního soudnictví</w:t>
      </w:r>
    </w:p>
    <w:p>
      <w:pPr>
        <w:pStyle w:val="Compact"/>
        <w:numPr>
          <w:numId w:val="1237"/>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237"/>
          <w:ilvl w:val="0"/>
        </w:numPr>
      </w:pPr>
      <w:r>
        <w:t xml:space="preserve">(obvykle občan nebo právnická osoba na straně jedné a orgán státu nebo obce či samosprávného kraje na straně druhé).</w:t>
      </w:r>
    </w:p>
    <w:p>
      <w:pPr>
        <w:numPr>
          <w:numId w:val="1237"/>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237"/>
          <w:ilvl w:val="0"/>
        </w:numPr>
      </w:pPr>
      <w:r>
        <w:t xml:space="preserve">Veřejné právo – např. stavební, daňové, celní, živnostenská oprávnění, dopravní předpisy, různé poplatky, sociální oblast, životní prostředí, ochrana památek, právo na informace apod.</w:t>
      </w:r>
    </w:p>
    <w:p>
      <w:pPr>
        <w:numPr>
          <w:numId w:val="1237"/>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31" w:name="správní-soudnictví-v-čr"/>
      <w:bookmarkEnd w:id="131"/>
      <w:r>
        <w:t xml:space="preserve">Správní soudnictví v Čr</w:t>
      </w:r>
    </w:p>
    <w:p>
      <w:pPr>
        <w:pStyle w:val="Compact"/>
        <w:numPr>
          <w:numId w:val="1239"/>
          <w:ilvl w:val="1"/>
        </w:numPr>
      </w:pPr>
      <w:r>
        <w:t xml:space="preserve">ŽALOBA PROTI ROZHODNUTÍ SPRÁVNÍHO ORGÁNU</w:t>
      </w:r>
    </w:p>
    <w:p>
      <w:pPr>
        <w:pStyle w:val="Compact"/>
        <w:numPr>
          <w:numId w:val="1240"/>
          <w:ilvl w:val="1"/>
        </w:numPr>
      </w:pPr>
      <w:r>
        <w:t xml:space="preserve">ŽALOBA PROTI NEČINNOSTI</w:t>
      </w:r>
    </w:p>
    <w:p>
      <w:pPr>
        <w:pStyle w:val="Compact"/>
        <w:numPr>
          <w:numId w:val="1241"/>
          <w:ilvl w:val="1"/>
        </w:numPr>
      </w:pPr>
      <w:r>
        <w:t xml:space="preserve">ŽALOBA PROTI NEZÁKONNÉMU ZÁSAHU</w:t>
      </w:r>
    </w:p>
    <w:p>
      <w:pPr>
        <w:pStyle w:val="Compact"/>
        <w:numPr>
          <w:numId w:val="1242"/>
          <w:ilvl w:val="1"/>
        </w:numPr>
      </w:pPr>
      <w:r>
        <w:t xml:space="preserve">SOUDNICTVÍ VE VĚCECH VOLEBNÍCH A VE VĚCECH MÍSTNÍHO A KRAJSKÉHO REFERENDA</w:t>
      </w:r>
    </w:p>
    <w:p>
      <w:pPr>
        <w:pStyle w:val="Compact"/>
        <w:numPr>
          <w:numId w:val="1243"/>
          <w:ilvl w:val="1"/>
        </w:numPr>
      </w:pPr>
      <w:r>
        <w:t xml:space="preserve">ŘÍZENÍ VE VĚCECH POLITICKÝCH STRAN A POLITICKÝCH HNUTÍ</w:t>
      </w:r>
    </w:p>
    <w:p>
      <w:pPr>
        <w:pStyle w:val="Compact"/>
        <w:numPr>
          <w:numId w:val="1244"/>
          <w:ilvl w:val="1"/>
        </w:numPr>
      </w:pPr>
      <w:r>
        <w:t xml:space="preserve">ŘÍZENÍ O ZRUŠENÍ OPATŘENÍ OBECNÉ POVAHY NEBO JEHO ČÁSTI</w:t>
      </w:r>
    </w:p>
    <w:p>
      <w:pPr>
        <w:pStyle w:val="Compact"/>
        <w:numPr>
          <w:numId w:val="1245"/>
          <w:ilvl w:val="1"/>
        </w:numPr>
      </w:pPr>
      <w:r>
        <w:t xml:space="preserve">KOMPETENČNÍ ŽALOBY</w:t>
      </w:r>
    </w:p>
    <w:p>
      <w:pPr>
        <w:pStyle w:val="Compact"/>
        <w:numPr>
          <w:numId w:val="1246"/>
          <w:ilvl w:val="1"/>
        </w:numPr>
      </w:pPr>
      <w:r>
        <w:t xml:space="preserve">OPRAVNÉ PROSTŘEDKY PROTI ROZHODNUTÍM SPRÁVNÍCH SOUDŮ</w:t>
      </w:r>
    </w:p>
    <w:p>
      <w:pPr>
        <w:pStyle w:val="Compact"/>
        <w:numPr>
          <w:numId w:val="1247"/>
          <w:ilvl w:val="1"/>
        </w:numPr>
      </w:pPr>
      <w:r>
        <w:t xml:space="preserve">ROZHODOVÁNÍ SPRÁVNÍHO ORGÁNU O VĚCECH SOUKROMÉHO PRÁVA</w:t>
      </w:r>
    </w:p>
    <w:p>
      <w:pPr>
        <w:pStyle w:val="Compact"/>
        <w:numPr>
          <w:numId w:val="1248"/>
          <w:ilvl w:val="1"/>
        </w:numPr>
      </w:pPr>
      <w:r>
        <w:t xml:space="preserve">KONFLIKT KOMPETENCÍ MEZI MOCÍ VÝKONNOU A MOCÍ SOUDNÍ</w:t>
      </w:r>
    </w:p>
    <w:p>
      <w:pPr>
        <w:pStyle w:val="Compact"/>
        <w:numPr>
          <w:numId w:val="1238"/>
          <w:ilvl w:val="0"/>
        </w:numPr>
      </w:pPr>
      <w:r>
        <w:t xml:space="preserve">V dnešní podobně od roku 2003 (do té doby neexistoval Nejvyšší správní soud)</w:t>
      </w:r>
    </w:p>
    <w:p>
      <w:pPr>
        <w:pStyle w:val="Compact"/>
        <w:numPr>
          <w:numId w:val="1238"/>
          <w:ilvl w:val="0"/>
        </w:numPr>
      </w:pPr>
      <w:r>
        <w:t xml:space="preserve">do r. 2003 pouze krajské soudy a Ústavní soud</w:t>
      </w:r>
    </w:p>
    <w:p>
      <w:pPr>
        <w:pStyle w:val="Heading3"/>
      </w:pPr>
      <w:bookmarkStart w:id="132" w:name="druhy-žalob"/>
      <w:bookmarkEnd w:id="132"/>
      <w:r>
        <w:t xml:space="preserve">Druhy žalob</w:t>
      </w:r>
    </w:p>
    <w:p>
      <w:pPr>
        <w:pStyle w:val="Compact"/>
        <w:numPr>
          <w:numId w:val="1249"/>
          <w:ilvl w:val="0"/>
        </w:numPr>
      </w:pPr>
      <w:r>
        <w:t xml:space="preserve">Ve správním soudnictví poskytují krajské soudy (jako soudy správní)</w:t>
      </w:r>
      <w:r>
        <w:rPr>
          <w:rStyle w:val="FootnoteReference"/>
        </w:rPr>
        <w:footnoteReference w:id="133"/>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249"/>
          <w:ilvl w:val="0"/>
        </w:numPr>
      </w:pPr>
      <w:r>
        <w:t xml:space="preserve">Žaloba proti rozhodnutí správního orgánu</w:t>
      </w:r>
    </w:p>
    <w:p>
      <w:pPr>
        <w:pStyle w:val="Compact"/>
        <w:numPr>
          <w:numId w:val="1249"/>
          <w:ilvl w:val="0"/>
        </w:numPr>
      </w:pPr>
      <w:r>
        <w:t xml:space="preserve">Žaloba na odstranění nečinnosti</w:t>
      </w:r>
    </w:p>
    <w:p>
      <w:pPr>
        <w:pStyle w:val="Compact"/>
        <w:numPr>
          <w:numId w:val="1249"/>
          <w:ilvl w:val="0"/>
        </w:numPr>
      </w:pPr>
      <w:r>
        <w:t xml:space="preserve">Žaloba proti nezákonnému zásahu</w:t>
      </w:r>
    </w:p>
    <w:p>
      <w:pPr>
        <w:pStyle w:val="Compact"/>
        <w:numPr>
          <w:numId w:val="1249"/>
          <w:ilvl w:val="0"/>
        </w:numPr>
      </w:pPr>
      <w:r>
        <w:t xml:space="preserve">Řízení o zrušení opatření obecné povahy</w:t>
      </w:r>
    </w:p>
    <w:p>
      <w:pPr>
        <w:pStyle w:val="Heading3"/>
      </w:pPr>
      <w:bookmarkStart w:id="134" w:name="žaloba-proti-rozhodnutí-správního-orgánu"/>
      <w:bookmarkEnd w:id="134"/>
      <w:r>
        <w:t xml:space="preserve">Žaloba proti rozhodnutí správního orgánu</w:t>
      </w:r>
    </w:p>
    <w:p>
      <w:pPr>
        <w:pStyle w:val="FirstParagraph"/>
      </w:pPr>
      <w:r>
        <w:rPr>
          <w:b/>
        </w:rPr>
        <w:t xml:space="preserve">Kdo žalobu podává?</w:t>
      </w:r>
    </w:p>
    <w:p>
      <w:pPr>
        <w:pStyle w:val="Compact"/>
        <w:numPr>
          <w:numId w:val="1250"/>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251"/>
          <w:ilvl w:val="0"/>
        </w:numPr>
      </w:pPr>
      <w:r>
        <w:t xml:space="preserve">Chceme obvykle buď zrušení rozhodnutí, popřípadě vyslovení jeho nicotnosti.</w:t>
      </w:r>
    </w:p>
    <w:p>
      <w:pPr>
        <w:numPr>
          <w:numId w:val="1251"/>
          <w:ilvl w:val="0"/>
        </w:numPr>
      </w:pPr>
      <w:r>
        <w:t xml:space="preserve">Zvláštním případem žaloby může být snaha o upuštění od trestu za správní delikt nebo jeho snížení v mezích dovolených zákonem.</w:t>
      </w:r>
    </w:p>
    <w:p>
      <w:pPr>
        <w:pStyle w:val="Compact"/>
        <w:numPr>
          <w:numId w:val="1251"/>
          <w:ilvl w:val="0"/>
        </w:numPr>
      </w:pPr>
      <w:r>
        <w:t xml:space="preserve">Příklad:</w:t>
      </w:r>
    </w:p>
    <w:p>
      <w:pPr>
        <w:numPr>
          <w:numId w:val="1251"/>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252"/>
          <w:ilvl w:val="0"/>
        </w:numPr>
      </w:pPr>
      <w:r>
        <w:t xml:space="preserve">Žalovaným je správní orgán, který věc rozhodl v posledním stupni.</w:t>
      </w:r>
    </w:p>
    <w:p>
      <w:pPr>
        <w:pStyle w:val="Compact"/>
        <w:numPr>
          <w:numId w:val="1252"/>
          <w:ilvl w:val="0"/>
        </w:numPr>
      </w:pPr>
      <w:r>
        <w:t xml:space="preserve">Příklad:</w:t>
      </w:r>
    </w:p>
    <w:p>
      <w:pPr>
        <w:pStyle w:val="Compact"/>
        <w:numPr>
          <w:numId w:val="1253"/>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254"/>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254"/>
          <w:ilvl w:val="0"/>
        </w:numPr>
      </w:pPr>
      <w:r>
        <w:t xml:space="preserve">Příklad:</w:t>
      </w:r>
    </w:p>
    <w:p>
      <w:pPr>
        <w:pStyle w:val="Compact"/>
        <w:numPr>
          <w:numId w:val="1255"/>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256"/>
          <w:ilvl w:val="0"/>
        </w:numPr>
      </w:pPr>
      <w:r>
        <w:rPr>
          <w:b/>
        </w:rPr>
        <w:t xml:space="preserve">Ne vždy je podání žaloby možné. Žaloba není přípustná tehdy, jestliže např.:</w:t>
      </w:r>
    </w:p>
    <w:p>
      <w:pPr>
        <w:pStyle w:val="Compact"/>
        <w:numPr>
          <w:numId w:val="1257"/>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258"/>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258"/>
          <w:ilvl w:val="1"/>
        </w:numPr>
      </w:pPr>
      <w:r>
        <w:t xml:space="preserve">Žaloba je nepřípustná, protože nebyly vyčerpány řádné opravné prostředky.</w:t>
      </w:r>
    </w:p>
    <w:p>
      <w:pPr>
        <w:pStyle w:val="Compact"/>
        <w:numPr>
          <w:numId w:val="1258"/>
          <w:ilvl w:val="1"/>
        </w:numPr>
      </w:pPr>
      <w:r>
        <w:t xml:space="preserve">Příklad</w:t>
      </w:r>
    </w:p>
    <w:p>
      <w:pPr>
        <w:pStyle w:val="Compact"/>
        <w:numPr>
          <w:numId w:val="1258"/>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259"/>
          <w:ilvl w:val="1"/>
        </w:numPr>
      </w:pPr>
      <w:r>
        <w:rPr>
          <w:b/>
        </w:rPr>
        <w:t xml:space="preserve">Je-li jediným jejím důvodem tvrzená nicotnost napadeného rozhodnutí, nedomáhal-li se žalobce vyslovení této nicotnosti v řízení před správním orgánem</w:t>
      </w:r>
    </w:p>
    <w:p>
      <w:pPr>
        <w:pStyle w:val="Compact"/>
        <w:numPr>
          <w:numId w:val="1260"/>
          <w:ilvl w:val="1"/>
        </w:numPr>
      </w:pPr>
      <w:r>
        <w:t xml:space="preserve">Příklad</w:t>
      </w:r>
    </w:p>
    <w:p>
      <w:pPr>
        <w:pStyle w:val="Compact"/>
        <w:numPr>
          <w:numId w:val="1260"/>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261"/>
          <w:ilvl w:val="1"/>
        </w:numPr>
      </w:pPr>
      <w:r>
        <w:rPr>
          <w:b/>
        </w:rPr>
        <w:t xml:space="preserve">Směřuje-li jen proti důvodům rozhodnutí</w:t>
      </w:r>
    </w:p>
    <w:p>
      <w:pPr>
        <w:pStyle w:val="Compact"/>
        <w:numPr>
          <w:numId w:val="1262"/>
          <w:ilvl w:val="1"/>
        </w:numPr>
      </w:pPr>
      <w:r>
        <w:t xml:space="preserve">Příklad</w:t>
      </w:r>
    </w:p>
    <w:p>
      <w:pPr>
        <w:pStyle w:val="Compact"/>
        <w:numPr>
          <w:numId w:val="1262"/>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263"/>
          <w:ilvl w:val="1"/>
        </w:numPr>
      </w:pPr>
      <w:r>
        <w:rPr>
          <w:b/>
        </w:rPr>
        <w:t xml:space="preserve">Domáhá-li se přezkoumání rozhodnutí, které je z přezkoumání podle tohoto nebo zvláštního zákona vyloučeno.</w:t>
      </w:r>
    </w:p>
    <w:p>
      <w:pPr>
        <w:pStyle w:val="Compact"/>
        <w:numPr>
          <w:numId w:val="1264"/>
          <w:ilvl w:val="1"/>
        </w:numPr>
      </w:pPr>
      <w:r>
        <w:t xml:space="preserve">Ze soudního přezkoumání jsou vyloučeny např. následující úkony správního orgánu:</w:t>
      </w:r>
    </w:p>
    <w:p>
      <w:pPr>
        <w:pStyle w:val="Compact"/>
        <w:numPr>
          <w:numId w:val="1265"/>
          <w:ilvl w:val="2"/>
        </w:numPr>
      </w:pPr>
      <w:r>
        <w:t xml:space="preserve">které nejsou rozhodnutími</w:t>
      </w:r>
    </w:p>
    <w:p>
      <w:pPr>
        <w:pStyle w:val="Compact"/>
        <w:numPr>
          <w:numId w:val="1266"/>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267"/>
          <w:ilvl w:val="2"/>
        </w:numPr>
      </w:pPr>
      <w:r>
        <w:t xml:space="preserve">předběžné povahy</w:t>
      </w:r>
    </w:p>
    <w:p>
      <w:pPr>
        <w:pStyle w:val="Compact"/>
        <w:numPr>
          <w:numId w:val="1268"/>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269"/>
          <w:ilvl w:val="0"/>
        </w:numPr>
      </w:pPr>
      <w:r>
        <w:t xml:space="preserve">Žalobu je nutno podat do dvou měsíců od doručení rozhodnutí, které žalobou napadáme.</w:t>
      </w:r>
    </w:p>
    <w:p>
      <w:pPr>
        <w:pStyle w:val="Compact"/>
        <w:numPr>
          <w:numId w:val="1269"/>
          <w:ilvl w:val="0"/>
        </w:numPr>
      </w:pPr>
      <w:r>
        <w:t xml:space="preserve">Lhůta je zachována, byla-li žaloba ve lhůtě podána u správního orgánu, proti jehož rozhodnutí směřuje.</w:t>
      </w:r>
    </w:p>
    <w:p>
      <w:pPr>
        <w:pStyle w:val="Compact"/>
        <w:numPr>
          <w:numId w:val="1269"/>
          <w:ilvl w:val="0"/>
        </w:numPr>
      </w:pPr>
      <w:r>
        <w:t xml:space="preserve">Zmeškání lhůty pro podání žaloby nelze prominout.</w:t>
      </w:r>
    </w:p>
    <w:p>
      <w:pPr>
        <w:pStyle w:val="FirstParagraph"/>
      </w:pPr>
      <w:r>
        <w:rPr>
          <w:b/>
        </w:rPr>
        <w:t xml:space="preserve">Odkladný účinek žaloby:</w:t>
      </w:r>
    </w:p>
    <w:p>
      <w:pPr>
        <w:pStyle w:val="Compact"/>
        <w:numPr>
          <w:numId w:val="1270"/>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270"/>
          <w:ilvl w:val="0"/>
        </w:numPr>
      </w:pPr>
      <w:r>
        <w:t xml:space="preserve">Příklad:</w:t>
      </w:r>
    </w:p>
    <w:p>
      <w:pPr>
        <w:pStyle w:val="Compact"/>
        <w:numPr>
          <w:numId w:val="1271"/>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272"/>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272"/>
          <w:ilvl w:val="0"/>
        </w:numPr>
      </w:pPr>
      <w:r>
        <w:t xml:space="preserve">Rozhodnutí bez zbytečného odkladu, nejdéle do 30 dnů</w:t>
      </w:r>
    </w:p>
    <w:p>
      <w:pPr>
        <w:numPr>
          <w:numId w:val="1272"/>
          <w:ilvl w:val="0"/>
        </w:numPr>
      </w:pPr>
      <w:r>
        <w:t xml:space="preserve">Lze i u ostatních žalob, nejen proti rozhodnutí spr. org., je tedy širší</w:t>
      </w:r>
    </w:p>
    <w:p>
      <w:pPr>
        <w:pStyle w:val="Compact"/>
        <w:numPr>
          <w:numId w:val="1272"/>
          <w:ilvl w:val="0"/>
        </w:numPr>
      </w:pPr>
      <w:r>
        <w:t xml:space="preserve">Příklad:</w:t>
      </w:r>
    </w:p>
    <w:p>
      <w:pPr>
        <w:pStyle w:val="Compact"/>
        <w:numPr>
          <w:numId w:val="1272"/>
          <w:ilvl w:val="0"/>
        </w:numPr>
      </w:pPr>
      <w:r>
        <w:t xml:space="preserve">Firma ZZZ, s.r.o., požádala o posečkání daně. Byla zamítnuta, stejně tak i odvolání.</w:t>
      </w:r>
    </w:p>
    <w:p>
      <w:pPr>
        <w:pStyle w:val="Compact"/>
        <w:numPr>
          <w:numId w:val="1273"/>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274"/>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274"/>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275"/>
          <w:ilvl w:val="0"/>
        </w:numPr>
      </w:pPr>
      <w:r>
        <w:t xml:space="preserve">Ne vždy musí dojít k osobnímu jednání u soudu. K jednání nedojde v následujících případech:</w:t>
      </w:r>
    </w:p>
    <w:p>
      <w:pPr>
        <w:pStyle w:val="Compact"/>
        <w:numPr>
          <w:numId w:val="1276"/>
          <w:ilvl w:val="1"/>
        </w:numPr>
      </w:pPr>
      <w:r>
        <w:t xml:space="preserve">Důvody nezávislé na tom, zda si zúčastněné strany jednání přejí či nikoli.</w:t>
      </w:r>
    </w:p>
    <w:p>
      <w:pPr>
        <w:pStyle w:val="Compact"/>
        <w:numPr>
          <w:numId w:val="1277"/>
          <w:ilvl w:val="1"/>
        </w:numPr>
      </w:pPr>
      <w:r>
        <w:t xml:space="preserve">Soud totiž zruší napadené rozhodnutí pro vady řízení bez jednání rozsudkem:</w:t>
      </w:r>
    </w:p>
    <w:p>
      <w:pPr>
        <w:pStyle w:val="Compact"/>
        <w:numPr>
          <w:numId w:val="1278"/>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279"/>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280"/>
          <w:ilvl w:val="2"/>
        </w:numPr>
      </w:pPr>
      <w:r>
        <w:t xml:space="preserve">(Například za základ pro napadené rozhodnutí byla vzata výpověď důležitého svědka, přičemž protokol o jeho výslechu ve spise chybí).</w:t>
      </w:r>
    </w:p>
    <w:p>
      <w:pPr>
        <w:pStyle w:val="Compact"/>
        <w:numPr>
          <w:numId w:val="1281"/>
          <w:ilvl w:val="2"/>
        </w:numPr>
      </w:pPr>
      <w:r>
        <w:t xml:space="preserve">pro podstatné porušení ustanovení o řízení před správním orgánem, mohlo-li mít za následek nezákonné rozhodnutí o věci samé.</w:t>
      </w:r>
    </w:p>
    <w:p>
      <w:pPr>
        <w:pStyle w:val="Compact"/>
        <w:numPr>
          <w:numId w:val="1282"/>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283"/>
          <w:ilvl w:val="1"/>
        </w:numPr>
      </w:pPr>
      <w:r>
        <w:t xml:space="preserve">Dohoda účastníků řízení, o tom, že bude rozhodováno bez jednání.</w:t>
      </w:r>
    </w:p>
    <w:p>
      <w:pPr>
        <w:pStyle w:val="Compact"/>
        <w:numPr>
          <w:numId w:val="1284"/>
          <w:ilvl w:val="1"/>
        </w:numPr>
      </w:pPr>
      <w:r>
        <w:t xml:space="preserve">Soud může rozhodnout o věci samé bez jednání, jestliže to účastníci shodně navrhli nebo s tím souhlasí.</w:t>
      </w:r>
    </w:p>
    <w:p>
      <w:pPr>
        <w:pStyle w:val="Compact"/>
        <w:numPr>
          <w:numId w:val="1284"/>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286"/>
          <w:ilvl w:val="1"/>
        </w:numPr>
      </w:pPr>
      <w:r>
        <w:t xml:space="preserve">Žaloba není důvodná – soud žalobu zamítne</w:t>
      </w:r>
    </w:p>
    <w:p>
      <w:pPr>
        <w:pStyle w:val="Compact"/>
        <w:numPr>
          <w:numId w:val="1287"/>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285"/>
          <w:ilvl w:val="0"/>
        </w:numPr>
      </w:pPr>
      <w:r>
        <w:t xml:space="preserve">Příklad:</w:t>
      </w:r>
    </w:p>
    <w:p>
      <w:pPr>
        <w:pStyle w:val="Compact"/>
        <w:numPr>
          <w:numId w:val="1285"/>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288"/>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285"/>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285"/>
          <w:ilvl w:val="0"/>
        </w:numPr>
      </w:pPr>
      <w:r>
        <w:t xml:space="preserve">Napadené rozhodnutí soud zruší:</w:t>
      </w:r>
    </w:p>
    <w:p>
      <w:pPr>
        <w:pStyle w:val="Compact"/>
        <w:numPr>
          <w:numId w:val="1289"/>
          <w:ilvl w:val="1"/>
        </w:numPr>
      </w:pPr>
      <w:r>
        <w:t xml:space="preserve">pro nezákonnost</w:t>
      </w:r>
    </w:p>
    <w:p>
      <w:pPr>
        <w:pStyle w:val="Compact"/>
        <w:numPr>
          <w:numId w:val="1290"/>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290"/>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291"/>
          <w:ilvl w:val="1"/>
        </w:numPr>
      </w:pPr>
      <w:r>
        <w:t xml:space="preserve">pro vady řízení</w:t>
      </w:r>
    </w:p>
    <w:p>
      <w:pPr>
        <w:pStyle w:val="Compact"/>
        <w:numPr>
          <w:numId w:val="1292"/>
          <w:ilvl w:val="1"/>
        </w:numPr>
      </w:pPr>
      <w:r>
        <w:t xml:space="preserve">Příklad:</w:t>
      </w:r>
    </w:p>
    <w:p>
      <w:pPr>
        <w:pStyle w:val="Compact"/>
        <w:numPr>
          <w:numId w:val="1292"/>
          <w:ilvl w:val="1"/>
        </w:numPr>
      </w:pPr>
      <w:r>
        <w:t xml:space="preserve">Vadou řízení může být např. situace, kdy správce daně vyslechl svědka, ale neumožnil daňovému subjektu být přítomen jeho výslechu.</w:t>
      </w:r>
    </w:p>
    <w:p>
      <w:pPr>
        <w:pStyle w:val="Compact"/>
        <w:numPr>
          <w:numId w:val="1285"/>
          <w:ilvl w:val="0"/>
        </w:numPr>
      </w:pPr>
      <w:r>
        <w:t xml:space="preserve">Zvláštním případem rozsudku bude situace, kdy soud rozhoduje o žalobě proti rozhodnutí, jímž správní orgán uložil trest za správní delikt.</w:t>
      </w:r>
    </w:p>
    <w:p>
      <w:pPr>
        <w:numPr>
          <w:numId w:val="1285"/>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285"/>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293"/>
          <w:ilvl w:val="1"/>
        </w:numPr>
      </w:pPr>
      <w:r>
        <w:t xml:space="preserve">upustit od něj</w:t>
      </w:r>
    </w:p>
    <w:p>
      <w:pPr>
        <w:pStyle w:val="Compact"/>
        <w:numPr>
          <w:numId w:val="1294"/>
          <w:ilvl w:val="1"/>
        </w:numPr>
      </w:pPr>
      <w:r>
        <w:t xml:space="preserve">nebo jej snížit v mezích zákonem dovolených.</w:t>
      </w:r>
    </w:p>
    <w:p>
      <w:pPr>
        <w:pStyle w:val="Compact"/>
        <w:numPr>
          <w:numId w:val="1285"/>
          <w:ilvl w:val="0"/>
        </w:numPr>
      </w:pPr>
      <w:r>
        <w:t xml:space="preserve">To jde pouze v případě, že:</w:t>
      </w:r>
    </w:p>
    <w:p>
      <w:pPr>
        <w:pStyle w:val="Compact"/>
        <w:numPr>
          <w:numId w:val="1295"/>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295"/>
          <w:ilvl w:val="1"/>
        </w:numPr>
      </w:pPr>
      <w:r>
        <w:t xml:space="preserve">a navrhl-li takový postup žalobce v žalobě.</w:t>
      </w:r>
    </w:p>
    <w:p>
      <w:pPr>
        <w:numPr>
          <w:numId w:val="1285"/>
          <w:ilvl w:val="0"/>
        </w:numPr>
      </w:pPr>
      <w:r>
        <w:t xml:space="preserve">Soud by tedy mohl v takových případech stanovit novou, konkrétní „odpovídající“ výši pokuty.</w:t>
      </w:r>
    </w:p>
    <w:p>
      <w:pPr>
        <w:pStyle w:val="Heading3"/>
      </w:pPr>
      <w:bookmarkStart w:id="135" w:name="žaloba-proti-nečinnosti"/>
      <w:bookmarkEnd w:id="135"/>
      <w:r>
        <w:t xml:space="preserve">Žaloba proti nečinnosti</w:t>
      </w:r>
    </w:p>
    <w:p>
      <w:pPr>
        <w:pStyle w:val="Compact"/>
        <w:numPr>
          <w:numId w:val="1296"/>
          <w:ilvl w:val="0"/>
        </w:numPr>
      </w:pPr>
      <w:r>
        <w:t xml:space="preserve">V praxi se setkáváme se situací, kdy máme pocit, že správní orgány naše řízení neúměrně protahují, že mohlo být již dávno skončeno.</w:t>
      </w:r>
    </w:p>
    <w:p>
      <w:pPr>
        <w:pStyle w:val="Compact"/>
        <w:numPr>
          <w:numId w:val="1296"/>
          <w:ilvl w:val="0"/>
        </w:numPr>
      </w:pPr>
      <w:r>
        <w:t xml:space="preserve">Příklad:</w:t>
      </w:r>
    </w:p>
    <w:p>
      <w:pPr>
        <w:pStyle w:val="Compact"/>
        <w:numPr>
          <w:numId w:val="1297"/>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296"/>
          <w:ilvl w:val="0"/>
        </w:numPr>
      </w:pPr>
      <w:r>
        <w:t xml:space="preserve">Čeho se můžeme žalobou domáhat</w:t>
      </w:r>
    </w:p>
    <w:p>
      <w:pPr>
        <w:pStyle w:val="Compact"/>
        <w:numPr>
          <w:numId w:val="1296"/>
          <w:ilvl w:val="0"/>
        </w:numPr>
      </w:pPr>
      <w:r>
        <w:t xml:space="preserve">Žalobou se můžeme domáhat, aby soud uložil správnímu orgánu povinnost vydat rozhodnutí ve věci samé nebo osvědčení.</w:t>
      </w:r>
    </w:p>
    <w:p>
      <w:pPr>
        <w:pStyle w:val="Compact"/>
        <w:numPr>
          <w:numId w:val="1296"/>
          <w:ilvl w:val="0"/>
        </w:numPr>
      </w:pPr>
      <w:r>
        <w:t xml:space="preserve">Pokud se bude protahovat řízení o odvolání, rozhodnutí o registraci apod., tedy situace, kdy příslušné řízení končí vydáním nějakého rozhodnutí či osvědčení, je žaloba možná.</w:t>
      </w:r>
    </w:p>
    <w:p>
      <w:pPr>
        <w:numPr>
          <w:numId w:val="1296"/>
          <w:ilvl w:val="0"/>
        </w:numPr>
      </w:pPr>
      <w:r>
        <w:rPr>
          <w:b/>
        </w:rPr>
        <w:t xml:space="preserve">Pokud nedochází nutně k vystavení rozhodnutí (postup k odstranění pochybností, daňová kontrola) – je nutno podat žalobu na nezákonný zásah.</w:t>
      </w:r>
    </w:p>
    <w:p>
      <w:pPr>
        <w:pStyle w:val="Compact"/>
        <w:numPr>
          <w:numId w:val="1296"/>
          <w:ilvl w:val="0"/>
        </w:numPr>
      </w:pPr>
      <w:r>
        <w:t xml:space="preserve">Opravné prostředky před podáním žaloby</w:t>
      </w:r>
    </w:p>
    <w:p>
      <w:pPr>
        <w:pStyle w:val="Compact"/>
        <w:numPr>
          <w:numId w:val="1296"/>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298"/>
          <w:ilvl w:val="1"/>
        </w:numPr>
      </w:pPr>
      <w:r>
        <w:t xml:space="preserve">Příklad:</w:t>
      </w:r>
    </w:p>
    <w:p>
      <w:pPr>
        <w:pStyle w:val="Compact"/>
        <w:numPr>
          <w:numId w:val="1298"/>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296"/>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296"/>
          <w:ilvl w:val="0"/>
        </w:numPr>
      </w:pPr>
      <w:r>
        <w:t xml:space="preserve">Příklad:</w:t>
      </w:r>
    </w:p>
    <w:p>
      <w:pPr>
        <w:pStyle w:val="Compact"/>
        <w:numPr>
          <w:numId w:val="1299"/>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296"/>
          <w:ilvl w:val="0"/>
        </w:numPr>
      </w:pPr>
      <w:r>
        <w:t xml:space="preserve">Koho a kde žalovat:</w:t>
      </w:r>
    </w:p>
    <w:p>
      <w:pPr>
        <w:numPr>
          <w:numId w:val="1296"/>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296"/>
          <w:ilvl w:val="0"/>
        </w:numPr>
      </w:pPr>
      <w:r>
        <w:t xml:space="preserve">Lhůta pro podání žaloby:</w:t>
      </w:r>
    </w:p>
    <w:p>
      <w:pPr>
        <w:pStyle w:val="Compact"/>
        <w:numPr>
          <w:numId w:val="1296"/>
          <w:ilvl w:val="0"/>
        </w:numPr>
      </w:pPr>
      <w:r>
        <w:t xml:space="preserve">SŘS stanovuje dvě možné lhůty:</w:t>
      </w:r>
    </w:p>
    <w:p>
      <w:pPr>
        <w:pStyle w:val="Compact"/>
        <w:numPr>
          <w:numId w:val="1301"/>
          <w:ilvl w:val="2"/>
        </w:numPr>
      </w:pPr>
      <w:r>
        <w:t xml:space="preserve">Pro rozhodnutí správního orgánu je stanovena zákonem konkrétní lhůta, kterou správní orgán nedodržel</w:t>
      </w:r>
    </w:p>
    <w:p>
      <w:pPr>
        <w:pStyle w:val="Compact"/>
        <w:numPr>
          <w:numId w:val="1300"/>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300"/>
          <w:ilvl w:val="1"/>
        </w:numPr>
      </w:pPr>
      <w:r>
        <w:t xml:space="preserve">Příklad:</w:t>
      </w:r>
    </w:p>
    <w:p>
      <w:pPr>
        <w:pStyle w:val="Compact"/>
        <w:numPr>
          <w:numId w:val="1302"/>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303"/>
          <w:ilvl w:val="2"/>
        </w:numPr>
      </w:pPr>
      <w:r>
        <w:t xml:space="preserve">Pro rozhodnutí správního orgánu není stanovena zákonem konkrétní lhůta</w:t>
      </w:r>
    </w:p>
    <w:p>
      <w:pPr>
        <w:pStyle w:val="Compact"/>
        <w:numPr>
          <w:numId w:val="1300"/>
          <w:ilvl w:val="1"/>
        </w:numPr>
      </w:pPr>
      <w:r>
        <w:t xml:space="preserve">SŘS pak umožňuje podat žalobu do jednoho roku ode dne, kdy byl žalobcem vůči správnímu orgánu nebo správním orgánem proti žalobci učiněn poslední úkon.</w:t>
      </w:r>
    </w:p>
    <w:p>
      <w:pPr>
        <w:pStyle w:val="Compact"/>
        <w:numPr>
          <w:numId w:val="1300"/>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300"/>
          <w:ilvl w:val="1"/>
        </w:numPr>
      </w:pPr>
      <w:r>
        <w:t xml:space="preserve">Možné jsou i žaloby v případech protahování vyřízení žádostí o prominutí daně, žádostí o posečkání daně a povolení splátek, apod.</w:t>
      </w:r>
    </w:p>
    <w:p>
      <w:pPr>
        <w:pStyle w:val="Compact"/>
        <w:numPr>
          <w:numId w:val="1296"/>
          <w:ilvl w:val="0"/>
        </w:numPr>
      </w:pPr>
      <w:r>
        <w:t xml:space="preserve">Výsledek soudu – rozsudek</w:t>
      </w:r>
    </w:p>
    <w:p>
      <w:pPr>
        <w:pStyle w:val="Compact"/>
        <w:numPr>
          <w:numId w:val="1296"/>
          <w:ilvl w:val="0"/>
        </w:numPr>
      </w:pPr>
      <w:r>
        <w:t xml:space="preserve">Soud rozhoduje na základě skutkového stavu zjištěného ke dni svého rozhodnutí.</w:t>
      </w:r>
    </w:p>
    <w:p>
      <w:pPr>
        <w:numPr>
          <w:numId w:val="1296"/>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296"/>
          <w:ilvl w:val="0"/>
        </w:numPr>
      </w:pPr>
      <w:r>
        <w:t xml:space="preserve">Soud zamítne žalobu, není-li důvodná.</w:t>
      </w:r>
    </w:p>
    <w:p>
      <w:pPr>
        <w:pStyle w:val="Compact"/>
        <w:numPr>
          <w:numId w:val="1296"/>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296"/>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36" w:name="žaloba-proti-nezákonnému-zásahu"/>
      <w:bookmarkEnd w:id="136"/>
      <w:r>
        <w:t xml:space="preserve">Žaloba proti nezákonnému zásahu</w:t>
      </w:r>
    </w:p>
    <w:p>
      <w:pPr>
        <w:pStyle w:val="Compact"/>
        <w:numPr>
          <w:numId w:val="1304"/>
          <w:ilvl w:val="0"/>
        </w:numPr>
      </w:pPr>
      <w:r>
        <w:t xml:space="preserve">V jakém případě žalobu podat</w:t>
      </w:r>
    </w:p>
    <w:p>
      <w:pPr>
        <w:pStyle w:val="Compact"/>
        <w:numPr>
          <w:numId w:val="1304"/>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304"/>
          <w:ilvl w:val="0"/>
        </w:numPr>
      </w:pPr>
      <w:r>
        <w:t xml:space="preserve">Můžeme se tedy pokusit žalovat např. nezákonně prováděnou kontrolu v případě, že na ni dle našeho názoru neměl správce daně nárok.</w:t>
      </w:r>
    </w:p>
    <w:p>
      <w:pPr>
        <w:pStyle w:val="Compact"/>
        <w:numPr>
          <w:numId w:val="1304"/>
          <w:ilvl w:val="0"/>
        </w:numPr>
      </w:pPr>
      <w:r>
        <w:t xml:space="preserve">Koho žalovat</w:t>
      </w:r>
    </w:p>
    <w:p>
      <w:pPr>
        <w:numPr>
          <w:numId w:val="1304"/>
          <w:ilvl w:val="0"/>
        </w:numPr>
      </w:pPr>
      <w:r>
        <w:t xml:space="preserve">Žalovaným je správní orgán, který podle žalobního tvrzení provedl zásah.</w:t>
      </w:r>
    </w:p>
    <w:p>
      <w:pPr>
        <w:pStyle w:val="Compact"/>
        <w:numPr>
          <w:numId w:val="1304"/>
          <w:ilvl w:val="0"/>
        </w:numPr>
      </w:pPr>
      <w:r>
        <w:t xml:space="preserve">Do kdy žalobu podat?</w:t>
      </w:r>
    </w:p>
    <w:p>
      <w:pPr>
        <w:numPr>
          <w:numId w:val="1304"/>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304"/>
          <w:ilvl w:val="0"/>
        </w:numPr>
      </w:pPr>
      <w:r>
        <w:t xml:space="preserve">Náležitosti žaloby</w:t>
      </w:r>
    </w:p>
    <w:p>
      <w:pPr>
        <w:pStyle w:val="Compact"/>
        <w:numPr>
          <w:numId w:val="1304"/>
          <w:ilvl w:val="0"/>
        </w:numPr>
      </w:pPr>
      <w:r>
        <w:t xml:space="preserve">Žaloba mimo obecných náležitostí podání musí obsahovat</w:t>
      </w:r>
    </w:p>
    <w:p>
      <w:pPr>
        <w:pStyle w:val="Compact"/>
        <w:numPr>
          <w:numId w:val="1306"/>
          <w:ilvl w:val="2"/>
        </w:numPr>
      </w:pPr>
      <w:r>
        <w:t xml:space="preserve">označení zásahu, proti němuž se žalobce ochrany domáhá,</w:t>
      </w:r>
    </w:p>
    <w:p>
      <w:pPr>
        <w:pStyle w:val="Compact"/>
        <w:numPr>
          <w:numId w:val="1307"/>
          <w:ilvl w:val="2"/>
        </w:numPr>
      </w:pPr>
      <w:r>
        <w:t xml:space="preserve">vylíčení rozhodujících skutečností,</w:t>
      </w:r>
    </w:p>
    <w:p>
      <w:pPr>
        <w:pStyle w:val="Compact"/>
        <w:numPr>
          <w:numId w:val="1308"/>
          <w:ilvl w:val="2"/>
        </w:numPr>
      </w:pPr>
      <w:r>
        <w:t xml:space="preserve">označení důkazů, jichž se žalobce dovolává,</w:t>
      </w:r>
    </w:p>
    <w:p>
      <w:pPr>
        <w:pStyle w:val="Compact"/>
        <w:numPr>
          <w:numId w:val="1309"/>
          <w:ilvl w:val="2"/>
        </w:numPr>
      </w:pPr>
      <w:r>
        <w:t xml:space="preserve">návrh výroku rozsudku.</w:t>
      </w:r>
    </w:p>
    <w:p>
      <w:pPr>
        <w:pStyle w:val="Compact"/>
        <w:numPr>
          <w:numId w:val="1304"/>
          <w:ilvl w:val="0"/>
        </w:numPr>
      </w:pPr>
      <w:r>
        <w:t xml:space="preserve">Výsledek soudu – rozsudek</w:t>
      </w:r>
    </w:p>
    <w:p>
      <w:pPr>
        <w:pStyle w:val="Compact"/>
        <w:numPr>
          <w:numId w:val="1304"/>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304"/>
          <w:ilvl w:val="0"/>
        </w:numPr>
      </w:pPr>
      <w:r>
        <w:t xml:space="preserve">Soud samozřejmě může žalobu zamítnout, není-li důvodná.</w:t>
      </w:r>
    </w:p>
    <w:p>
      <w:pPr>
        <w:pStyle w:val="Heading3"/>
      </w:pPr>
      <w:bookmarkStart w:id="137" w:name="řízení-ve-věcech-opatření-obecné-povahy"/>
      <w:bookmarkEnd w:id="137"/>
      <w:r>
        <w:t xml:space="preserve">Řízení ve věcech opatření obecné povahy</w:t>
      </w:r>
    </w:p>
    <w:p>
      <w:pPr>
        <w:pStyle w:val="Compact"/>
        <w:numPr>
          <w:numId w:val="1310"/>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310"/>
          <w:ilvl w:val="0"/>
        </w:numPr>
      </w:pPr>
      <w:r>
        <w:t xml:space="preserve">Opatření obecné povahy je, jinak řečeno, správním aktem s konkrétně určeným předmětem a obecně vymezeným okruhem adresátů (§ 101a, 101b, 101d s. ř. s.).</w:t>
      </w:r>
    </w:p>
    <w:p>
      <w:pPr>
        <w:pStyle w:val="Compact"/>
        <w:numPr>
          <w:numId w:val="1310"/>
          <w:ilvl w:val="0"/>
        </w:numPr>
      </w:pPr>
      <w:r>
        <w:t xml:space="preserve">Příklady opatření obecné povahy</w:t>
      </w:r>
    </w:p>
    <w:p>
      <w:pPr>
        <w:pStyle w:val="Compact"/>
        <w:numPr>
          <w:numId w:val="1310"/>
          <w:ilvl w:val="0"/>
        </w:numPr>
      </w:pPr>
      <w:r>
        <w:t xml:space="preserve">územní plán</w:t>
      </w:r>
    </w:p>
    <w:p>
      <w:pPr>
        <w:pStyle w:val="Compact"/>
        <w:numPr>
          <w:numId w:val="1310"/>
          <w:ilvl w:val="0"/>
        </w:numPr>
      </w:pPr>
      <w:r>
        <w:t xml:space="preserve">stanovení záplavového území</w:t>
      </w:r>
    </w:p>
    <w:p>
      <w:pPr>
        <w:pStyle w:val="Compact"/>
        <w:numPr>
          <w:numId w:val="1310"/>
          <w:ilvl w:val="0"/>
        </w:numPr>
      </w:pPr>
      <w:r>
        <w:t xml:space="preserve">stanovení ochranného pásma vodních zdrojů</w:t>
      </w:r>
    </w:p>
    <w:p>
      <w:pPr>
        <w:numPr>
          <w:numId w:val="1310"/>
          <w:ilvl w:val="0"/>
        </w:numPr>
      </w:pPr>
      <w:r>
        <w:t xml:space="preserve">stanovení místní nebo přechodné úpravy provozu na pozemních komunikacích dopravními značkami a dopravními zařízeními</w:t>
      </w:r>
    </w:p>
    <w:p>
      <w:pPr>
        <w:pStyle w:val="Compact"/>
        <w:numPr>
          <w:numId w:val="1310"/>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310"/>
          <w:ilvl w:val="0"/>
        </w:numPr>
      </w:pPr>
      <w:r>
        <w:t xml:space="preserve">soulad opatření obecné povahy se zákonem,</w:t>
      </w:r>
    </w:p>
    <w:p>
      <w:pPr>
        <w:pStyle w:val="Compact"/>
        <w:numPr>
          <w:numId w:val="1310"/>
          <w:ilvl w:val="0"/>
        </w:numPr>
      </w:pPr>
      <w:r>
        <w:t xml:space="preserve">zda ten, kdo je vydal, postupoval v mezích své působnosti a pravomoci,</w:t>
      </w:r>
    </w:p>
    <w:p>
      <w:pPr>
        <w:numPr>
          <w:numId w:val="1310"/>
          <w:ilvl w:val="0"/>
        </w:numPr>
      </w:pPr>
      <w:r>
        <w:t xml:space="preserve">zda opatření obecné povahy bylo vydáno zákonem stanoveným způsobem.</w:t>
      </w:r>
    </w:p>
    <w:p>
      <w:pPr>
        <w:pStyle w:val="Heading3"/>
      </w:pPr>
      <w:bookmarkStart w:id="138" w:name="opravné-prostředky-ve-správním-soudnictví-kasační-stížnost-obnova-řízení"/>
      <w:bookmarkEnd w:id="138"/>
      <w:r>
        <w:t xml:space="preserve">Opravné prostředky ve správním soudnictví – kasační stížnost, obnova řízení</w:t>
      </w:r>
    </w:p>
    <w:p>
      <w:pPr>
        <w:pStyle w:val="Compact"/>
        <w:numPr>
          <w:numId w:val="1311"/>
          <w:ilvl w:val="0"/>
        </w:numPr>
      </w:pPr>
      <w:r>
        <w:t xml:space="preserve">Kdo může žalobu podat - zastupování</w:t>
      </w:r>
    </w:p>
    <w:p>
      <w:pPr>
        <w:pStyle w:val="Compact"/>
        <w:numPr>
          <w:numId w:val="1311"/>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311"/>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311"/>
          <w:ilvl w:val="0"/>
        </w:numPr>
      </w:pPr>
      <w:r>
        <w:t xml:space="preserve">Důvody kasační stížnosti</w:t>
      </w:r>
    </w:p>
    <w:p>
      <w:pPr>
        <w:pStyle w:val="Compact"/>
        <w:numPr>
          <w:numId w:val="1311"/>
          <w:ilvl w:val="0"/>
        </w:numPr>
      </w:pPr>
      <w:r>
        <w:t xml:space="preserve">Kasační stížnost lze podat pouze z důvodu tvrzené:</w:t>
      </w:r>
    </w:p>
    <w:p>
      <w:pPr>
        <w:pStyle w:val="Compact"/>
        <w:numPr>
          <w:numId w:val="1313"/>
          <w:ilvl w:val="2"/>
        </w:numPr>
      </w:pPr>
      <w:r>
        <w:t xml:space="preserve">nezákonnosti spočívající v nesprávném posouzení právní otázky soudem v předcházejícím řízení,</w:t>
      </w:r>
    </w:p>
    <w:p>
      <w:pPr>
        <w:pStyle w:val="Compact"/>
        <w:numPr>
          <w:numId w:val="1314"/>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315"/>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316"/>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311"/>
          <w:ilvl w:val="0"/>
        </w:numPr>
      </w:pPr>
      <w:r>
        <w:t xml:space="preserve">Nepřípustnost stížnosti</w:t>
      </w:r>
    </w:p>
    <w:p>
      <w:pPr>
        <w:pStyle w:val="Compact"/>
        <w:numPr>
          <w:numId w:val="1311"/>
          <w:ilvl w:val="0"/>
        </w:numPr>
      </w:pPr>
      <w:r>
        <w:t xml:space="preserve">Kasační stížnost je nepřípustná, jestliže:</w:t>
      </w:r>
    </w:p>
    <w:p>
      <w:pPr>
        <w:pStyle w:val="Compact"/>
        <w:numPr>
          <w:numId w:val="1317"/>
          <w:ilvl w:val="1"/>
        </w:numPr>
      </w:pPr>
      <w:r>
        <w:t xml:space="preserve">směřuje jen proti výroku o nákladech řízení nebo proti důvodům rozhodnutí soudu, je nepřípustná,</w:t>
      </w:r>
    </w:p>
    <w:p>
      <w:pPr>
        <w:pStyle w:val="Compact"/>
        <w:numPr>
          <w:numId w:val="1317"/>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317"/>
          <w:ilvl w:val="1"/>
        </w:numPr>
      </w:pPr>
      <w:r>
        <w:t xml:space="preserve">proti rozhodnutí, jímž se pouze upravuje vedení řízení</w:t>
      </w:r>
    </w:p>
    <w:p>
      <w:pPr>
        <w:pStyle w:val="Compact"/>
        <w:numPr>
          <w:numId w:val="1317"/>
          <w:ilvl w:val="1"/>
        </w:numPr>
      </w:pPr>
      <w:r>
        <w:t xml:space="preserve">proti rozhodnutí, které je podle své povahy dočasné,</w:t>
      </w:r>
    </w:p>
    <w:p>
      <w:pPr>
        <w:pStyle w:val="Compact"/>
        <w:numPr>
          <w:numId w:val="1317"/>
          <w:ilvl w:val="1"/>
        </w:numPr>
      </w:pPr>
      <w:r>
        <w:t xml:space="preserve">opírá-li se jen o jiné důvody, než které jsou uvedeny v textu týkajících se důvodů pro kasační stížnost</w:t>
      </w:r>
    </w:p>
    <w:p>
      <w:pPr>
        <w:pStyle w:val="Compact"/>
        <w:numPr>
          <w:numId w:val="1317"/>
          <w:ilvl w:val="1"/>
        </w:numPr>
      </w:pPr>
      <w:r>
        <w:t xml:space="preserve">opírá-li se o důvody, které stěžovatel neuplatnil v řízení před soudem, jehož rozhodnutí má být přezkoumáno, ač tak učinit mohl.</w:t>
      </w:r>
    </w:p>
    <w:p>
      <w:pPr>
        <w:pStyle w:val="Compact"/>
        <w:numPr>
          <w:numId w:val="1311"/>
          <w:ilvl w:val="0"/>
        </w:numPr>
      </w:pPr>
      <w:r>
        <w:t xml:space="preserve">Kdy a kam podat kasační stížnost</w:t>
      </w:r>
    </w:p>
    <w:p>
      <w:pPr>
        <w:pStyle w:val="Compact"/>
        <w:numPr>
          <w:numId w:val="1311"/>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311"/>
          <w:ilvl w:val="0"/>
        </w:numPr>
      </w:pPr>
      <w:r>
        <w:t xml:space="preserve">Kasační stížnost musí být podána do dvou týdnů po doručení rozhodnutí, které napadáme.</w:t>
      </w:r>
    </w:p>
    <w:p>
      <w:pPr>
        <w:numPr>
          <w:numId w:val="1311"/>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311"/>
          <w:ilvl w:val="0"/>
        </w:numPr>
      </w:pPr>
      <w:r>
        <w:t xml:space="preserve">Náležitosti stížnosti</w:t>
      </w:r>
    </w:p>
    <w:p>
      <w:pPr>
        <w:pStyle w:val="Compact"/>
        <w:numPr>
          <w:numId w:val="1311"/>
          <w:ilvl w:val="0"/>
        </w:numPr>
      </w:pPr>
      <w:r>
        <w:t xml:space="preserve">Kromě obecných náležitostí podání musí kasační stížnost</w:t>
      </w:r>
    </w:p>
    <w:p>
      <w:pPr>
        <w:numPr>
          <w:numId w:val="1311"/>
          <w:ilvl w:val="0"/>
        </w:numPr>
      </w:pPr>
      <w:r>
        <w:t xml:space="preserve">obsahovat označení rozhodnutí, proti němuž směřuje, v jakém rozsahu a z jakých důvodů jej stěžovatel napadá, údaj o tom, kdy mu rozhodnutí bylo doručeno.</w:t>
      </w:r>
    </w:p>
    <w:p>
      <w:pPr>
        <w:pStyle w:val="Compact"/>
        <w:numPr>
          <w:numId w:val="1311"/>
          <w:ilvl w:val="0"/>
        </w:numPr>
      </w:pPr>
      <w:r>
        <w:t xml:space="preserve">Odkladný účinek</w:t>
      </w:r>
    </w:p>
    <w:p>
      <w:pPr>
        <w:numPr>
          <w:numId w:val="1311"/>
          <w:ilvl w:val="0"/>
        </w:numPr>
      </w:pPr>
      <w:r>
        <w:t xml:space="preserve">Kasační stížnost nemá odkladný účinek, Nejvyšší správní soud jej však může na návrh stěžovatele přiznat.</w:t>
      </w:r>
    </w:p>
    <w:p>
      <w:pPr>
        <w:pStyle w:val="Compact"/>
        <w:numPr>
          <w:numId w:val="1311"/>
          <w:ilvl w:val="0"/>
        </w:numPr>
      </w:pPr>
      <w:r>
        <w:t xml:space="preserve">Řízení před Nejvyšším správním soudem</w:t>
      </w:r>
    </w:p>
    <w:p>
      <w:pPr>
        <w:pStyle w:val="Compact"/>
        <w:numPr>
          <w:numId w:val="1311"/>
          <w:ilvl w:val="0"/>
        </w:numPr>
      </w:pPr>
      <w:r>
        <w:t xml:space="preserve">NSS rozhoduje v drtivé většině případů bez jednání</w:t>
      </w:r>
    </w:p>
    <w:p>
      <w:pPr>
        <w:pStyle w:val="Compact"/>
        <w:numPr>
          <w:numId w:val="1311"/>
          <w:ilvl w:val="0"/>
        </w:numPr>
      </w:pPr>
      <w:r>
        <w:t xml:space="preserve">NSS vázán rozsahem a důvody kasační stížnosti, nebude tedy vyhledávat argumenty v náš prospěch nad rámec, který jsme uvedli ve stížnosti. To však neplatí:</w:t>
      </w:r>
    </w:p>
    <w:p>
      <w:pPr>
        <w:pStyle w:val="Compact"/>
        <w:numPr>
          <w:numId w:val="1318"/>
          <w:ilvl w:val="1"/>
        </w:numPr>
      </w:pPr>
      <w:r>
        <w:t xml:space="preserve">v případech, je-li na napadeném výroku závislý výrok, který napaden nebyl,</w:t>
      </w:r>
    </w:p>
    <w:p>
      <w:pPr>
        <w:pStyle w:val="Compact"/>
        <w:numPr>
          <w:numId w:val="1318"/>
          <w:ilvl w:val="1"/>
        </w:numPr>
      </w:pPr>
      <w:r>
        <w:t xml:space="preserve">je-li rozhodnutí správního orgánu nicotné,</w:t>
      </w:r>
    </w:p>
    <w:p>
      <w:pPr>
        <w:pStyle w:val="Compact"/>
        <w:numPr>
          <w:numId w:val="1318"/>
          <w:ilvl w:val="1"/>
        </w:numPr>
      </w:pPr>
      <w:r>
        <w:t xml:space="preserve">bylo-li řízení před krajským soudem zmatečné,</w:t>
      </w:r>
    </w:p>
    <w:p>
      <w:pPr>
        <w:pStyle w:val="Compact"/>
        <w:numPr>
          <w:numId w:val="1318"/>
          <w:ilvl w:val="1"/>
        </w:numPr>
      </w:pPr>
      <w:r>
        <w:t xml:space="preserve">bylo řízení před krajským soudem zatíženo vadou, která mohla mít za následek nezákonné rozhodnutí o věci samé</w:t>
      </w:r>
    </w:p>
    <w:p>
      <w:pPr>
        <w:pStyle w:val="Compact"/>
        <w:numPr>
          <w:numId w:val="1318"/>
          <w:ilvl w:val="1"/>
        </w:numPr>
      </w:pPr>
      <w:r>
        <w:t xml:space="preserve">je-li napadené rozhodnutí nepřezkoumatelné,</w:t>
      </w:r>
    </w:p>
    <w:p>
      <w:pPr>
        <w:numPr>
          <w:numId w:val="1311"/>
          <w:ilvl w:val="0"/>
        </w:numPr>
      </w:pPr>
      <w:r>
        <w:t xml:space="preserve">Ke skutečnostem, které stěžovatel uplatnil poté, kdy bylo vydáno napadené rozhodnutí, Nejvyšší správní soud nepřihlíží.</w:t>
      </w:r>
    </w:p>
    <w:p>
      <w:pPr>
        <w:pStyle w:val="Compact"/>
        <w:numPr>
          <w:numId w:val="1311"/>
          <w:ilvl w:val="0"/>
        </w:numPr>
      </w:pPr>
      <w:r>
        <w:t xml:space="preserve">Rozsudek:</w:t>
      </w:r>
    </w:p>
    <w:p>
      <w:pPr>
        <w:pStyle w:val="Compact"/>
        <w:numPr>
          <w:numId w:val="1311"/>
          <w:ilvl w:val="0"/>
        </w:numPr>
      </w:pPr>
      <w:r>
        <w:t xml:space="preserve">Dospěje-li Nejvyšší správní soud k tomu, že kasační stížnost je důvodná, rozsudkem zruší rozhodnutí krajského soudu a věc mu vrátí k dalšímu řízení.</w:t>
      </w:r>
    </w:p>
    <w:p>
      <w:pPr>
        <w:pStyle w:val="Compact"/>
        <w:numPr>
          <w:numId w:val="1311"/>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311"/>
          <w:ilvl w:val="0"/>
        </w:numPr>
      </w:pPr>
      <w:r>
        <w:t xml:space="preserve">Není-li kasační stížnost důvodná, Nejvyšší správní soud ji rozsudkem zamítne.</w:t>
      </w:r>
    </w:p>
    <w:p>
      <w:pPr>
        <w:pStyle w:val="Compact"/>
        <w:numPr>
          <w:numId w:val="1311"/>
          <w:ilvl w:val="0"/>
        </w:numPr>
      </w:pPr>
      <w:r>
        <w:t xml:space="preserve">Obnova řízení</w:t>
      </w:r>
    </w:p>
    <w:p>
      <w:pPr>
        <w:pStyle w:val="Compact"/>
        <w:numPr>
          <w:numId w:val="1311"/>
          <w:ilvl w:val="0"/>
        </w:numPr>
      </w:pPr>
      <w:r>
        <w:t xml:space="preserve">Je přípustná jen v řízení o žalobách proti nezákonným zásahům a v řízení ve věcech politických stran, tedy tam, kde soud sám zjišťoval skutkový stav věci.</w:t>
      </w:r>
    </w:p>
    <w:p>
      <w:pPr>
        <w:pStyle w:val="Compact"/>
        <w:numPr>
          <w:numId w:val="1311"/>
          <w:ilvl w:val="0"/>
        </w:numPr>
      </w:pPr>
      <w:r>
        <w:t xml:space="preserve">Dvě fáze:</w:t>
      </w:r>
    </w:p>
    <w:p>
      <w:pPr>
        <w:pStyle w:val="Compact"/>
        <w:numPr>
          <w:numId w:val="1320"/>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321"/>
          <w:ilvl w:val="2"/>
        </w:numPr>
      </w:pPr>
      <w:r>
        <w:t xml:space="preserve">poté, kdy je obnova řízení povolena, se provede nové řízení ve věci samé.</w:t>
      </w:r>
    </w:p>
    <w:p>
      <w:pPr>
        <w:numPr>
          <w:numId w:val="1311"/>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311"/>
          <w:ilvl w:val="0"/>
        </w:numPr>
      </w:pPr>
      <w:r>
        <w:t xml:space="preserve">Co soudní řízení stojí?</w:t>
      </w:r>
    </w:p>
    <w:p>
      <w:pPr>
        <w:pStyle w:val="Compact"/>
        <w:numPr>
          <w:numId w:val="1311"/>
          <w:ilvl w:val="0"/>
        </w:numPr>
      </w:pPr>
      <w:r>
        <w:t xml:space="preserve">Zde se postupuje dle přílohy k zákonu č. 549/1991 Sb. O soudních poplatcích</w:t>
      </w:r>
    </w:p>
    <w:p>
      <w:pPr>
        <w:pStyle w:val="Compact"/>
        <w:numPr>
          <w:numId w:val="1311"/>
          <w:ilvl w:val="0"/>
        </w:numPr>
      </w:pPr>
      <w:r>
        <w:t xml:space="preserve">Položka 18 bod 2.</w:t>
      </w:r>
    </w:p>
    <w:p>
      <w:pPr>
        <w:pStyle w:val="Compact"/>
        <w:numPr>
          <w:numId w:val="1311"/>
          <w:ilvl w:val="0"/>
        </w:numPr>
      </w:pPr>
      <w:r>
        <w:t xml:space="preserve">Za žalobu nebo jiný návrh na zahájení řízení ve věcech správního soudnictví:</w:t>
      </w:r>
    </w:p>
    <w:p>
      <w:pPr>
        <w:pStyle w:val="Compact"/>
        <w:numPr>
          <w:numId w:val="1322"/>
          <w:ilvl w:val="1"/>
        </w:numPr>
      </w:pPr>
      <w:r>
        <w:t xml:space="preserve">proti rozhodnutí správního orgánu Kč 3 000,- (=většina případů)</w:t>
      </w:r>
    </w:p>
    <w:p>
      <w:pPr>
        <w:pStyle w:val="Compact"/>
        <w:numPr>
          <w:numId w:val="1322"/>
          <w:ilvl w:val="1"/>
        </w:numPr>
      </w:pPr>
      <w:r>
        <w:t xml:space="preserve">v ostatních případech Kč 2 000,-</w:t>
      </w:r>
    </w:p>
    <w:p>
      <w:pPr>
        <w:pStyle w:val="Compact"/>
        <w:numPr>
          <w:numId w:val="1311"/>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311"/>
          <w:ilvl w:val="0"/>
        </w:numPr>
      </w:pPr>
      <w:r>
        <w:t xml:space="preserve">Položka 15</w:t>
      </w:r>
    </w:p>
    <w:p>
      <w:pPr>
        <w:pStyle w:val="Compact"/>
        <w:numPr>
          <w:numId w:val="1323"/>
          <w:ilvl w:val="1"/>
        </w:numPr>
      </w:pPr>
      <w:r>
        <w:t xml:space="preserve">Za kasační stížnost k Nejvyššímu správnímu soudu Kč 5 000,-</w:t>
      </w:r>
    </w:p>
    <w:p>
      <w:pPr>
        <w:numPr>
          <w:numId w:val="1311"/>
          <w:ilvl w:val="0"/>
        </w:numPr>
      </w:pPr>
      <w:r>
        <w:t xml:space="preserve">Soudní poplatky se hradí vylepením kolkových známek na žalobu nebo převodem na účet soudu.</w:t>
      </w:r>
    </w:p>
    <w:p>
      <w:pPr>
        <w:pStyle w:val="Compact"/>
        <w:numPr>
          <w:numId w:val="1311"/>
          <w:ilvl w:val="0"/>
        </w:numPr>
      </w:pPr>
      <w:r>
        <w:t xml:space="preserve">Náklady řízení jsou zejména:</w:t>
      </w:r>
    </w:p>
    <w:p>
      <w:pPr>
        <w:pStyle w:val="Compact"/>
        <w:numPr>
          <w:numId w:val="1311"/>
          <w:ilvl w:val="0"/>
        </w:numPr>
      </w:pPr>
      <w:r>
        <w:t xml:space="preserve">hotové výdaje účastníků a jejich zástupců,</w:t>
      </w:r>
    </w:p>
    <w:p>
      <w:pPr>
        <w:pStyle w:val="Compact"/>
        <w:numPr>
          <w:numId w:val="1311"/>
          <w:ilvl w:val="0"/>
        </w:numPr>
      </w:pPr>
      <w:r>
        <w:t xml:space="preserve">soudní poplatky,</w:t>
      </w:r>
    </w:p>
    <w:p>
      <w:pPr>
        <w:pStyle w:val="Compact"/>
        <w:numPr>
          <w:numId w:val="1311"/>
          <w:ilvl w:val="0"/>
        </w:numPr>
      </w:pPr>
      <w:r>
        <w:t xml:space="preserve">ušlý výdělek účastníků a jejich zákonných zástupců,</w:t>
      </w:r>
    </w:p>
    <w:p>
      <w:pPr>
        <w:pStyle w:val="Compact"/>
        <w:numPr>
          <w:numId w:val="1311"/>
          <w:ilvl w:val="0"/>
        </w:numPr>
      </w:pPr>
      <w:r>
        <w:t xml:space="preserve">náklady spojené s dokazováním,</w:t>
      </w:r>
    </w:p>
    <w:p>
      <w:pPr>
        <w:pStyle w:val="Compact"/>
        <w:numPr>
          <w:numId w:val="1311"/>
          <w:ilvl w:val="0"/>
        </w:numPr>
      </w:pPr>
      <w:r>
        <w:t xml:space="preserve">odměna zástupce a jeho hotové výdaje,</w:t>
      </w:r>
    </w:p>
    <w:p>
      <w:pPr>
        <w:numPr>
          <w:numId w:val="1311"/>
          <w:ilvl w:val="0"/>
        </w:numPr>
      </w:pPr>
      <w:r>
        <w:t xml:space="preserve">tlumočné.</w:t>
      </w:r>
    </w:p>
    <w:p>
      <w:pPr>
        <w:pStyle w:val="Compact"/>
        <w:numPr>
          <w:numId w:val="1311"/>
          <w:ilvl w:val="0"/>
        </w:numPr>
      </w:pPr>
      <w:r>
        <w:t xml:space="preserve">Náklady řízení</w:t>
      </w:r>
    </w:p>
    <w:p>
      <w:pPr>
        <w:pStyle w:val="Compact"/>
        <w:numPr>
          <w:numId w:val="1311"/>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311"/>
          <w:ilvl w:val="0"/>
        </w:numPr>
      </w:pPr>
      <w:r>
        <w:t xml:space="preserve">Protistrana (např. finanční úřad či jiný státní orgán) obvykle náklady řízení přiznány nedostane.</w:t>
      </w:r>
    </w:p>
    <w:p>
      <w:pPr>
        <w:pStyle w:val="Heading2"/>
      </w:pPr>
      <w:bookmarkStart w:id="139" w:name="role-judikatury-správního-ústavního-a-evropského-soudnictví-v-daňovém-právu"/>
      <w:bookmarkEnd w:id="139"/>
      <w:r>
        <w:t xml:space="preserve">24. Role judikatury správního, ústavního a evropského soudnictví v daňovém právu</w:t>
      </w:r>
    </w:p>
    <w:p>
      <w:pPr>
        <w:pStyle w:val="Compact"/>
        <w:numPr>
          <w:numId w:val="1324"/>
          <w:ilvl w:val="0"/>
        </w:numPr>
      </w:pPr>
      <w:r>
        <w:t xml:space="preserve">Ústavní principy jasně vymezují:</w:t>
      </w:r>
    </w:p>
    <w:p>
      <w:pPr>
        <w:pStyle w:val="Compact"/>
        <w:numPr>
          <w:numId w:val="1324"/>
          <w:ilvl w:val="0"/>
        </w:numPr>
      </w:pPr>
      <w:r>
        <w:t xml:space="preserve">obsah hmotněprávních a procesněprávních daňových podústavních předpisů,</w:t>
      </w:r>
    </w:p>
    <w:p>
      <w:pPr>
        <w:numPr>
          <w:numId w:val="1324"/>
          <w:ilvl w:val="0"/>
        </w:numPr>
      </w:pPr>
      <w:r>
        <w:t xml:space="preserve">tak rámec jejich interpretace a aplikace</w:t>
      </w:r>
      <w:r>
        <w:rPr>
          <w:rStyle w:val="FootnoteReference"/>
        </w:rPr>
        <w:footnoteReference w:id="140"/>
      </w:r>
      <w:r>
        <w:t xml:space="preserve">.</w:t>
      </w:r>
    </w:p>
    <w:p>
      <w:pPr>
        <w:pStyle w:val="Compact"/>
        <w:numPr>
          <w:numId w:val="1324"/>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324"/>
          <w:ilvl w:val="0"/>
        </w:numPr>
      </w:pPr>
      <w:r>
        <w:t xml:space="preserve">Judikatura správních soudů spočívá v předpokladu stálosti rozhodování - soud by se tak neměl odchýlit od ustálené soudní praxe.</w:t>
      </w:r>
    </w:p>
    <w:p>
      <w:pPr>
        <w:numPr>
          <w:numId w:val="1324"/>
          <w:ilvl w:val="0"/>
        </w:numPr>
      </w:pPr>
      <w:r>
        <w:t xml:space="preserve">Ústavní soud však neřeší otázku z pohledu věci samé, řeší, zda bylo jednání orgánu veřejné moci, či soudní moci zasaženo do ZLP stěžovatele.</w:t>
      </w:r>
    </w:p>
    <w:p>
      <w:pPr>
        <w:pStyle w:val="Compact"/>
        <w:numPr>
          <w:numId w:val="1324"/>
          <w:ilvl w:val="0"/>
        </w:numPr>
      </w:pPr>
      <w:r>
        <w:t xml:space="preserve">Evropské soudnictví je důležité ze dvou bodů:</w:t>
      </w:r>
    </w:p>
    <w:p>
      <w:pPr>
        <w:pStyle w:val="Compact"/>
        <w:numPr>
          <w:numId w:val="1324"/>
          <w:ilvl w:val="0"/>
        </w:numPr>
      </w:pPr>
      <w:r>
        <w:t xml:space="preserve">předběžná otázka - umožňuje se soudu obrátit na Soudní dvůr Evropské unie - v pochybnostech výkladu Evropského práva</w:t>
      </w:r>
      <w:r>
        <w:rPr>
          <w:rStyle w:val="FootnoteReference"/>
        </w:rPr>
        <w:footnoteReference w:id="141"/>
      </w:r>
      <w:r>
        <w:t xml:space="preserve">,</w:t>
      </w:r>
    </w:p>
    <w:p>
      <w:pPr>
        <w:numPr>
          <w:numId w:val="1324"/>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42" w:name="cvičení-téma-k-diskusi"/>
      <w:bookmarkEnd w:id="142"/>
      <w:r>
        <w:t xml:space="preserve">Cvičení téma k diskusi</w:t>
      </w:r>
    </w:p>
    <w:p>
      <w:pPr>
        <w:pStyle w:val="Compact"/>
        <w:numPr>
          <w:numId w:val="1325"/>
          <w:ilvl w:val="0"/>
        </w:numPr>
      </w:pPr>
      <w:r>
        <w:t xml:space="preserve">Příklad 1</w:t>
      </w:r>
    </w:p>
    <w:p>
      <w:pPr>
        <w:pStyle w:val="Compact"/>
        <w:numPr>
          <w:numId w:val="1325"/>
          <w:ilvl w:val="0"/>
        </w:numPr>
      </w:pPr>
      <w:r>
        <w:t xml:space="preserve">Jste poslanci a máte rozhodnout o tom, zda bude daň z příjmů rovná nebo progresivní.</w:t>
      </w:r>
    </w:p>
    <w:p>
      <w:pPr>
        <w:pStyle w:val="Compact"/>
        <w:numPr>
          <w:numId w:val="1325"/>
          <w:ilvl w:val="0"/>
        </w:numPr>
      </w:pPr>
      <w:r>
        <w:t xml:space="preserve">Podotázky:</w:t>
      </w:r>
    </w:p>
    <w:p>
      <w:pPr>
        <w:pStyle w:val="Compact"/>
        <w:numPr>
          <w:numId w:val="1326"/>
          <w:ilvl w:val="1"/>
        </w:numPr>
      </w:pPr>
      <w:r>
        <w:t xml:space="preserve">Je současná daň z příjmů rovná, když má jednotnou sazbu?</w:t>
      </w:r>
    </w:p>
    <w:p>
      <w:pPr>
        <w:pStyle w:val="Compact"/>
        <w:numPr>
          <w:numId w:val="1326"/>
          <w:ilvl w:val="1"/>
        </w:numPr>
      </w:pPr>
      <w:r>
        <w:t xml:space="preserve">Mají bohatí platit vyšší daně než chudí?</w:t>
      </w:r>
    </w:p>
    <w:p>
      <w:pPr>
        <w:pStyle w:val="Compact"/>
        <w:numPr>
          <w:numId w:val="1326"/>
          <w:ilvl w:val="1"/>
        </w:numPr>
      </w:pPr>
      <w:r>
        <w:t xml:space="preserve">Mají bezdětní platit vyšší daně než ti, co děti mají?</w:t>
      </w:r>
    </w:p>
    <w:p>
      <w:pPr>
        <w:pStyle w:val="Compact"/>
        <w:numPr>
          <w:numId w:val="1325"/>
          <w:ilvl w:val="0"/>
        </w:numPr>
      </w:pPr>
      <w:r>
        <w:t xml:space="preserve">Příklad č. 2</w:t>
      </w:r>
    </w:p>
    <w:p>
      <w:pPr>
        <w:pStyle w:val="Compact"/>
        <w:numPr>
          <w:numId w:val="1325"/>
          <w:ilvl w:val="0"/>
        </w:numPr>
      </w:pPr>
      <w:r>
        <w:t xml:space="preserve">Jste poslanci a máte rozhodnout, zda zavedete silniční daň:</w:t>
      </w:r>
    </w:p>
    <w:p>
      <w:pPr>
        <w:pStyle w:val="Compact"/>
        <w:numPr>
          <w:numId w:val="1328"/>
          <w:ilvl w:val="2"/>
        </w:numPr>
      </w:pPr>
      <w:r>
        <w:t xml:space="preserve">Jen pro podnikatele</w:t>
      </w:r>
    </w:p>
    <w:p>
      <w:pPr>
        <w:pStyle w:val="Compact"/>
        <w:numPr>
          <w:numId w:val="1329"/>
          <w:ilvl w:val="2"/>
        </w:numPr>
      </w:pPr>
      <w:r>
        <w:t xml:space="preserve">Pro všechny</w:t>
      </w:r>
    </w:p>
    <w:p>
      <w:pPr>
        <w:pStyle w:val="Compact"/>
        <w:numPr>
          <w:numId w:val="1325"/>
          <w:ilvl w:val="0"/>
        </w:numPr>
      </w:pPr>
      <w:r>
        <w:t xml:space="preserve">Podotázka – a co dálniční známky, mýtné:</w:t>
      </w:r>
    </w:p>
    <w:p>
      <w:pPr>
        <w:pStyle w:val="Compact"/>
        <w:numPr>
          <w:numId w:val="1331"/>
          <w:ilvl w:val="2"/>
        </w:numPr>
      </w:pPr>
      <w:r>
        <w:t xml:space="preserve">na všechny silnice</w:t>
      </w:r>
    </w:p>
    <w:p>
      <w:pPr>
        <w:pStyle w:val="Compact"/>
        <w:numPr>
          <w:numId w:val="1332"/>
          <w:ilvl w:val="2"/>
        </w:numPr>
      </w:pPr>
      <w:r>
        <w:t xml:space="preserve">jen na dálnice (dálnice + silnice 1. třídy)</w:t>
      </w:r>
    </w:p>
    <w:p>
      <w:pPr>
        <w:pStyle w:val="Compact"/>
        <w:numPr>
          <w:numId w:val="1333"/>
          <w:ilvl w:val="2"/>
        </w:numPr>
      </w:pPr>
      <w:r>
        <w:t xml:space="preserve">jen pro podnikatele</w:t>
      </w:r>
    </w:p>
    <w:p>
      <w:pPr>
        <w:numPr>
          <w:numId w:val="1325"/>
          <w:ilvl w:val="0"/>
        </w:numPr>
      </w:pPr>
      <w:r>
        <w:t xml:space="preserve">Obdobně parkování ve městech, nízkoemisní zóny (třídění podle druhů automobilů, občanů a firem, které v zóně bydlí apod.</w:t>
      </w:r>
    </w:p>
    <w:p>
      <w:pPr>
        <w:pStyle w:val="Compact"/>
        <w:numPr>
          <w:numId w:val="1325"/>
          <w:ilvl w:val="0"/>
        </w:numPr>
      </w:pPr>
      <w:r>
        <w:t xml:space="preserve">Příklad č. 3</w:t>
      </w:r>
    </w:p>
    <w:p>
      <w:pPr>
        <w:pStyle w:val="Compact"/>
        <w:numPr>
          <w:numId w:val="1325"/>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334"/>
          <w:ilvl w:val="1"/>
        </w:numPr>
      </w:pPr>
      <w:r>
        <w:t xml:space="preserve">Argumenty pro…………..</w:t>
      </w:r>
    </w:p>
    <w:p>
      <w:pPr>
        <w:pStyle w:val="Compact"/>
        <w:numPr>
          <w:numId w:val="1334"/>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 w:id="97">
    <w:p>
      <w:pPr>
        <w:pStyle w:val="FootnoteText"/>
      </w:pPr>
      <w:r>
        <w:rPr>
          <w:rStyle w:val="FootnoteReference"/>
        </w:rPr>
        <w:footnoteRef/>
      </w:r>
      <w:r>
        <w:t xml:space="preserve"> </w:t>
      </w:r>
      <w:r>
        <w:t xml:space="preserve">https://cs.wikipedia.org/wiki/Spot%C5%99ebn%C3%AD_da%C5%88</w:t>
      </w:r>
    </w:p>
  </w:footnote>
  <w:footnote w:id="100">
    <w:p>
      <w:pPr>
        <w:pStyle w:val="FootnoteText"/>
      </w:pPr>
      <w:r>
        <w:rPr>
          <w:rStyle w:val="FootnoteReference"/>
        </w:rPr>
        <w:footnoteRef/>
      </w:r>
      <w:r>
        <w:t xml:space="preserve"> </w:t>
      </w:r>
      <w:r>
        <w:t xml:space="preserve">https://cs.wikipedia.org/wiki/Majetkov%C3%A1_da%C5%88#:~:text=Majetkov%C3%A9%20dan%C4%9B%20jsou%20p%C5%99%C3%ADm%C3%A9%20dan%C4%9B,da%C5%88%20z%20nabyt%C3%AD%20nemovit%C3%BDch%20v%C4%9Bc%C3%AD.</w:t>
      </w:r>
    </w:p>
  </w:footnote>
  <w:footnote w:id="105">
    <w:p>
      <w:pPr>
        <w:pStyle w:val="FootnoteText"/>
      </w:pPr>
      <w:r>
        <w:rPr>
          <w:rStyle w:val="FootnoteReference"/>
        </w:rPr>
        <w:footnoteRef/>
      </w:r>
      <w:r>
        <w:t xml:space="preserve"> </w:t>
      </w:r>
      <w:r>
        <w:t xml:space="preserve">https://cs.wikipedia.org/wiki/Silni%C4%8Dn%C3%AD_da%C5%88</w:t>
      </w:r>
    </w:p>
  </w:footnote>
  <w:footnote w:id="109">
    <w:p>
      <w:pPr>
        <w:pStyle w:val="FootnoteText"/>
      </w:pPr>
      <w:r>
        <w:rPr>
          <w:rStyle w:val="FootnoteReference"/>
        </w:rPr>
        <w:footnoteRef/>
      </w:r>
      <w:r>
        <w:t xml:space="preserve"> </w:t>
      </w:r>
      <w:r>
        <w:t xml:space="preserve">https://sbirka.nssoud.cz/cz/danove-rizeni-zastreny-dissimulovany-pravni-ukon.p1113.html#:~:text=O%20zakr%C3%BDv%C3%A1n%C3%AD%20(dissimulaci)%20ve%20smyslu,kter%C3%BD%20ve%20skute%C4%8Dnosti%20cht%C4%9Bj%C3%AD%2C%20pop%C5%99.</w:t>
      </w:r>
    </w:p>
  </w:footnote>
  <w:footnote w:id="110">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1">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2">
    <w:p>
      <w:pPr>
        <w:pStyle w:val="FootnoteText"/>
      </w:pPr>
      <w:r>
        <w:rPr>
          <w:rStyle w:val="FootnoteReference"/>
        </w:rPr>
        <w:footnoteRef/>
      </w:r>
      <w:r>
        <w:t xml:space="preserve"> </w:t>
      </w:r>
      <w:r>
        <w:t xml:space="preserve">https://www.integracentrum.cz/aktuality/danova-optimalizace-obchazeni-zakona-416#:~:text=postup%2C%20kdy%20se%20n%C4%9Bkdo%20chov%C3%A1,povinnosti%20vypl%C3%BDvaj%C3%ADc%C3%AD%20ze%20z%C3%A1kona%20%C4%8D.</w:t>
      </w:r>
    </w:p>
  </w:footnote>
  <w:footnote w:id="114">
    <w:p>
      <w:pPr>
        <w:pStyle w:val="FootnoteText"/>
      </w:pPr>
      <w:r>
        <w:rPr>
          <w:rStyle w:val="FootnoteReference"/>
        </w:rPr>
        <w:footnoteRef/>
      </w:r>
      <w:r>
        <w:t xml:space="preserve"> </w:t>
      </w:r>
      <w:r>
        <w:t xml:space="preserve">https://www.zakonyprolidi.cz/cs/2009-280#cast2-hlava6</w:t>
      </w:r>
    </w:p>
  </w:footnote>
  <w:footnote w:id="120">
    <w:p>
      <w:pPr>
        <w:pStyle w:val="FootnoteText"/>
      </w:pPr>
      <w:r>
        <w:rPr>
          <w:rStyle w:val="FootnoteReference"/>
        </w:rPr>
        <w:footnoteRef/>
      </w:r>
      <w:r>
        <w:t xml:space="preserve"> </w:t>
      </w:r>
      <w:r>
        <w:t xml:space="preserve">https://www.zakonyprolidi.cz/cs/2009-280#cast2-hlava6-dil3</w:t>
      </w:r>
    </w:p>
  </w:footnote>
  <w:footnote w:id="122">
    <w:p>
      <w:pPr>
        <w:pStyle w:val="FootnoteText"/>
      </w:pPr>
      <w:r>
        <w:rPr>
          <w:rStyle w:val="FootnoteReference"/>
        </w:rPr>
        <w:footnoteRef/>
      </w:r>
      <w:r>
        <w:t xml:space="preserve"> </w:t>
      </w:r>
      <w:r>
        <w:t xml:space="preserve">https://www.zakonyprolidi.cz/cs/2009-280#cast2-hlava7</w:t>
      </w:r>
    </w:p>
  </w:footnote>
  <w:footnote w:id="128">
    <w:p>
      <w:pPr>
        <w:pStyle w:val="FootnoteText"/>
      </w:pPr>
      <w:r>
        <w:rPr>
          <w:rStyle w:val="FootnoteReference"/>
        </w:rPr>
        <w:footnoteRef/>
      </w:r>
      <w:r>
        <w:t xml:space="preserve"> </w:t>
      </w:r>
      <w:r>
        <w:t xml:space="preserve">https://cs.wikipedia.org/wiki/Opravn%C3%BD_prost%C5%99edek</w:t>
      </w:r>
    </w:p>
  </w:footnote>
  <w:footnote w:id="133">
    <w:p>
      <w:pPr>
        <w:pStyle w:val="FootnoteText"/>
      </w:pPr>
      <w:r>
        <w:rPr>
          <w:rStyle w:val="FootnoteReference"/>
        </w:rPr>
        <w:footnoteRef/>
      </w:r>
      <w:r>
        <w:t xml:space="preserve"> </w:t>
      </w:r>
      <w:r>
        <w:t xml:space="preserve">https://cs.wikipedia.org/wiki/Spr%C3%A1vn%C3%AD_soudnictv%C3%AD</w:t>
      </w:r>
    </w:p>
  </w:footnote>
  <w:footnote w:id="140">
    <w:p>
      <w:pPr>
        <w:pStyle w:val="FootnoteText"/>
      </w:pPr>
      <w:r>
        <w:rPr>
          <w:rStyle w:val="FootnoteReference"/>
        </w:rPr>
        <w:footnoteRef/>
      </w:r>
      <w:r>
        <w:t xml:space="preserve"> </w:t>
      </w:r>
      <w:r>
        <w:t xml:space="preserve">https://is.muni.cz/www/6685/Danove_pravo_v_judikature_Ustavniho_soudu_CR4-nekorigovano-hruby-draft.pdf</w:t>
      </w:r>
    </w:p>
  </w:footnote>
  <w:footnote w:id="141">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2788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05119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985dc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c8d3a3a0"/>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2d85fb0d"/>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87417cba"/>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a759cdbc"/>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60ca242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267f65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296d0bc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a073226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33a22a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a909ddd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d4d7d6e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a47d839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25">
    <w:nsid w:val="6a9cd4ce"/>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c861322d"/>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224c42ad"/>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7619759e"/>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7485ab5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f8fd1a7a"/>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431">
    <w:nsid w:val="ca7b6b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ef07e6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57fa4c3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7fa3bc1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8ff82e0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614">
    <w:nsid w:val="5ab07b1c"/>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825">
    <w:nsid w:val="8c308fee"/>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3beb324c"/>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eeeda51d"/>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dc7b1f4c"/>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1cb1e813"/>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da311f4f"/>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9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9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97">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9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0">
    <w:abstractNumId w:val="991"/>
  </w:num>
  <w:num w:numId="1111">
    <w:abstractNumId w:val="991"/>
  </w:num>
  <w:num w:numId="11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16">
    <w:abstractNumId w:val="991"/>
  </w:num>
  <w:num w:numId="1117">
    <w:abstractNumId w:val="991"/>
  </w:num>
  <w:num w:numId="1118">
    <w:abstractNumId w:val="991"/>
  </w:num>
  <w:num w:numId="11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2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2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25">
    <w:abstractNumId w:val="991"/>
  </w:num>
  <w:num w:numId="11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0">
    <w:abstractNumId w:val="991"/>
  </w:num>
  <w:num w:numId="1131">
    <w:abstractNumId w:val="991"/>
  </w:num>
  <w:num w:numId="1132">
    <w:abstractNumId w:val="991"/>
  </w:num>
  <w:num w:numId="1133">
    <w:abstractNumId w:val="991"/>
  </w:num>
  <w:num w:numId="11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0">
    <w:abstractNumId w:val="991"/>
  </w:num>
  <w:num w:numId="1151">
    <w:abstractNumId w:val="991"/>
  </w:num>
  <w:num w:numId="11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58">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6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65">
    <w:abstractNumId w:val="991"/>
  </w:num>
  <w:num w:numId="1166">
    <w:abstractNumId w:val="991"/>
  </w:num>
  <w:num w:numId="1167">
    <w:abstractNumId w:val="991"/>
  </w:num>
  <w:num w:numId="1168">
    <w:abstractNumId w:val="991"/>
  </w:num>
  <w:num w:numId="116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1">
    <w:abstractNumId w:val="991"/>
  </w:num>
  <w:num w:numId="11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6">
    <w:abstractNumId w:val="991"/>
  </w:num>
  <w:num w:numId="1177">
    <w:abstractNumId w:val="991"/>
  </w:num>
  <w:num w:numId="1178">
    <w:abstractNumId w:val="991"/>
  </w:num>
  <w:num w:numId="1179">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0">
    <w:abstractNumId w:val="991"/>
  </w:num>
  <w:num w:numId="1181">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2">
    <w:abstractNumId w:val="991"/>
  </w:num>
  <w:num w:numId="1183">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4">
    <w:abstractNumId w:val="991"/>
  </w:num>
  <w:num w:numId="1185">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0">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9">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0">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21">
    <w:abstractNumId w:val="991"/>
  </w:num>
  <w:num w:numId="1222">
    <w:abstractNumId w:val="991"/>
  </w:num>
  <w:num w:numId="12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1"/>
  </w:num>
  <w:num w:numId="1238">
    <w:abstractNumId w:val="991"/>
  </w:num>
  <w:num w:numId="1239">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0">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1">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2">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3">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44">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45">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46">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4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8">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1"/>
  </w:num>
  <w:num w:numId="125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0">
    <w:abstractNumId w:val="991"/>
  </w:num>
  <w:num w:numId="126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2">
    <w:abstractNumId w:val="991"/>
  </w:num>
  <w:num w:numId="126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4">
    <w:abstractNumId w:val="991"/>
  </w:num>
  <w:num w:numId="126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6">
    <w:abstractNumId w:val="991"/>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7">
    <w:abstractNumId w:val="991"/>
  </w:num>
  <w:num w:numId="12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0">
    <w:abstractNumId w:val="991"/>
  </w:num>
  <w:num w:numId="128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4">
    <w:abstractNumId w:val="991"/>
  </w:num>
  <w:num w:numId="1285">
    <w:abstractNumId w:val="991"/>
  </w:num>
  <w:num w:numId="128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8">
    <w:abstractNumId w:val="991"/>
  </w:num>
  <w:num w:numId="128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0">
    <w:abstractNumId w:val="991"/>
  </w:num>
  <w:num w:numId="12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2">
    <w:abstractNumId w:val="991"/>
  </w:num>
  <w:num w:numId="13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4">
    <w:abstractNumId w:val="991"/>
  </w:num>
  <w:num w:numId="1305">
    <w:abstractNumId w:val="991"/>
  </w:num>
  <w:num w:numId="13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0">
    <w:abstractNumId w:val="991"/>
  </w:num>
  <w:num w:numId="1311">
    <w:abstractNumId w:val="991"/>
  </w:num>
  <w:num w:numId="1312">
    <w:abstractNumId w:val="991"/>
  </w:num>
  <w:num w:numId="13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1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7">
    <w:abstractNumId w:val="991"/>
  </w:num>
  <w:num w:numId="1318">
    <w:abstractNumId w:val="991"/>
  </w:num>
  <w:num w:numId="1319">
    <w:abstractNumId w:val="991"/>
  </w:num>
  <w:num w:numId="13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0">
    <w:abstractNumId w:val="991"/>
  </w:num>
  <w:num w:numId="13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2022-05-08T22:20:00Z</dcterms:created>
  <dcterms:modified xsi:type="dcterms:W3CDTF">2022-05-08T22:20:00Z</dcterms:modified>
</cp:coreProperties>
</file>