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zkouška"/>
      <w:bookmarkEnd w:id="21"/>
      <w:r>
        <w:t xml:space="preserve">Zkouška:</w:t>
      </w:r>
    </w:p>
    <w:p>
      <w:pPr>
        <w:pStyle w:val="Heading2"/>
      </w:pPr>
      <w:bookmarkStart w:id="22" w:name="zkušební-okruhy"/>
      <w:bookmarkEnd w:id="22"/>
      <w:r>
        <w:t xml:space="preserve">Zkušební okruhy:</w:t>
      </w:r>
    </w:p>
    <w:p>
      <w:pPr>
        <w:pStyle w:val="Compact"/>
        <w:numPr>
          <w:numId w:val="1001"/>
          <w:ilvl w:val="0"/>
        </w:numPr>
      </w:pPr>
      <w:r>
        <w:t xml:space="preserve">Účely daní (fiskální, nefiskální), rovnost ve zdanění</w:t>
      </w:r>
    </w:p>
    <w:p>
      <w:pPr>
        <w:pStyle w:val="Compact"/>
        <w:numPr>
          <w:numId w:val="1001"/>
          <w:ilvl w:val="0"/>
        </w:numPr>
      </w:pPr>
      <w:r>
        <w:t xml:space="preserve">Fiskální situace států západní civilizace, včetně ČR</w:t>
      </w:r>
    </w:p>
    <w:p>
      <w:pPr>
        <w:pStyle w:val="Compact"/>
        <w:numPr>
          <w:numId w:val="1001"/>
          <w:ilvl w:val="0"/>
        </w:numPr>
      </w:pPr>
      <w:r>
        <w:t xml:space="preserve">Druhy daní; přehled daňového systému České republiky</w:t>
      </w:r>
    </w:p>
    <w:p>
      <w:pPr>
        <w:pStyle w:val="Compact"/>
        <w:numPr>
          <w:numId w:val="1001"/>
          <w:ilvl w:val="0"/>
        </w:numPr>
      </w:pPr>
      <w:r>
        <w:t xml:space="preserve">Základní pojmy – předmět daně, základ daně, zdaňovací období, subjekt daně</w:t>
      </w:r>
    </w:p>
    <w:p>
      <w:pPr>
        <w:pStyle w:val="Compact"/>
        <w:numPr>
          <w:numId w:val="1001"/>
          <w:ilvl w:val="0"/>
        </w:numPr>
      </w:pPr>
      <w:r>
        <w:t xml:space="preserve">Daně z příjmů – charakteristika</w:t>
      </w:r>
    </w:p>
    <w:p>
      <w:pPr>
        <w:pStyle w:val="Compact"/>
        <w:numPr>
          <w:numId w:val="1001"/>
          <w:ilvl w:val="0"/>
        </w:numPr>
      </w:pPr>
      <w:r>
        <w:t xml:space="preserve">Pojem příjmu, skutečného příjmu, zdánlivého příjmu</w:t>
      </w:r>
    </w:p>
    <w:p>
      <w:pPr>
        <w:pStyle w:val="Compact"/>
        <w:numPr>
          <w:numId w:val="1001"/>
          <w:ilvl w:val="0"/>
        </w:numPr>
      </w:pPr>
      <w:r>
        <w:t xml:space="preserve">Daňové odpisy – pojem, charakteristika, praktické problémy</w:t>
      </w:r>
    </w:p>
    <w:p>
      <w:pPr>
        <w:pStyle w:val="Compact"/>
        <w:numPr>
          <w:numId w:val="1001"/>
          <w:ilvl w:val="0"/>
        </w:numPr>
      </w:pPr>
      <w:r>
        <w:t xml:space="preserve">Náklady (výdaje) na dosažení, udržení nebo zajištění příjmu</w:t>
      </w:r>
    </w:p>
    <w:p>
      <w:pPr>
        <w:pStyle w:val="Compact"/>
        <w:numPr>
          <w:numId w:val="1001"/>
          <w:ilvl w:val="0"/>
        </w:numPr>
      </w:pPr>
      <w:r>
        <w:t xml:space="preserve">Spojené osoby a ceny mezi nimi sjednané z hlediska daní z příjmů</w:t>
      </w:r>
    </w:p>
    <w:p>
      <w:pPr>
        <w:pStyle w:val="Compact"/>
        <w:numPr>
          <w:numId w:val="1001"/>
          <w:ilvl w:val="0"/>
        </w:numPr>
      </w:pPr>
      <w:r>
        <w:t xml:space="preserve">Pojem „švarcsystému“ a problémy s ním spojené</w:t>
      </w:r>
    </w:p>
    <w:p>
      <w:pPr>
        <w:pStyle w:val="Compact"/>
        <w:numPr>
          <w:numId w:val="1001"/>
          <w:ilvl w:val="0"/>
        </w:numPr>
      </w:pPr>
      <w:r>
        <w:t xml:space="preserve">Daňový režim při úmrtí daňového subjektu – daň z příjmů fyzických osob, DPH,</w:t>
      </w:r>
      <w:r>
        <w:br w:type="textWrapping"/>
      </w:r>
      <w:r>
        <w:t xml:space="preserve">ostatní daně (dědická aj.)</w:t>
      </w:r>
    </w:p>
    <w:p>
      <w:pPr>
        <w:pStyle w:val="Compact"/>
        <w:numPr>
          <w:numId w:val="1001"/>
          <w:ilvl w:val="0"/>
        </w:numPr>
      </w:pPr>
      <w:r>
        <w:t xml:space="preserve">Daň z přidané hodnoty – charakteristika, základní pojmy – zdanitelné plnění,</w:t>
      </w:r>
      <w:r>
        <w:br w:type="textWrapping"/>
      </w:r>
      <w:r>
        <w:t xml:space="preserve">odpočet, zdaňovací období, osoba povinná k dani, plátce daně; reverse charge</w:t>
      </w:r>
    </w:p>
    <w:p>
      <w:pPr>
        <w:pStyle w:val="Compact"/>
        <w:numPr>
          <w:numId w:val="1001"/>
          <w:ilvl w:val="0"/>
        </w:numPr>
      </w:pPr>
      <w:r>
        <w:t xml:space="preserve">Nejčastější podvody na DPH</w:t>
      </w:r>
    </w:p>
    <w:p>
      <w:pPr>
        <w:pStyle w:val="Compact"/>
        <w:numPr>
          <w:numId w:val="1001"/>
          <w:ilvl w:val="0"/>
        </w:numPr>
      </w:pPr>
      <w:r>
        <w:t xml:space="preserve">Mezinárodní zdanění – pojem, charakteristika; dohody o zamezení dvojímu zdanění</w:t>
      </w:r>
    </w:p>
    <w:p>
      <w:pPr>
        <w:pStyle w:val="Compact"/>
        <w:numPr>
          <w:numId w:val="1001"/>
          <w:ilvl w:val="0"/>
        </w:numPr>
      </w:pPr>
      <w:r>
        <w:rPr>
          <w:strike/>
        </w:rPr>
        <w:t xml:space="preserve">Pojistné na sociální zabezpečení - charakteristika</w:t>
      </w:r>
    </w:p>
    <w:p>
      <w:pPr>
        <w:pStyle w:val="Compact"/>
        <w:numPr>
          <w:numId w:val="1001"/>
          <w:ilvl w:val="0"/>
        </w:numPr>
      </w:pPr>
      <w:r>
        <w:t xml:space="preserve">Spotřební daně, majetkové daně - základní charakteristika</w:t>
      </w:r>
    </w:p>
    <w:p>
      <w:pPr>
        <w:pStyle w:val="Compact"/>
        <w:numPr>
          <w:numId w:val="1001"/>
          <w:ilvl w:val="0"/>
        </w:numPr>
      </w:pPr>
      <w:r>
        <w:t xml:space="preserve">Právo EU a daně – jakých daní se dotýká, jak se projevuje; přímý a nepřímý účinek</w:t>
      </w:r>
    </w:p>
    <w:p>
      <w:pPr>
        <w:pStyle w:val="Compact"/>
        <w:numPr>
          <w:numId w:val="1001"/>
          <w:ilvl w:val="0"/>
        </w:numPr>
      </w:pPr>
      <w:r>
        <w:t xml:space="preserve">Pojem zneužití práva, praktické případy</w:t>
      </w:r>
    </w:p>
    <w:p>
      <w:pPr>
        <w:pStyle w:val="Compact"/>
        <w:numPr>
          <w:numId w:val="1001"/>
          <w:ilvl w:val="0"/>
        </w:numPr>
      </w:pPr>
      <w:r>
        <w:t xml:space="preserve">Daňové tvrzení, důkazní břemeno v daňovém řízení</w:t>
      </w:r>
    </w:p>
    <w:p>
      <w:pPr>
        <w:pStyle w:val="Compact"/>
        <w:numPr>
          <w:numId w:val="1001"/>
          <w:ilvl w:val="0"/>
        </w:numPr>
      </w:pPr>
      <w:r>
        <w:t xml:space="preserve">Daňová kontrola a jiné instituty pro zjišťování a prověřování daňové povinnosti</w:t>
      </w:r>
    </w:p>
    <w:p>
      <w:pPr>
        <w:pStyle w:val="Compact"/>
        <w:numPr>
          <w:numId w:val="1001"/>
          <w:ilvl w:val="0"/>
        </w:numPr>
      </w:pPr>
      <w:r>
        <w:t xml:space="preserve">Dokazování v daňovém řízení</w:t>
      </w:r>
    </w:p>
    <w:p>
      <w:pPr>
        <w:pStyle w:val="Compact"/>
        <w:numPr>
          <w:numId w:val="1001"/>
          <w:ilvl w:val="0"/>
        </w:numPr>
      </w:pPr>
      <w:r>
        <w:t xml:space="preserve">Opravné a dozorčí prostředky v daňovém řízení</w:t>
      </w:r>
    </w:p>
    <w:p>
      <w:pPr>
        <w:pStyle w:val="Compact"/>
        <w:numPr>
          <w:numId w:val="1001"/>
          <w:ilvl w:val="0"/>
        </w:numPr>
      </w:pPr>
      <w:r>
        <w:t xml:space="preserve">Ochrana daňového subjektu ve správním soudnictví – žaloby a opravné prostředky</w:t>
      </w:r>
    </w:p>
    <w:p>
      <w:pPr>
        <w:pStyle w:val="Compact"/>
        <w:numPr>
          <w:numId w:val="1001"/>
          <w:ilvl w:val="0"/>
        </w:numPr>
      </w:pPr>
      <w:r>
        <w:t xml:space="preserve">Role judikatury správního, ústavního a evropského soudnictví v daňovém právu</w:t>
      </w:r>
    </w:p>
    <w:p>
      <w:pPr>
        <w:pStyle w:val="Heading2"/>
      </w:pPr>
      <w:bookmarkStart w:id="23" w:name="účely-daní-fiskální-nefiskální-rovnost-ve-zdanění"/>
      <w:bookmarkEnd w:id="23"/>
      <w:r>
        <w:t xml:space="preserve">Účely daní (fiskální, nefiskální), rovnost ve zdanění</w:t>
      </w:r>
    </w:p>
    <w:p>
      <w:pPr>
        <w:pStyle w:val="Heading3"/>
      </w:pPr>
      <w:bookmarkStart w:id="24" w:name="účely-daní"/>
      <w:bookmarkEnd w:id="24"/>
      <w:r>
        <w:t xml:space="preserve">Účely daní</w:t>
      </w:r>
    </w:p>
    <w:p>
      <w:pPr>
        <w:pStyle w:val="Heading3"/>
      </w:pPr>
      <w:bookmarkStart w:id="25" w:name="co-je-daň"/>
      <w:bookmarkEnd w:id="25"/>
      <w:r>
        <w:t xml:space="preserve">Co je daň?</w:t>
      </w:r>
    </w:p>
    <w:p>
      <w:pPr>
        <w:pStyle w:val="Compact"/>
        <w:numPr>
          <w:numId w:val="1002"/>
          <w:ilvl w:val="0"/>
        </w:numPr>
      </w:pPr>
      <w:r>
        <w:t xml:space="preserve">Daň je povinná, nenávratná, zákonem určená platba do veřejného rozpočtu (povinná, nenávratná, neúčelová, neekvivalentní).</w:t>
      </w:r>
    </w:p>
    <w:p>
      <w:pPr>
        <w:pStyle w:val="Compact"/>
        <w:numPr>
          <w:numId w:val="1002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tím, co od státu dostane).</w:t>
      </w:r>
    </w:p>
    <w:p>
      <w:pPr>
        <w:pStyle w:val="Compact"/>
        <w:numPr>
          <w:numId w:val="1002"/>
          <w:ilvl w:val="0"/>
        </w:numPr>
      </w:pPr>
      <w:r>
        <w:t xml:space="preserve">Jedná se o příjem do veřejného - státního - rozpočtu.</w:t>
      </w:r>
    </w:p>
    <w:p>
      <w:pPr>
        <w:pStyle w:val="Heading3"/>
      </w:pPr>
      <w:bookmarkStart w:id="26" w:name="co-je-státní-rozpočet"/>
      <w:bookmarkEnd w:id="26"/>
      <w:r>
        <w:t xml:space="preserve">Co je státní rozpočet?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(Národní důchod je čistý domácí produkt, měřený důchodovou metodou a po odečtení nepřímých daní z podnikání. (Čistý domácí produkt je hrubý domácí produkt bez odpisů, jež vyjadřují znehodnocení kapitálu.))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pStyle w:val="Compact"/>
        <w:numPr>
          <w:numId w:val="1003"/>
          <w:ilvl w:val="0"/>
        </w:numPr>
      </w:pPr>
      <w:r>
        <w:t xml:space="preserve">Státní rozpočet Je schvalován zákonodárnými sbory, a to formou rozpočtového zákona (specifika jsou upravena zákonem 218/2000 Sb. zákon o rozpočtových pravidlech).</w:t>
      </w:r>
    </w:p>
    <w:p>
      <w:pPr>
        <w:numPr>
          <w:numId w:val="1003"/>
          <w:ilvl w:val="0"/>
        </w:numPr>
      </w:pPr>
      <w:r>
        <w:t xml:space="preserve">Využití daní (státního rozpočtu):</w:t>
      </w:r>
    </w:p>
    <w:p>
      <w:pPr>
        <w:pStyle w:val="Heading2"/>
      </w:pPr>
      <w:bookmarkStart w:id="27" w:name="druhy-daní-přehled-daňového-systému-české-republiky"/>
      <w:bookmarkEnd w:id="27"/>
      <w:r>
        <w:t xml:space="preserve">Druhy daní; přehled daňového systému České republiky</w:t>
      </w:r>
    </w:p>
    <w:p>
      <w:pPr>
        <w:pStyle w:val="Heading3"/>
      </w:pPr>
      <w:bookmarkStart w:id="28" w:name="prameny-daňového-práva"/>
      <w:bookmarkEnd w:id="28"/>
      <w:r>
        <w:t xml:space="preserve">Prameny daňového práva</w:t>
      </w:r>
    </w:p>
    <w:p>
      <w:pPr>
        <w:pStyle w:val="Compact"/>
        <w:numPr>
          <w:numId w:val="1004"/>
          <w:ilvl w:val="0"/>
        </w:numPr>
      </w:pPr>
      <w:r>
        <w:t xml:space="preserve">Nařízení vlády,</w:t>
      </w:r>
    </w:p>
    <w:p>
      <w:pPr>
        <w:pStyle w:val="Compact"/>
        <w:numPr>
          <w:numId w:val="1004"/>
          <w:ilvl w:val="0"/>
        </w:numPr>
      </w:pPr>
      <w:r>
        <w:t xml:space="preserve">rozhodnutí,</w:t>
      </w:r>
    </w:p>
    <w:p>
      <w:pPr>
        <w:pStyle w:val="Compact"/>
        <w:numPr>
          <w:numId w:val="1004"/>
          <w:ilvl w:val="0"/>
        </w:numPr>
      </w:pPr>
      <w:r>
        <w:t xml:space="preserve">sdělení,</w:t>
      </w:r>
    </w:p>
    <w:p>
      <w:pPr>
        <w:pStyle w:val="Compact"/>
        <w:numPr>
          <w:numId w:val="1004"/>
          <w:ilvl w:val="0"/>
        </w:numPr>
      </w:pPr>
      <w:r>
        <w:t xml:space="preserve">usnesení,</w:t>
      </w:r>
    </w:p>
    <w:p>
      <w:pPr>
        <w:pStyle w:val="Compact"/>
        <w:numPr>
          <w:numId w:val="1004"/>
          <w:ilvl w:val="0"/>
        </w:numPr>
      </w:pPr>
      <w:r>
        <w:t xml:space="preserve">ústavní zákony,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vyhlášky</w:t>
      </w:r>
      <w:r>
        <w:t xml:space="preserve"> </w:t>
      </w:r>
      <w:r>
        <w:t xml:space="preserve">- prováděcí,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zákon</w:t>
      </w:r>
      <w:r>
        <w:t xml:space="preserve">,</w:t>
      </w:r>
    </w:p>
    <w:p>
      <w:pPr>
        <w:pStyle w:val="Compact"/>
        <w:numPr>
          <w:numId w:val="1004"/>
          <w:ilvl w:val="0"/>
        </w:numPr>
      </w:pPr>
      <w:r>
        <w:t xml:space="preserve">zákonné opatření senátu.</w:t>
      </w:r>
    </w:p>
    <w:p>
      <w:pPr>
        <w:pStyle w:val="FirstParagraph"/>
      </w:pPr>
      <w:r>
        <w:t xml:space="preserve">Pro zkoušku důležité oblasti jsou napsané</w:t>
      </w:r>
      <w:r>
        <w:t xml:space="preserve"> </w:t>
      </w:r>
      <w:r>
        <w:rPr>
          <w:b/>
        </w:rPr>
        <w:t xml:space="preserve">tučně</w:t>
      </w:r>
      <w:r>
        <w:t xml:space="preserve">.</w:t>
      </w:r>
    </w:p>
    <w:p>
      <w:pPr>
        <w:pStyle w:val="Heading4"/>
      </w:pPr>
      <w:bookmarkStart w:id="29" w:name="vyhlášky"/>
      <w:bookmarkEnd w:id="29"/>
      <w:r>
        <w:t xml:space="preserve">Vyhlášky</w:t>
      </w:r>
    </w:p>
    <w:p>
      <w:pPr>
        <w:pStyle w:val="FirstParagraph"/>
      </w:pPr>
      <w:r>
        <w:t xml:space="preserve">Není je třeba znát, důležité je vědět, že určité zákony mají prováděcí vyhlášku, která stanovuje, jak se mají provést.</w:t>
      </w:r>
    </w:p>
    <w:p>
      <w:pPr>
        <w:pStyle w:val="Heading4"/>
      </w:pPr>
      <w:bookmarkStart w:id="30" w:name="zákony"/>
      <w:bookmarkEnd w:id="30"/>
      <w:r>
        <w:t xml:space="preserve">Zákony</w:t>
      </w:r>
    </w:p>
    <w:p>
      <w:pPr>
        <w:pStyle w:val="Compact"/>
        <w:numPr>
          <w:numId w:val="1005"/>
          <w:ilvl w:val="0"/>
        </w:numPr>
      </w:pPr>
      <w:r>
        <w:t xml:space="preserve">280/2009 Sb. daňový řád,</w:t>
      </w:r>
    </w:p>
    <w:p>
      <w:pPr>
        <w:pStyle w:val="Compact"/>
        <w:numPr>
          <w:numId w:val="1005"/>
          <w:ilvl w:val="0"/>
        </w:numPr>
      </w:pPr>
      <w:r>
        <w:t xml:space="preserve">353/2003 Sb. zákon o spotřebních daních,</w:t>
      </w:r>
    </w:p>
    <w:p>
      <w:pPr>
        <w:pStyle w:val="Compact"/>
        <w:numPr>
          <w:numId w:val="1005"/>
          <w:ilvl w:val="0"/>
        </w:numPr>
      </w:pPr>
      <w:r>
        <w:t xml:space="preserve">235/2004 Sb. zákon o dani z přidané hodnoty,</w:t>
      </w:r>
    </w:p>
    <w:p>
      <w:pPr>
        <w:pStyle w:val="Compact"/>
        <w:numPr>
          <w:numId w:val="1005"/>
          <w:ilvl w:val="0"/>
        </w:numPr>
      </w:pPr>
      <w:r>
        <w:t xml:space="preserve">523/1992 Sb. zákon o daňovém poradenství a komoře daňových poradců ČR,</w:t>
      </w:r>
    </w:p>
    <w:p>
      <w:pPr>
        <w:pStyle w:val="Compact"/>
        <w:numPr>
          <w:numId w:val="1005"/>
          <w:ilvl w:val="0"/>
        </w:numPr>
      </w:pPr>
      <w:r>
        <w:t xml:space="preserve">243/2000 Sb. zákon o rozpočtovém určení daní,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b0b8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6d87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4ff3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2022-05-04T08:49:03Z</dcterms:created>
  <dcterms:modified xsi:type="dcterms:W3CDTF">2022-05-04T08:49:03Z</dcterms:modified>
</cp:coreProperties>
</file>