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w:t>
      </w:r>
      <w:r>
        <w:br w:type="textWrapping"/>
      </w:r>
      <w:r>
        <w:t xml:space="preserve">ostatní daně (dědická aj.)</w:t>
      </w:r>
    </w:p>
    <w:p>
      <w:pPr>
        <w:pStyle w:val="Compact"/>
        <w:numPr>
          <w:numId w:val="1001"/>
          <w:ilvl w:val="0"/>
        </w:numPr>
      </w:pPr>
      <w:r>
        <w:t xml:space="preserve">Daň z přidané hodnoty – charakteristika, základní pojmy – zdanitelné plnění,</w:t>
      </w:r>
      <w:r>
        <w:br w:type="textWrapping"/>
      </w:r>
      <w:r>
        <w:t xml:space="preserve">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w:t>
      </w:r>
    </w:p>
    <w:p>
      <w:pPr>
        <w:pStyle w:val="Compact"/>
        <w:numPr>
          <w:numId w:val="1001"/>
          <w:ilvl w:val="0"/>
        </w:numPr>
      </w:pPr>
      <w:r>
        <w:t xml:space="preserve">Ochrana daňového subjektu ve správním soudnictví – žaloby a opravné prostředky</w:t>
      </w:r>
    </w:p>
    <w:p>
      <w:pPr>
        <w:pStyle w:val="Compact"/>
        <w:numPr>
          <w:numId w:val="1001"/>
          <w:ilvl w:val="0"/>
        </w:numPr>
      </w:pPr>
      <w:r>
        <w:t xml:space="preserve">Role judikatury správního, ústavního a evropského soudnictví v daňovém právu</w:t>
      </w:r>
    </w:p>
    <w:p>
      <w:pPr>
        <w:pStyle w:val="Heading2"/>
      </w:pPr>
      <w:bookmarkStart w:id="22" w:name="účely-daní-fiskální-nefiskální-rovnost-ve-zdanění"/>
      <w:bookmarkEnd w:id="22"/>
      <w:r>
        <w:t xml:space="preserve">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Fiskální situace států západní civilizace, včetně ČR</w:t>
      </w:r>
    </w:p>
    <w:p>
      <w:pPr>
        <w:pStyle w:val="Heading2"/>
      </w:pPr>
      <w:bookmarkStart w:id="31" w:name="druhy-daní-přehled-daňového-systému-české-republiky"/>
      <w:bookmarkEnd w:id="31"/>
      <w:r>
        <w:t xml:space="preserve">Druhy daní; přehled daňového systému České republiky</w:t>
      </w:r>
    </w:p>
    <w:p>
      <w:pPr>
        <w:pStyle w:val="Heading3"/>
      </w:pPr>
      <w:bookmarkStart w:id="32" w:name="prameny-daňového-práva"/>
      <w:bookmarkEnd w:id="32"/>
      <w:r>
        <w:t xml:space="preserve">Prameny daňového práva</w:t>
      </w:r>
    </w:p>
    <w:p>
      <w:pPr>
        <w:pStyle w:val="Compact"/>
        <w:numPr>
          <w:numId w:val="1009"/>
          <w:ilvl w:val="0"/>
        </w:numPr>
      </w:pPr>
      <w:r>
        <w:t xml:space="preserve">Nařízení vlády,</w:t>
      </w:r>
    </w:p>
    <w:p>
      <w:pPr>
        <w:pStyle w:val="Compact"/>
        <w:numPr>
          <w:numId w:val="1009"/>
          <w:ilvl w:val="0"/>
        </w:numPr>
      </w:pPr>
      <w:r>
        <w:t xml:space="preserve">rozhodnutí,</w:t>
      </w:r>
    </w:p>
    <w:p>
      <w:pPr>
        <w:pStyle w:val="Compact"/>
        <w:numPr>
          <w:numId w:val="1009"/>
          <w:ilvl w:val="0"/>
        </w:numPr>
      </w:pPr>
      <w:r>
        <w:t xml:space="preserve">sdělení,</w:t>
      </w:r>
    </w:p>
    <w:p>
      <w:pPr>
        <w:pStyle w:val="Compact"/>
        <w:numPr>
          <w:numId w:val="1009"/>
          <w:ilvl w:val="0"/>
        </w:numPr>
      </w:pPr>
      <w:r>
        <w:t xml:space="preserve">usnesení,</w:t>
      </w:r>
    </w:p>
    <w:p>
      <w:pPr>
        <w:pStyle w:val="Compact"/>
        <w:numPr>
          <w:numId w:val="1009"/>
          <w:ilvl w:val="0"/>
        </w:numPr>
      </w:pPr>
      <w:r>
        <w:t xml:space="preserve">ústavní zákony,</w:t>
      </w:r>
    </w:p>
    <w:p>
      <w:pPr>
        <w:pStyle w:val="Compact"/>
        <w:numPr>
          <w:numId w:val="1009"/>
          <w:ilvl w:val="0"/>
        </w:numPr>
      </w:pPr>
      <w:r>
        <w:rPr>
          <w:b/>
        </w:rPr>
        <w:t xml:space="preserve">vyhlášky</w:t>
      </w:r>
      <w:r>
        <w:t xml:space="preserve"> </w:t>
      </w:r>
      <w:r>
        <w:t xml:space="preserve">- prováděcí,</w:t>
      </w:r>
    </w:p>
    <w:p>
      <w:pPr>
        <w:pStyle w:val="Compact"/>
        <w:numPr>
          <w:numId w:val="1009"/>
          <w:ilvl w:val="0"/>
        </w:numPr>
      </w:pPr>
      <w:r>
        <w:rPr>
          <w:b/>
        </w:rPr>
        <w:t xml:space="preserve">zákon</w:t>
      </w:r>
      <w:r>
        <w:t xml:space="preserve">,</w:t>
      </w:r>
    </w:p>
    <w:p>
      <w:pPr>
        <w:pStyle w:val="Compact"/>
        <w:numPr>
          <w:numId w:val="1009"/>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Heading4"/>
      </w:pPr>
      <w:bookmarkStart w:id="33" w:name="vyhlášky"/>
      <w:bookmarkEnd w:id="33"/>
      <w:r>
        <w:t xml:space="preserve">Vyhlášky</w:t>
      </w:r>
    </w:p>
    <w:p>
      <w:pPr>
        <w:pStyle w:val="FirstParagraph"/>
      </w:pPr>
      <w:r>
        <w:t xml:space="preserve">Není je třeba znát, důležité je vědět, že určité zákony mají prováděcí vyhlášku, která stanovuje, jak se mají provést.</w:t>
      </w:r>
    </w:p>
    <w:p>
      <w:pPr>
        <w:pStyle w:val="Heading4"/>
      </w:pPr>
      <w:bookmarkStart w:id="34" w:name="zákony"/>
      <w:bookmarkEnd w:id="34"/>
      <w:r>
        <w:t xml:space="preserve">Zákony</w:t>
      </w:r>
    </w:p>
    <w:p>
      <w:pPr>
        <w:pStyle w:val="Compact"/>
        <w:numPr>
          <w:numId w:val="1010"/>
          <w:ilvl w:val="0"/>
        </w:numPr>
      </w:pPr>
      <w:r>
        <w:t xml:space="preserve">280/2009 Sb. daňový řád,</w:t>
      </w:r>
    </w:p>
    <w:p>
      <w:pPr>
        <w:pStyle w:val="Compact"/>
        <w:numPr>
          <w:numId w:val="1010"/>
          <w:ilvl w:val="0"/>
        </w:numPr>
      </w:pPr>
      <w:r>
        <w:t xml:space="preserve">353/2003 Sb. zákon o spotřebních daních,</w:t>
      </w:r>
    </w:p>
    <w:p>
      <w:pPr>
        <w:pStyle w:val="Compact"/>
        <w:numPr>
          <w:numId w:val="1010"/>
          <w:ilvl w:val="0"/>
        </w:numPr>
      </w:pPr>
      <w:r>
        <w:t xml:space="preserve">235/2004 Sb. zákon o dani z přidané hodnoty,</w:t>
      </w:r>
    </w:p>
    <w:p>
      <w:pPr>
        <w:pStyle w:val="Compact"/>
        <w:numPr>
          <w:numId w:val="1010"/>
          <w:ilvl w:val="0"/>
        </w:numPr>
      </w:pPr>
      <w:r>
        <w:t xml:space="preserve">523/1992 Sb. zákon o daňovém poradenství a komoře daňových poradců ČR,</w:t>
      </w:r>
    </w:p>
    <w:p>
      <w:pPr>
        <w:pStyle w:val="Compact"/>
        <w:numPr>
          <w:numId w:val="1010"/>
          <w:ilvl w:val="0"/>
        </w:numPr>
      </w:pPr>
      <w:r>
        <w:t xml:space="preserve">243/2000 Sb. zákon o rozpočtovém určení daní,</w:t>
      </w:r>
    </w:p>
    <w:p>
      <w:pPr>
        <w:pStyle w:val="Compact"/>
        <w:numPr>
          <w:numId w:val="1010"/>
          <w:ilvl w:val="0"/>
        </w:numPr>
      </w:pPr>
      <w:r>
        <w:t xml:space="preserve">586/1992 Sb. zákon o daních z příjmu,</w:t>
      </w:r>
    </w:p>
    <w:p>
      <w:pPr>
        <w:pStyle w:val="Compact"/>
        <w:numPr>
          <w:numId w:val="1010"/>
          <w:ilvl w:val="0"/>
        </w:numPr>
      </w:pPr>
      <w:r>
        <w:t xml:space="preserve">338/1992 Sb. zákon o dani z nemovitých věcí,</w:t>
      </w:r>
    </w:p>
    <w:p>
      <w:pPr>
        <w:pStyle w:val="Compact"/>
        <w:numPr>
          <w:numId w:val="1010"/>
          <w:ilvl w:val="0"/>
        </w:numPr>
      </w:pPr>
      <w:r>
        <w:t xml:space="preserve">16/1993 Sb. zákon o dani silniční,</w:t>
      </w:r>
    </w:p>
    <w:p>
      <w:pPr>
        <w:pStyle w:val="Compact"/>
        <w:numPr>
          <w:numId w:val="1010"/>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0d6c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537a4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55190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2022-05-04T11:43:59Z</dcterms:created>
  <dcterms:modified xsi:type="dcterms:W3CDTF">2022-05-04T11:43:59Z</dcterms:modified>
</cp:coreProperties>
</file>