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 -</w:t>
      </w:r>
      <w:r>
        <w:t xml:space="preserve"> </w:t>
      </w:r>
      <w:r>
        <w:rPr>
          <w:b/>
        </w:rPr>
        <w:t xml:space="preserve">OK</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 -</w:t>
      </w:r>
      <w:r>
        <w:t xml:space="preserve"> </w:t>
      </w:r>
      <w:r>
        <w:rPr>
          <w:b/>
        </w:rPr>
        <w:t xml:space="preserve">OK</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 -</w:t>
      </w:r>
      <w:r>
        <w:t xml:space="preserve"> </w:t>
      </w:r>
      <w:r>
        <w:rPr>
          <w:b/>
        </w:rPr>
        <w:t xml:space="preserve">OK</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Heading3"/>
      </w:pPr>
      <w:bookmarkStart w:id="81" w:name="otázky"/>
      <w:bookmarkEnd w:id="81"/>
      <w:r>
        <w:t xml:space="preserve">Otázky</w:t>
      </w:r>
    </w:p>
    <w:p>
      <w:pPr>
        <w:pStyle w:val="Compact"/>
        <w:numPr>
          <w:numId w:val="1078"/>
          <w:ilvl w:val="0"/>
        </w:numPr>
      </w:pPr>
      <w:r>
        <w:t xml:space="preserve">výdaj danová povinnost základ daně</w:t>
      </w:r>
    </w:p>
    <w:p>
      <w:pPr>
        <w:pStyle w:val="Compact"/>
        <w:numPr>
          <w:numId w:val="1078"/>
          <w:ilvl w:val="0"/>
        </w:numPr>
      </w:pPr>
      <w:r>
        <w:t xml:space="preserve">aktiva dlouhodobý hmotný majetek</w:t>
      </w:r>
    </w:p>
    <w:p>
      <w:pPr>
        <w:pStyle w:val="Compact"/>
        <w:numPr>
          <w:numId w:val="1078"/>
          <w:ilvl w:val="0"/>
        </w:numPr>
      </w:pPr>
      <w:r>
        <w:t xml:space="preserve">aktiva pasiva</w:t>
      </w:r>
    </w:p>
    <w:p>
      <w:pPr>
        <w:pStyle w:val="Compact"/>
        <w:numPr>
          <w:numId w:val="1078"/>
          <w:ilvl w:val="0"/>
        </w:numPr>
      </w:pPr>
      <w:r>
        <w:t xml:space="preserve">daňová závěrka</w:t>
      </w:r>
    </w:p>
    <w:p>
      <w:pPr>
        <w:pStyle w:val="Compact"/>
        <w:numPr>
          <w:numId w:val="1078"/>
          <w:ilvl w:val="0"/>
        </w:numPr>
      </w:pPr>
      <w:r>
        <w:t xml:space="preserve">jsou oprávky a odpisy v rozvaze, nebo kde?</w:t>
      </w:r>
    </w:p>
    <w:p>
      <w:pPr>
        <w:pStyle w:val="Heading3"/>
      </w:pPr>
      <w:bookmarkStart w:id="82" w:name="odpisy"/>
      <w:bookmarkEnd w:id="82"/>
      <w:r>
        <w:t xml:space="preserve">Odpisy</w:t>
      </w:r>
    </w:p>
    <w:p>
      <w:pPr>
        <w:pStyle w:val="Compact"/>
        <w:numPr>
          <w:numId w:val="1079"/>
          <w:ilvl w:val="0"/>
        </w:numPr>
      </w:pPr>
      <w:r>
        <w:t xml:space="preserve">daňové odpisy</w:t>
      </w:r>
    </w:p>
    <w:p>
      <w:pPr>
        <w:pStyle w:val="Compact"/>
        <w:numPr>
          <w:numId w:val="1079"/>
          <w:ilvl w:val="0"/>
        </w:numPr>
      </w:pPr>
      <w:r>
        <w:t xml:space="preserve">účetní odpisy</w:t>
      </w:r>
    </w:p>
    <w:p>
      <w:pPr>
        <w:pStyle w:val="Heading3"/>
      </w:pPr>
      <w:bookmarkStart w:id="83" w:name="účetní-odpisy"/>
      <w:bookmarkEnd w:id="83"/>
      <w:r>
        <w:t xml:space="preserve">Účetní odpisy:</w:t>
      </w:r>
    </w:p>
    <w:p>
      <w:pPr>
        <w:pStyle w:val="Compact"/>
        <w:numPr>
          <w:numId w:val="1080"/>
          <w:ilvl w:val="0"/>
        </w:numPr>
      </w:pPr>
      <w:r>
        <w:t xml:space="preserve">§ 28 zákona o účetnictví (č. 563/1991 Sb.)</w:t>
      </w:r>
    </w:p>
    <w:p>
      <w:pPr>
        <w:pStyle w:val="Compact"/>
        <w:numPr>
          <w:numId w:val="1080"/>
          <w:ilvl w:val="0"/>
        </w:numPr>
      </w:pPr>
      <w:r>
        <w:t xml:space="preserve">§ 56 vyhlášky č. 500/2002 Sb.</w:t>
      </w:r>
    </w:p>
    <w:p>
      <w:pPr>
        <w:pStyle w:val="Compact"/>
        <w:numPr>
          <w:numId w:val="1080"/>
          <w:ilvl w:val="0"/>
        </w:numPr>
      </w:pPr>
      <w:r>
        <w:t xml:space="preserve">Základní charakteristika:</w:t>
      </w:r>
    </w:p>
    <w:p>
      <w:pPr>
        <w:pStyle w:val="Compact"/>
        <w:numPr>
          <w:numId w:val="1080"/>
          <w:ilvl w:val="0"/>
        </w:numPr>
      </w:pPr>
      <w:r>
        <w:t xml:space="preserve">účelem účetních odpisů je věrný a poctivý obraz předmětu účetnictví.</w:t>
      </w:r>
    </w:p>
    <w:p>
      <w:pPr>
        <w:pStyle w:val="Compact"/>
        <w:numPr>
          <w:numId w:val="1080"/>
          <w:ilvl w:val="0"/>
        </w:numPr>
      </w:pPr>
      <w:r>
        <w:t xml:space="preserve">účetní odpisy si stanovuje účetní jednotka sama ve své interní směrnici</w:t>
      </w:r>
      <w:r>
        <w:rPr>
          <w:rStyle w:val="FootnoteReference"/>
        </w:rPr>
        <w:footnoteReference w:id="84"/>
      </w:r>
    </w:p>
    <w:p>
      <w:pPr>
        <w:pStyle w:val="Compact"/>
        <w:numPr>
          <w:numId w:val="1080"/>
          <w:ilvl w:val="0"/>
        </w:numPr>
      </w:pPr>
      <w:r>
        <w:t xml:space="preserve">jedná se tedy v podstatě pouze o věrném zobrazení stavu majetku</w:t>
      </w:r>
    </w:p>
    <w:p>
      <w:pPr>
        <w:pStyle w:val="Heading3"/>
      </w:pPr>
      <w:bookmarkStart w:id="85" w:name="daňové-odpisy"/>
      <w:bookmarkEnd w:id="85"/>
      <w:r>
        <w:t xml:space="preserve">Daňové odpisy:</w:t>
      </w:r>
    </w:p>
    <w:p>
      <w:pPr>
        <w:pStyle w:val="Compact"/>
        <w:numPr>
          <w:numId w:val="1081"/>
          <w:ilvl w:val="0"/>
        </w:numPr>
      </w:pPr>
      <w:r>
        <w:t xml:space="preserve">§ 26 - §38fa zákona o daních z příjmů (č. 586/1992 Sb., dále také jen ZDP)</w:t>
      </w:r>
    </w:p>
    <w:p>
      <w:pPr>
        <w:pStyle w:val="Compact"/>
        <w:numPr>
          <w:numId w:val="1081"/>
          <w:ilvl w:val="0"/>
        </w:numPr>
      </w:pPr>
      <w:r>
        <w:t xml:space="preserve">Základní charakteristika:</w:t>
      </w:r>
    </w:p>
    <w:p>
      <w:pPr>
        <w:pStyle w:val="Compact"/>
        <w:numPr>
          <w:numId w:val="1081"/>
          <w:ilvl w:val="0"/>
        </w:numPr>
      </w:pPr>
      <w:r>
        <w:t xml:space="preserve">účelem daňových odpisů je relativně spolehlivě určení daňového základu pro účely výpočtu daně z příjmu</w:t>
      </w:r>
    </w:p>
    <w:p>
      <w:pPr>
        <w:pStyle w:val="Compact"/>
        <w:numPr>
          <w:numId w:val="1081"/>
          <w:ilvl w:val="0"/>
        </w:numPr>
      </w:pPr>
      <w:r>
        <w:t xml:space="preserve">daňové odpisy jsou stanoveny přímo zákonem</w:t>
      </w:r>
    </w:p>
    <w:p>
      <w:pPr>
        <w:pStyle w:val="Compact"/>
        <w:numPr>
          <w:numId w:val="1081"/>
          <w:ilvl w:val="0"/>
        </w:numPr>
      </w:pPr>
      <w:r>
        <w:t xml:space="preserve">S ohledem na výše uvedený rozdílný účel pravidelně dochází k tomu, že daňové odpisy nejsou stejné jako účetní odpisy. V účetnictví se účtují účetní odpisy, daňové odpisy se zohledňují pak přímo až v daňovém přiznání.</w:t>
      </w:r>
    </w:p>
    <w:p>
      <w:pPr>
        <w:numPr>
          <w:numId w:val="1081"/>
          <w:ilvl w:val="0"/>
        </w:numPr>
      </w:pPr>
      <w:r>
        <w:t xml:space="preserve">Poznámka: pojem dlouhodobý majetek se používá v účetnictví, pojem hmotný majetek patří do daňové oblasti</w:t>
      </w:r>
      <w:r>
        <w:rPr>
          <w:rStyle w:val="FootnoteReference"/>
        </w:rPr>
        <w:footnoteReference w:id="86"/>
      </w:r>
      <w:r>
        <w:t xml:space="preserve">.</w:t>
      </w:r>
    </w:p>
    <w:p>
      <w:pPr>
        <w:pStyle w:val="Compact"/>
        <w:numPr>
          <w:numId w:val="1081"/>
          <w:ilvl w:val="0"/>
        </w:numPr>
      </w:pPr>
      <w:r>
        <w:t xml:space="preserve">Odpisuje se hmotný majetek</w:t>
      </w:r>
    </w:p>
    <w:p>
      <w:pPr>
        <w:pStyle w:val="Compact"/>
        <w:numPr>
          <w:numId w:val="1081"/>
          <w:ilvl w:val="0"/>
        </w:numPr>
      </w:pPr>
      <w:r>
        <w:t xml:space="preserve">Pojem hmotného majetku - viz § 26/2 ZDP zejména:</w:t>
      </w:r>
    </w:p>
    <w:p>
      <w:pPr>
        <w:pStyle w:val="Compact"/>
        <w:numPr>
          <w:numId w:val="1082"/>
          <w:ilvl w:val="1"/>
        </w:numPr>
      </w:pPr>
      <w:r>
        <w:t xml:space="preserve">samostatné movité věci, se vstupní cenou vyšší než 80.000 Kč</w:t>
      </w:r>
    </w:p>
    <w:p>
      <w:pPr>
        <w:pStyle w:val="Compact"/>
        <w:numPr>
          <w:numId w:val="1082"/>
          <w:ilvl w:val="1"/>
        </w:numPr>
      </w:pPr>
      <w:r>
        <w:t xml:space="preserve">budovy, jednotky a stavby</w:t>
      </w:r>
    </w:p>
    <w:p>
      <w:pPr>
        <w:pStyle w:val="Compact"/>
        <w:numPr>
          <w:numId w:val="1082"/>
          <w:ilvl w:val="1"/>
        </w:numPr>
      </w:pPr>
      <w:r>
        <w:t xml:space="preserve">pěstitelské celky trvalých porostů</w:t>
      </w:r>
    </w:p>
    <w:p>
      <w:pPr>
        <w:pStyle w:val="Compact"/>
        <w:numPr>
          <w:numId w:val="1082"/>
          <w:ilvl w:val="1"/>
        </w:numPr>
      </w:pPr>
      <w:r>
        <w:t xml:space="preserve">jiný majetek:</w:t>
      </w:r>
    </w:p>
    <w:p>
      <w:pPr>
        <w:pStyle w:val="Compact"/>
        <w:numPr>
          <w:numId w:val="1082"/>
          <w:ilvl w:val="1"/>
        </w:numPr>
      </w:pPr>
      <w:r>
        <w:t xml:space="preserve">technické zhodnocení, pokud nezvyšuje vstupní cenu (viz § 33 ZDP):</w:t>
      </w:r>
    </w:p>
    <w:p>
      <w:pPr>
        <w:pStyle w:val="Compact"/>
        <w:numPr>
          <w:numId w:val="1082"/>
          <w:ilvl w:val="1"/>
        </w:numPr>
      </w:pPr>
      <w:r>
        <w:t xml:space="preserve">výdaje na dokončené nástavby, přístavby a stavební úpravy</w:t>
      </w:r>
    </w:p>
    <w:p>
      <w:pPr>
        <w:pStyle w:val="Compact"/>
        <w:numPr>
          <w:numId w:val="1082"/>
          <w:ilvl w:val="1"/>
        </w:numPr>
      </w:pPr>
      <w:r>
        <w:t xml:space="preserve">rekonstrukce majetku ( = zásahy do majetku, které mají za následek změnu jeho účelu nebo technických parametrů)</w:t>
      </w:r>
    </w:p>
    <w:p>
      <w:pPr>
        <w:pStyle w:val="Compact"/>
        <w:numPr>
          <w:numId w:val="1082"/>
          <w:ilvl w:val="1"/>
        </w:numPr>
      </w:pPr>
      <w:r>
        <w:t xml:space="preserve">modernizace majetku ( = rozšíření vybavenosti nebo použitelnosti majetku).</w:t>
      </w:r>
    </w:p>
    <w:p>
      <w:pPr>
        <w:pStyle w:val="Compact"/>
        <w:numPr>
          <w:numId w:val="1082"/>
          <w:ilvl w:val="1"/>
        </w:numPr>
      </w:pPr>
      <w:r>
        <w:t xml:space="preserve">právo stavby (dle § 1240 a násl. občanského zákoníku) (u poplatníka, který nevede účetnictví)</w:t>
      </w:r>
    </w:p>
    <w:p>
      <w:pPr>
        <w:pStyle w:val="Compact"/>
        <w:numPr>
          <w:numId w:val="1081"/>
          <w:ilvl w:val="0"/>
        </w:numPr>
      </w:pPr>
      <w:r>
        <w:t xml:space="preserve">Hmotným majetkem pro účely tohoto zákona nejsou zásoby, tedy :</w:t>
      </w:r>
    </w:p>
    <w:p>
      <w:pPr>
        <w:pStyle w:val="Compact"/>
        <w:numPr>
          <w:numId w:val="1081"/>
          <w:ilvl w:val="0"/>
        </w:numPr>
      </w:pPr>
      <w:r>
        <w:t xml:space="preserve">zboží zakoupené za účelem dalšího prodeje</w:t>
      </w:r>
    </w:p>
    <w:p>
      <w:pPr>
        <w:pStyle w:val="Compact"/>
        <w:numPr>
          <w:numId w:val="1081"/>
          <w:ilvl w:val="0"/>
        </w:numPr>
      </w:pPr>
      <w:r>
        <w:t xml:space="preserve">materiál určený k výrobě výrobků nebo jiné spotřebě,</w:t>
      </w:r>
    </w:p>
    <w:p>
      <w:pPr>
        <w:pStyle w:val="Compact"/>
        <w:numPr>
          <w:numId w:val="1081"/>
          <w:ilvl w:val="0"/>
        </w:numPr>
      </w:pPr>
      <w:r>
        <w:t xml:space="preserve">rozpracovaná výroba včetně polotovarů a</w:t>
      </w:r>
    </w:p>
    <w:p>
      <w:pPr>
        <w:numPr>
          <w:numId w:val="1081"/>
          <w:ilvl w:val="0"/>
        </w:numPr>
      </w:pPr>
      <w:r>
        <w:t xml:space="preserve">vlastní výrobky určené jednorázově k prodeji</w:t>
      </w:r>
    </w:p>
    <w:p>
      <w:pPr>
        <w:numPr>
          <w:numId w:val="1081"/>
          <w:ilvl w:val="0"/>
        </w:numPr>
      </w:pPr>
      <w:r>
        <w:t xml:space="preserve">Odepisovaným hmotným majetkem nejsou pozemky - tj. pozemky se neodepisují (odepisovat lze pouze stavby zřízené na pozemku nebo právo stavby).</w:t>
      </w:r>
    </w:p>
    <w:p>
      <w:pPr>
        <w:pStyle w:val="Compact"/>
        <w:numPr>
          <w:numId w:val="1081"/>
          <w:ilvl w:val="0"/>
        </w:numPr>
      </w:pPr>
      <w:r>
        <w:t xml:space="preserve">Uvedení do stavu způsobilého obvyklému užívání</w:t>
      </w:r>
    </w:p>
    <w:p>
      <w:pPr>
        <w:pStyle w:val="Compact"/>
        <w:numPr>
          <w:numId w:val="1081"/>
          <w:ilvl w:val="0"/>
        </w:numPr>
      </w:pPr>
      <w:r>
        <w:t xml:space="preserve">Odpisováním se pro účely tohoto zákona rozumí:</w:t>
      </w:r>
    </w:p>
    <w:p>
      <w:pPr>
        <w:pStyle w:val="Compact"/>
        <w:numPr>
          <w:numId w:val="1083"/>
          <w:ilvl w:val="1"/>
        </w:numPr>
      </w:pPr>
      <w:r>
        <w:t xml:space="preserve">zahrnování odpisů z hmotného majetku do výdajů (nákladů) k zajištění tohoto příjmu.</w:t>
      </w:r>
    </w:p>
    <w:p>
      <w:pPr>
        <w:pStyle w:val="Compact"/>
        <w:numPr>
          <w:numId w:val="1081"/>
          <w:ilvl w:val="0"/>
        </w:numPr>
      </w:pPr>
      <w:r>
        <w:t xml:space="preserve">Odpisování lze zahájit po uvedení pořizované věci do stavu způsobilého obvyklému užívání.</w:t>
      </w:r>
    </w:p>
    <w:p>
      <w:pPr>
        <w:pStyle w:val="Compact"/>
        <w:numPr>
          <w:numId w:val="1084"/>
          <w:ilvl w:val="1"/>
        </w:numPr>
      </w:pPr>
      <w:r>
        <w:t xml:space="preserve">Uvedení pořizované věci do stavu způsobilého obvyklému užívání = :</w:t>
      </w:r>
    </w:p>
    <w:p>
      <w:pPr>
        <w:pStyle w:val="Compact"/>
        <w:numPr>
          <w:numId w:val="1084"/>
          <w:ilvl w:val="1"/>
        </w:numPr>
      </w:pPr>
      <w:r>
        <w:t xml:space="preserve">dokončení věci a</w:t>
      </w:r>
    </w:p>
    <w:p>
      <w:pPr>
        <w:pStyle w:val="Compact"/>
        <w:numPr>
          <w:numId w:val="1084"/>
          <w:ilvl w:val="1"/>
        </w:numPr>
      </w:pPr>
      <w:r>
        <w:t xml:space="preserve">splnění technických funkcí a povinností stanovených zvláštními právními předpisy pro užívání</w:t>
      </w:r>
    </w:p>
    <w:p>
      <w:pPr>
        <w:pStyle w:val="Compact"/>
        <w:numPr>
          <w:numId w:val="1081"/>
          <w:ilvl w:val="0"/>
        </w:numPr>
      </w:pPr>
      <w:r>
        <w:t xml:space="preserve">Hmotný majetek odepisuje vlastník</w:t>
      </w:r>
    </w:p>
    <w:p>
      <w:pPr>
        <w:pStyle w:val="Compact"/>
        <w:numPr>
          <w:numId w:val="1081"/>
          <w:ilvl w:val="0"/>
        </w:numPr>
      </w:pPr>
      <w:r>
        <w:t xml:space="preserve">§ 28 ZDP</w:t>
      </w:r>
    </w:p>
    <w:p>
      <w:pPr>
        <w:pStyle w:val="Compact"/>
        <w:numPr>
          <w:numId w:val="1085"/>
          <w:ilvl w:val="1"/>
        </w:numPr>
      </w:pPr>
      <w:r>
        <w:t xml:space="preserve">Hmotný majetek odepisuje zásadně takový poplatník, který má k němu vlastnické právo.</w:t>
      </w:r>
    </w:p>
    <w:p>
      <w:pPr>
        <w:pStyle w:val="Compact"/>
        <w:numPr>
          <w:numId w:val="1085"/>
          <w:ilvl w:val="1"/>
        </w:numPr>
      </w:pPr>
      <w:r>
        <w:t xml:space="preserve">Z této zásady existuje řada výjimek, zejména:</w:t>
      </w:r>
    </w:p>
    <w:p>
      <w:pPr>
        <w:pStyle w:val="Compact"/>
        <w:numPr>
          <w:numId w:val="1085"/>
          <w:ilvl w:val="1"/>
        </w:numPr>
      </w:pPr>
      <w:r>
        <w:t xml:space="preserve">Technické zhodnocení pronajatého hmotného majetku, je-li hrazeno nájemcem, může na základě písemné smlouvy odepisovat nájemce, pokud není vstupní cenách u majitele hmotného majetku zvýšena o tyto výdaje</w:t>
      </w:r>
    </w:p>
    <w:p>
      <w:pPr>
        <w:pStyle w:val="Compact"/>
        <w:numPr>
          <w:numId w:val="1081"/>
          <w:ilvl w:val="0"/>
        </w:numPr>
      </w:pPr>
      <w:r>
        <w:t xml:space="preserve">Odpisování se provádí ze vstupní ceny</w:t>
      </w:r>
    </w:p>
    <w:p>
      <w:pPr>
        <w:pStyle w:val="Compact"/>
        <w:numPr>
          <w:numId w:val="1081"/>
          <w:ilvl w:val="0"/>
        </w:numPr>
      </w:pPr>
      <w:r>
        <w:t xml:space="preserve">§ 29 ZDP</w:t>
      </w:r>
    </w:p>
    <w:p>
      <w:pPr>
        <w:pStyle w:val="Compact"/>
        <w:numPr>
          <w:numId w:val="1086"/>
          <w:ilvl w:val="1"/>
        </w:numPr>
      </w:pPr>
      <w:r>
        <w:t xml:space="preserve">Pokud je majetek pořízen úplatně, vstupní cenou hmotného majetku se rozumí pořizovací cena (cena pořízení + náklady související s pořízením).</w:t>
      </w:r>
    </w:p>
    <w:p>
      <w:pPr>
        <w:pStyle w:val="Compact"/>
        <w:numPr>
          <w:numId w:val="1086"/>
          <w:ilvl w:val="1"/>
        </w:numPr>
      </w:pPr>
      <w:r>
        <w:t xml:space="preserve">Pokud byl nemovitý majetek úplatně pořízen fyzickou osobou dříve než 5 let před jeho vložením do obchodního majetku, vstupní cenou hmotného majetku se rozumí reprodukční pořizovací cena (tj. cena určená podle zákona oceňování majetku)</w:t>
      </w:r>
    </w:p>
    <w:p>
      <w:pPr>
        <w:pStyle w:val="Compact"/>
        <w:numPr>
          <w:numId w:val="1086"/>
          <w:ilvl w:val="1"/>
        </w:numPr>
      </w:pPr>
      <w:r>
        <w:t xml:space="preserve">Pokud byl movitý majetek úplatně pořízen fyzickou osobou dříve než 1 rok před jeho vložením do obchodního majetku, vstupní cenou hmotného majetku se rozumí reprodukční pořizovací cena (tj. cena určená podle zákona oceňování majetku)</w:t>
      </w:r>
    </w:p>
    <w:p>
      <w:pPr>
        <w:numPr>
          <w:numId w:val="1081"/>
          <w:ilvl w:val="0"/>
        </w:numPr>
      </w:pPr>
      <w:r>
        <w:t xml:space="preserve">Pokud je majetek vyroben ve vlastní režii, vstupní cenou hmotného majetku se rozumí vlastní náklady (přímé náklady vynaložené na výrobu, případně i přiřaditelné nepřímé náklady)</w:t>
      </w:r>
    </w:p>
    <w:p>
      <w:pPr>
        <w:numPr>
          <w:numId w:val="1081"/>
          <w:ilvl w:val="0"/>
        </w:numPr>
      </w:pPr>
      <w:r>
        <w:t xml:space="preserve">Pokud byl majetek nabyt bezúplatně (například darem), vstupní cenou hmotného majetku se rozumí cena určená ke dni nabytí podle zákona oceňování majetku.</w:t>
      </w:r>
    </w:p>
    <w:p>
      <w:pPr>
        <w:pStyle w:val="Compact"/>
        <w:numPr>
          <w:numId w:val="1081"/>
          <w:ilvl w:val="0"/>
        </w:numPr>
      </w:pPr>
      <w:r>
        <w:t xml:space="preserve">Odpisové skupiny</w:t>
      </w:r>
    </w:p>
    <w:p>
      <w:pPr>
        <w:pStyle w:val="Compact"/>
        <w:numPr>
          <w:numId w:val="1081"/>
          <w:ilvl w:val="0"/>
        </w:numPr>
      </w:pPr>
      <w:r>
        <w:t xml:space="preserve">§ 30 ZDP</w:t>
      </w:r>
    </w:p>
    <w:p>
      <w:pPr>
        <w:pStyle w:val="Compact"/>
        <w:numPr>
          <w:numId w:val="1087"/>
          <w:ilvl w:val="1"/>
        </w:numPr>
      </w:pPr>
      <w:r>
        <w:t xml:space="preserve">Pro účely odepisování se hmotný majetek v prvním roce odepisování zařídí do odpisových skupiny.</w:t>
      </w:r>
    </w:p>
    <w:p>
      <w:pPr>
        <w:pStyle w:val="Compact"/>
        <w:numPr>
          <w:numId w:val="1087"/>
          <w:ilvl w:val="1"/>
        </w:numPr>
      </w:pPr>
      <w:r>
        <w:t xml:space="preserve">Existuje 6 odpisových skupin, které se od sebe liší dobou odpisování. Pro účely určení odpisové skupiny se uplatní přílohač. 1 k zákonu o daních z příjmů.</w:t>
      </w:r>
    </w:p>
    <w:p>
      <w:pPr>
        <w:pStyle w:val="Compact"/>
        <w:numPr>
          <w:numId w:val="1087"/>
          <w:ilvl w:val="1"/>
        </w:numPr>
      </w:pPr>
      <w:r>
        <w:t xml:space="preserve">Příklady odpisových skupin:</w:t>
      </w:r>
    </w:p>
    <w:p>
      <w:pPr>
        <w:pStyle w:val="Compact"/>
        <w:numPr>
          <w:numId w:val="1087"/>
          <w:ilvl w:val="1"/>
        </w:numPr>
      </w:pPr>
      <w:r>
        <w:t xml:space="preserve">počítač: 1. skupina (doba odpisování 3 roky)</w:t>
      </w:r>
    </w:p>
    <w:p>
      <w:pPr>
        <w:pStyle w:val="Compact"/>
        <w:numPr>
          <w:numId w:val="1087"/>
          <w:ilvl w:val="1"/>
        </w:numPr>
      </w:pPr>
      <w:r>
        <w:t xml:space="preserve">osobní automobil: 2. skupina (doba odpisování 5 let)</w:t>
      </w:r>
    </w:p>
    <w:p>
      <w:pPr>
        <w:pStyle w:val="Compact"/>
        <w:numPr>
          <w:numId w:val="1087"/>
          <w:ilvl w:val="1"/>
        </w:numPr>
      </w:pPr>
      <w:r>
        <w:t xml:space="preserve">většina budov: 5. skupina (doba odpisování 30 let)</w:t>
      </w:r>
    </w:p>
    <w:p>
      <w:pPr>
        <w:pStyle w:val="Compact"/>
        <w:numPr>
          <w:numId w:val="1081"/>
          <w:ilvl w:val="0"/>
        </w:numPr>
      </w:pPr>
      <w:r>
        <w:t xml:space="preserve">Platí (celkem logicky) zásada, že hmotný majetek se odepisuje nejvýše do jeho vstupní ceny.</w:t>
      </w:r>
    </w:p>
    <w:p>
      <w:pPr>
        <w:numPr>
          <w:numId w:val="1081"/>
          <w:ilvl w:val="0"/>
        </w:numPr>
      </w:pPr>
      <w:r>
        <w:t xml:space="preserve">Maximální doba odepisování záleží na odpisové skupině</w:t>
      </w:r>
      <w:r>
        <w:rPr>
          <w:rStyle w:val="FootnoteReference"/>
        </w:rPr>
        <w:footnoteReference w:id="87"/>
      </w:r>
      <w:r>
        <w:t xml:space="preserve">.</w:t>
      </w:r>
    </w:p>
    <w:p>
      <w:pPr>
        <w:pStyle w:val="Compact"/>
        <w:numPr>
          <w:numId w:val="1081"/>
          <w:ilvl w:val="0"/>
        </w:numPr>
      </w:pPr>
      <w:r>
        <w:t xml:space="preserve">Rovnoměrné nebo zrychlené odpisování</w:t>
      </w:r>
    </w:p>
    <w:p>
      <w:pPr>
        <w:pStyle w:val="Compact"/>
        <w:numPr>
          <w:numId w:val="1081"/>
          <w:ilvl w:val="0"/>
        </w:numPr>
      </w:pPr>
      <w:r>
        <w:t xml:space="preserve">Na počátku odepisování každého hmotného majetku má poplatník právo volby vybrat odpisování rovnoměrné nebo zrychlené.</w:t>
      </w:r>
    </w:p>
    <w:p>
      <w:pPr>
        <w:pStyle w:val="Compact"/>
        <w:numPr>
          <w:numId w:val="1081"/>
          <w:ilvl w:val="0"/>
        </w:numPr>
      </w:pPr>
      <w:r>
        <w:t xml:space="preserve">Rovnoměrné odpisování je upraveno v § 31 ZDP, zrychlené pak v § 32 ZDP.</w:t>
      </w:r>
    </w:p>
    <w:p>
      <w:pPr>
        <w:pStyle w:val="Compact"/>
        <w:numPr>
          <w:numId w:val="1081"/>
          <w:ilvl w:val="0"/>
        </w:numPr>
      </w:pPr>
      <w:r>
        <w:t xml:space="preserve">V obou případech se odepisuje po stejnou celkovou dobu, v případě odpisování zrychleného pouze dochází k tomu, že v prvních letech se odepisuje vyšší než poměrná část, aby pak v závěrečných letech se naopak odepisovalo méně.</w:t>
      </w:r>
    </w:p>
    <w:p>
      <w:pPr>
        <w:pStyle w:val="Compact"/>
        <w:numPr>
          <w:numId w:val="1088"/>
          <w:ilvl w:val="1"/>
        </w:numPr>
      </w:pPr>
      <w:r>
        <w:t xml:space="preserve">Zrychlené odpisování je počítáno na základě definovaných koeficientů pro jednotlivé odpisové skupiny.</w:t>
      </w:r>
    </w:p>
    <w:p>
      <w:pPr>
        <w:pStyle w:val="Heading2"/>
      </w:pPr>
      <w:bookmarkStart w:id="88" w:name="náklady-výdaje-na-dosažení-udržení-nebo-zajištění-příjmu"/>
      <w:bookmarkEnd w:id="88"/>
      <w:r>
        <w:t xml:space="preserve">8. Náklady (výdaje) na dosažení, udržení nebo zajištění příjmu</w:t>
      </w:r>
    </w:p>
    <w:p>
      <w:pPr>
        <w:pStyle w:val="Heading3"/>
      </w:pPr>
      <w:bookmarkStart w:id="89" w:name="daňová-uznatelnost-výdajů"/>
      <w:bookmarkEnd w:id="89"/>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89"/>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89"/>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90"/>
      </w:r>
      <w:r>
        <w:t xml:space="preserve">.</w:t>
      </w:r>
    </w:p>
    <w:p>
      <w:pPr>
        <w:pStyle w:val="Compact"/>
        <w:numPr>
          <w:numId w:val="1089"/>
          <w:ilvl w:val="0"/>
        </w:numPr>
      </w:pPr>
      <w:r>
        <w:t xml:space="preserve">Za výdaje snižující daňový základ poplatníka lze uznat takové výdaje, které poplatník:</w:t>
      </w:r>
    </w:p>
    <w:p>
      <w:pPr>
        <w:pStyle w:val="Compact"/>
        <w:numPr>
          <w:numId w:val="1090"/>
          <w:ilvl w:val="1"/>
        </w:numPr>
      </w:pPr>
      <w:r>
        <w:t xml:space="preserve">skutečně vynaložil,</w:t>
      </w:r>
    </w:p>
    <w:p>
      <w:pPr>
        <w:pStyle w:val="Compact"/>
        <w:numPr>
          <w:numId w:val="1091"/>
          <w:ilvl w:val="1"/>
        </w:numPr>
      </w:pPr>
      <w:r>
        <w:t xml:space="preserve">vynaložil v souvislosti se získáním zdanitelných příjmů,</w:t>
      </w:r>
    </w:p>
    <w:p>
      <w:pPr>
        <w:pStyle w:val="Compact"/>
        <w:numPr>
          <w:numId w:val="1092"/>
          <w:ilvl w:val="1"/>
        </w:numPr>
      </w:pPr>
      <w:r>
        <w:t xml:space="preserve">vynaložil v daném zdaňovacím období</w:t>
      </w:r>
    </w:p>
    <w:p>
      <w:pPr>
        <w:pStyle w:val="Compact"/>
        <w:numPr>
          <w:numId w:val="1093"/>
          <w:ilvl w:val="1"/>
        </w:numPr>
      </w:pPr>
      <w:r>
        <w:t xml:space="preserve">o nichž tak stanoví zákon</w:t>
      </w:r>
    </w:p>
    <w:p>
      <w:pPr>
        <w:pStyle w:val="Compact"/>
        <w:numPr>
          <w:numId w:val="1089"/>
          <w:ilvl w:val="0"/>
        </w:numPr>
      </w:pPr>
      <w:r>
        <w:t xml:space="preserve">Daňová uznatelnost výdajů</w:t>
      </w:r>
    </w:p>
    <w:p>
      <w:pPr>
        <w:pStyle w:val="Compact"/>
        <w:numPr>
          <w:numId w:val="1089"/>
          <w:ilvl w:val="0"/>
        </w:numPr>
      </w:pPr>
      <w:r>
        <w:t xml:space="preserve">V § 24 odst. 1 zákona o daních z příjmů ‐ obecný rámec pro daňovou uznatelnost výdajů.</w:t>
      </w:r>
    </w:p>
    <w:p>
      <w:pPr>
        <w:pStyle w:val="Compact"/>
        <w:numPr>
          <w:numId w:val="1094"/>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89"/>
          <w:ilvl w:val="0"/>
        </w:numPr>
      </w:pPr>
      <w:r>
        <w:t xml:space="preserve">Některé výdaje upravuje konkrétněji §24 odst. 2 zákona o daních z příjmů</w:t>
      </w:r>
    </w:p>
    <w:p>
      <w:pPr>
        <w:pStyle w:val="Heading3"/>
      </w:pPr>
      <w:bookmarkStart w:id="91" w:name="daňově-neuznatelné-výdaje"/>
      <w:bookmarkEnd w:id="91"/>
      <w:r>
        <w:t xml:space="preserve">Daňově neuznatelné výdaje</w:t>
      </w:r>
    </w:p>
    <w:p>
      <w:pPr>
        <w:pStyle w:val="Compact"/>
        <w:numPr>
          <w:numId w:val="1095"/>
          <w:ilvl w:val="0"/>
        </w:numPr>
      </w:pPr>
      <w:r>
        <w:t xml:space="preserve">Především §25 zákona o daních z příjmů</w:t>
      </w:r>
    </w:p>
    <w:p>
      <w:pPr>
        <w:pStyle w:val="Compact"/>
        <w:numPr>
          <w:numId w:val="1095"/>
          <w:ilvl w:val="0"/>
        </w:numPr>
      </w:pPr>
      <w:r>
        <w:t xml:space="preserve">Např.</w:t>
      </w:r>
    </w:p>
    <w:p>
      <w:pPr>
        <w:pStyle w:val="Compact"/>
        <w:numPr>
          <w:numId w:val="1095"/>
          <w:ilvl w:val="0"/>
        </w:numPr>
      </w:pPr>
      <w:r>
        <w:t xml:space="preserve">výdaje na reprezentaci,</w:t>
      </w:r>
    </w:p>
    <w:p>
      <w:pPr>
        <w:pStyle w:val="Compact"/>
        <w:numPr>
          <w:numId w:val="1095"/>
          <w:ilvl w:val="0"/>
        </w:numPr>
      </w:pPr>
      <w:r>
        <w:t xml:space="preserve">pokuty od státu,</w:t>
      </w:r>
    </w:p>
    <w:p>
      <w:pPr>
        <w:pStyle w:val="Compact"/>
        <w:numPr>
          <w:numId w:val="1095"/>
          <w:ilvl w:val="0"/>
        </w:numPr>
      </w:pPr>
      <w:r>
        <w:t xml:space="preserve">nadlimitní úroky,</w:t>
      </w:r>
    </w:p>
    <w:p>
      <w:pPr>
        <w:pStyle w:val="Compact"/>
        <w:numPr>
          <w:numId w:val="1095"/>
          <w:ilvl w:val="0"/>
        </w:numPr>
      </w:pPr>
      <w:r>
        <w:t xml:space="preserve">podíly na zisku,</w:t>
      </w:r>
    </w:p>
    <w:p>
      <w:pPr>
        <w:pStyle w:val="Compact"/>
        <w:numPr>
          <w:numId w:val="1095"/>
          <w:ilvl w:val="0"/>
        </w:numPr>
      </w:pPr>
      <w:r>
        <w:t xml:space="preserve">manka a škody nad výši náhrad za ně,</w:t>
      </w:r>
    </w:p>
    <w:p>
      <w:pPr>
        <w:pStyle w:val="Compact"/>
        <w:numPr>
          <w:numId w:val="1095"/>
          <w:ilvl w:val="0"/>
        </w:numPr>
      </w:pPr>
      <w:r>
        <w:t xml:space="preserve">výdaje pro osobní potřebu apod.</w:t>
      </w:r>
    </w:p>
    <w:p>
      <w:pPr>
        <w:pStyle w:val="Heading3"/>
      </w:pPr>
      <w:bookmarkStart w:id="92" w:name="daňové-výdaje"/>
      <w:bookmarkEnd w:id="92"/>
      <w:r>
        <w:t xml:space="preserve">Daňové výdaje</w:t>
      </w:r>
    </w:p>
    <w:p>
      <w:pPr>
        <w:pStyle w:val="Compact"/>
        <w:numPr>
          <w:numId w:val="1096"/>
          <w:ilvl w:val="0"/>
        </w:numPr>
      </w:pPr>
      <w:r>
        <w:t xml:space="preserve">Některé výdaje není možno uznat plně v okamžiku jejich uhrazení, ale rozdělit na více období</w:t>
      </w:r>
    </w:p>
    <w:p>
      <w:pPr>
        <w:pStyle w:val="Compact"/>
        <w:numPr>
          <w:numId w:val="1096"/>
          <w:ilvl w:val="0"/>
        </w:numPr>
      </w:pPr>
      <w:r>
        <w:t xml:space="preserve">Pořízení hmotného a nehmotného majetku – odpisy</w:t>
      </w:r>
    </w:p>
    <w:p>
      <w:pPr>
        <w:pStyle w:val="Compact"/>
        <w:numPr>
          <w:numId w:val="1096"/>
          <w:ilvl w:val="0"/>
        </w:numPr>
      </w:pPr>
      <w:r>
        <w:t xml:space="preserve">Časové rozlišení nákladů v podvojném účetnictví</w:t>
      </w:r>
    </w:p>
    <w:p>
      <w:pPr>
        <w:pStyle w:val="Compact"/>
        <w:numPr>
          <w:numId w:val="1096"/>
          <w:ilvl w:val="0"/>
        </w:numPr>
      </w:pPr>
      <w:r>
        <w:t xml:space="preserve">Nájemné u finančního leasingu</w:t>
      </w:r>
    </w:p>
    <w:p>
      <w:pPr>
        <w:pStyle w:val="Heading3"/>
      </w:pPr>
      <w:bookmarkStart w:id="93" w:name="ekonomická-racionalita"/>
      <w:bookmarkEnd w:id="93"/>
      <w:r>
        <w:t xml:space="preserve">Ekonomická racionalita</w:t>
      </w:r>
    </w:p>
    <w:p>
      <w:pPr>
        <w:pStyle w:val="Compact"/>
        <w:numPr>
          <w:numId w:val="1097"/>
          <w:ilvl w:val="0"/>
        </w:numPr>
      </w:pPr>
      <w:r>
        <w:t xml:space="preserve">Stojí proti sobě dva pohledy:</w:t>
      </w:r>
    </w:p>
    <w:p>
      <w:pPr>
        <w:pStyle w:val="Compact"/>
        <w:numPr>
          <w:numId w:val="1098"/>
          <w:ilvl w:val="1"/>
        </w:numPr>
      </w:pPr>
      <w:r>
        <w:t xml:space="preserve">Nikdo nemůže daňový subjekt (DS) nutit k tomu, aby platil daně v maximální možné míře = právo DS vybrat si z možných zákonných řešení to nejvýhodnější</w:t>
      </w:r>
    </w:p>
    <w:p>
      <w:pPr>
        <w:pStyle w:val="Compact"/>
        <w:numPr>
          <w:numId w:val="1099"/>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94" w:name="spojené-osoby-a-ceny-mezi-nimi-sjednané-z-hlediska-daní-z-příjmů"/>
      <w:bookmarkEnd w:id="94"/>
      <w:r>
        <w:t xml:space="preserve">9. Spojené osoby a ceny mezi nimi sjednané z hlediska daní z příjmů</w:t>
      </w:r>
    </w:p>
    <w:p>
      <w:pPr>
        <w:pStyle w:val="Heading3"/>
      </w:pPr>
      <w:bookmarkStart w:id="95" w:name="spojené-osoby"/>
      <w:bookmarkEnd w:id="95"/>
      <w:r>
        <w:t xml:space="preserve">Spojené osoby</w:t>
      </w:r>
    </w:p>
    <w:p>
      <w:pPr>
        <w:pStyle w:val="Compact"/>
        <w:numPr>
          <w:numId w:val="1100"/>
          <w:ilvl w:val="0"/>
        </w:numPr>
      </w:pPr>
      <w:r>
        <w:t xml:space="preserve">Podklady k přednášce</w:t>
      </w:r>
    </w:p>
    <w:p>
      <w:pPr>
        <w:pStyle w:val="Compact"/>
        <w:numPr>
          <w:numId w:val="1100"/>
          <w:ilvl w:val="0"/>
        </w:numPr>
      </w:pPr>
      <w:r>
        <w:t xml:space="preserve">Zákon č. 435/2004 Sb., o zaměstnanosti</w:t>
      </w:r>
    </w:p>
    <w:p>
      <w:pPr>
        <w:pStyle w:val="Compact"/>
        <w:numPr>
          <w:numId w:val="1100"/>
          <w:ilvl w:val="0"/>
        </w:numPr>
      </w:pPr>
      <w:r>
        <w:t xml:space="preserve">Zákon č. 280/2009 Sb., daňový řád, zejména §92 a násl. (dokazování), § 98 a násl. (pomůcky a sjednání daně)</w:t>
      </w:r>
    </w:p>
    <w:p>
      <w:pPr>
        <w:pStyle w:val="Compact"/>
        <w:numPr>
          <w:numId w:val="1100"/>
          <w:ilvl w:val="0"/>
        </w:numPr>
      </w:pPr>
      <w:r>
        <w:t xml:space="preserve">Zákon č. 586/1992 Sb., o daních z příjmů, zejména § 6, §23/7</w:t>
      </w:r>
    </w:p>
    <w:p>
      <w:pPr>
        <w:pStyle w:val="Compact"/>
        <w:numPr>
          <w:numId w:val="1100"/>
          <w:ilvl w:val="0"/>
        </w:numPr>
      </w:pPr>
      <w:r>
        <w:t xml:space="preserve">Burda Zdeněk, Ing., Stanovení daně podle pomůcek, Wolters Kluwer 2010</w:t>
      </w:r>
    </w:p>
    <w:p>
      <w:pPr>
        <w:pStyle w:val="Compact"/>
        <w:numPr>
          <w:numId w:val="1100"/>
          <w:ilvl w:val="0"/>
        </w:numPr>
      </w:pPr>
      <w:r>
        <w:t xml:space="preserve">Baxa a kol. Daňový řád – komentář, Wolters Kluwer 2011</w:t>
      </w:r>
    </w:p>
    <w:p>
      <w:pPr>
        <w:pStyle w:val="Compact"/>
        <w:numPr>
          <w:numId w:val="1100"/>
          <w:ilvl w:val="0"/>
        </w:numPr>
      </w:pPr>
      <w:r>
        <w:t xml:space="preserve">Burda Zdeněk, Ing., „Švarcsystém“ v daňové judikatuře, Daně a právo v praxi 8/2011</w:t>
      </w:r>
    </w:p>
    <w:p>
      <w:pPr>
        <w:pStyle w:val="Compact"/>
        <w:numPr>
          <w:numId w:val="1100"/>
          <w:ilvl w:val="0"/>
        </w:numPr>
      </w:pPr>
      <w:r>
        <w:t xml:space="preserve">Burda Zdeněk, Ing., Švarcsystém II ‐ společníci, jednatelé, členové statutárních orgánů a jejich práce pro společnost v daňové judikatuře, Daně a právo v praxi 9/2011</w:t>
      </w:r>
    </w:p>
    <w:p>
      <w:pPr>
        <w:pStyle w:val="Compact"/>
        <w:numPr>
          <w:numId w:val="1100"/>
          <w:ilvl w:val="0"/>
        </w:numPr>
      </w:pPr>
      <w:r>
        <w:t xml:space="preserve">BURDA, Zdeněk, Ing., "Švarcsystém" v podmínkách roku 2012. Bulletin Komory daňových poradců České republiky, 2012, č. 2, s. 14‐16.</w:t>
      </w:r>
    </w:p>
    <w:p>
      <w:pPr>
        <w:pStyle w:val="Compact"/>
        <w:numPr>
          <w:numId w:val="1100"/>
          <w:ilvl w:val="0"/>
        </w:numPr>
      </w:pPr>
      <w:r>
        <w:t xml:space="preserve">BURDA, Zdeněk, Ing, "Švarcsystém" v roce 2014“, Bulletin Komory daňových poradců České republiky, 2012, č. 2, s. 10‐18.</w:t>
      </w:r>
    </w:p>
    <w:p>
      <w:pPr>
        <w:numPr>
          <w:numId w:val="1100"/>
          <w:ilvl w:val="0"/>
        </w:numPr>
      </w:pPr>
      <w:r>
        <w:t xml:space="preserve">BURDA, Zdeněk, Ing., Dokazování, Bulletin Komory daňových poradců České republiky, 2013, č. 4, s. 15‐22.</w:t>
      </w:r>
    </w:p>
    <w:p>
      <w:pPr>
        <w:pStyle w:val="Compact"/>
        <w:numPr>
          <w:numId w:val="1100"/>
          <w:ilvl w:val="0"/>
        </w:numPr>
      </w:pPr>
      <w:r>
        <w:rPr>
          <w:strike/>
        </w:rPr>
        <w:t xml:space="preserve">Struktura přednášky</w:t>
      </w:r>
    </w:p>
    <w:p>
      <w:pPr>
        <w:pStyle w:val="Compact"/>
        <w:numPr>
          <w:numId w:val="1100"/>
          <w:ilvl w:val="0"/>
        </w:numPr>
      </w:pPr>
      <w:r>
        <w:rPr>
          <w:strike/>
        </w:rPr>
        <w:t xml:space="preserve">Daň z příjmů – vybrané obecné otázky II (spojené osoby a ceny mezi nimi, zneužití práva)</w:t>
      </w:r>
    </w:p>
    <w:p>
      <w:pPr>
        <w:pStyle w:val="Compact"/>
        <w:numPr>
          <w:numId w:val="1100"/>
          <w:ilvl w:val="0"/>
        </w:numPr>
      </w:pPr>
      <w:r>
        <w:rPr>
          <w:strike/>
        </w:rPr>
        <w:t xml:space="preserve">Daň z příjmů fyzických osob – některé složité případy II (švarcsystém a jeho rozlišení)</w:t>
      </w:r>
    </w:p>
    <w:p>
      <w:pPr>
        <w:pStyle w:val="Compact"/>
        <w:numPr>
          <w:numId w:val="1100"/>
          <w:ilvl w:val="0"/>
        </w:numPr>
      </w:pPr>
      <w:r>
        <w:rPr>
          <w:strike/>
        </w:rPr>
        <w:t xml:space="preserve">DPH I – podvody na DPH a jak jim čelit, zneužití práva</w:t>
      </w:r>
    </w:p>
    <w:p>
      <w:pPr>
        <w:pStyle w:val="Compact"/>
        <w:numPr>
          <w:numId w:val="1100"/>
          <w:ilvl w:val="0"/>
        </w:numPr>
      </w:pPr>
      <w:r>
        <w:rPr>
          <w:strike/>
        </w:rPr>
        <w:t xml:space="preserve">DPH II – evropské a vnitrostátní právo a praktické dopady dvouúrovňového právního systému, eurokonformní výklad, přímý a nepřímý účinek evropského práva</w:t>
      </w:r>
    </w:p>
    <w:p>
      <w:pPr>
        <w:pStyle w:val="Compact"/>
        <w:numPr>
          <w:numId w:val="1100"/>
          <w:ilvl w:val="0"/>
        </w:numPr>
      </w:pPr>
      <w:r>
        <w:rPr>
          <w:strike/>
        </w:rPr>
        <w:t xml:space="preserve">Procesní otázky I – důkazní břemeno, dokazování a pomůcky, dokazování ve vybraných případech (zprostředkování, reklama, manažerské služby aj.)</w:t>
      </w:r>
    </w:p>
    <w:p>
      <w:pPr>
        <w:numPr>
          <w:numId w:val="1100"/>
          <w:ilvl w:val="0"/>
        </w:numPr>
      </w:pPr>
      <w:r>
        <w:rPr>
          <w:strike/>
        </w:rPr>
        <w:t xml:space="preserve">Judikatura soudů a její význam pro daňovou praxi</w:t>
      </w:r>
    </w:p>
    <w:p>
      <w:pPr>
        <w:numPr>
          <w:numId w:val="1100"/>
          <w:ilvl w:val="0"/>
        </w:numPr>
      </w:pPr>
      <w:r>
        <w:t xml:space="preserve">Daň z příjmů – vybrané obecné otázky II (spojené osoby a ceny mezi nimi, zneužití práva)</w:t>
      </w:r>
    </w:p>
    <w:p>
      <w:pPr>
        <w:pStyle w:val="Compact"/>
        <w:numPr>
          <w:numId w:val="1100"/>
          <w:ilvl w:val="0"/>
        </w:numPr>
      </w:pPr>
      <w:r>
        <w:t xml:space="preserve">Spojené osoby</w:t>
      </w:r>
    </w:p>
    <w:p>
      <w:pPr>
        <w:pStyle w:val="Compact"/>
        <w:numPr>
          <w:numId w:val="1100"/>
          <w:ilvl w:val="0"/>
        </w:numPr>
      </w:pPr>
      <w:r>
        <w:t xml:space="preserve">Spojenými osobami se pro účely tohoto zákona rozumí</w:t>
      </w:r>
    </w:p>
    <w:p>
      <w:pPr>
        <w:pStyle w:val="Compact"/>
        <w:numPr>
          <w:numId w:val="1102"/>
          <w:ilvl w:val="2"/>
        </w:numPr>
      </w:pPr>
      <w:r>
        <w:t xml:space="preserve">kapitálově spojené osoby, přitom</w:t>
      </w:r>
    </w:p>
    <w:p>
      <w:pPr>
        <w:pStyle w:val="Compact"/>
        <w:numPr>
          <w:numId w:val="1103"/>
          <w:ilvl w:val="2"/>
        </w:numPr>
      </w:pPr>
      <w:r>
        <w:t xml:space="preserve">jestliže se jedna osoba přímo podílí na kapitálu nebo hlasovacích právech druhé osoby, anebo se jedna osoba přímo podílí na kapitálu nebo hlasovacích právech více osob; a přitom tento podíl představuje alespoň 25 % základního kapitálu nebo 25 % hlasovacích práv těchto osob, jsou všechny tyto osoby vzájemně osobami přímo kapitálově spojenými,</w:t>
      </w:r>
    </w:p>
    <w:p>
      <w:pPr>
        <w:pStyle w:val="Compact"/>
        <w:numPr>
          <w:numId w:val="1104"/>
          <w:ilvl w:val="2"/>
        </w:numPr>
      </w:pPr>
      <w:r>
        <w:t xml:space="preserve">jestliže se jedna osoba nepřímo podílí na kapitálu nebo hlasovacích právech druhé osoby, anebo se jedna osoba přímo nebo nepřímo podílí na kapitálu nebo hlasovacích právech více osob; a přitom tento podíl představuje alespoň 25 % základního kapitálu nebo 25 % hlasovacích práv těchto osob, jsou všechny tyto osoby vzájemně osobami kapitálově spojenými,</w:t>
      </w:r>
    </w:p>
    <w:p>
      <w:pPr>
        <w:pStyle w:val="Compact"/>
        <w:numPr>
          <w:numId w:val="1105"/>
          <w:ilvl w:val="2"/>
        </w:numPr>
      </w:pPr>
      <w:r>
        <w:t xml:space="preserve">jinak spojené osoby, kterými jsou osoby</w:t>
      </w:r>
    </w:p>
    <w:p>
      <w:pPr>
        <w:pStyle w:val="Compact"/>
        <w:numPr>
          <w:numId w:val="1106"/>
          <w:ilvl w:val="2"/>
        </w:numPr>
      </w:pPr>
      <w:r>
        <w:t xml:space="preserve">kdy se jedna osoba podílí na vedení nebo kontrole jiné osoby (např. jednatel),</w:t>
      </w:r>
    </w:p>
    <w:p>
      <w:pPr>
        <w:pStyle w:val="Compact"/>
        <w:numPr>
          <w:numId w:val="1107"/>
          <w:ilvl w:val="2"/>
        </w:numPr>
      </w:pPr>
      <w:r>
        <w:t xml:space="preserve">kdy se shodné osoby nebo osoby blízké podílejí na vedení nebo kontrole jiných osob, tyto jiné osoby jsou vzájemně osobami jinak spojenými. Za jinak spojené osoby se nepovažují osoby, kdy je jedna osoba členem dozorčích rad obou osob,</w:t>
      </w:r>
    </w:p>
    <w:p>
      <w:pPr>
        <w:pStyle w:val="Compact"/>
        <w:numPr>
          <w:numId w:val="1108"/>
          <w:ilvl w:val="2"/>
        </w:numPr>
      </w:pPr>
      <w:r>
        <w:t xml:space="preserve">ovládající a ovládaná a také osoby ovládané stejnou ovládající osobou, (§74 a násl. zákona o obchodních korporacích - Ovládající osobou je osoba, která může v obchodní korporaci přímo či nepřímo uplatňovat rozhodující vliv – např. většinový společník). Ovládanou osobou je obchodní korporace ovládaná ovládající osobou)</w:t>
      </w:r>
    </w:p>
    <w:p>
      <w:pPr>
        <w:pStyle w:val="Compact"/>
        <w:numPr>
          <w:numId w:val="1109"/>
          <w:ilvl w:val="2"/>
        </w:numPr>
      </w:pPr>
      <w:r>
        <w:t xml:space="preserve">blízké, (§22 NOBCZ - Osoba blízká je příbuzný v řadě přímé, sourozenec a manžel nebo partner podle jiného zákona upravujícího registrované partnerství (dále jen „partner“); jiné osoby v poměru rodinném nebo obdobném se pokládají za osoby sobě navzájem blízké, pokud by újmu, kterou utrpěla jedna z nich, druhá důvodně pociťovala jako újmu vlastní. Má se za to, že osobami blízkými jsou i osoby sešvagřené nebo osoby, které spolu trvale žijí.</w:t>
      </w:r>
    </w:p>
    <w:p>
      <w:pPr>
        <w:pStyle w:val="Compact"/>
        <w:numPr>
          <w:numId w:val="1110"/>
          <w:ilvl w:val="2"/>
        </w:numPr>
      </w:pPr>
      <w:r>
        <w:t xml:space="preserve">které vytvořily právní vztah převážně za účelem snížení základu daně nebo zvýšení daňové ztráty.</w:t>
      </w:r>
    </w:p>
    <w:p>
      <w:pPr>
        <w:pStyle w:val="Compact"/>
        <w:numPr>
          <w:numId w:val="1100"/>
          <w:ilvl w:val="0"/>
        </w:numPr>
      </w:pPr>
      <w:r>
        <w:t xml:space="preserve">Spojené osoby</w:t>
      </w:r>
    </w:p>
    <w:p>
      <w:pPr>
        <w:pStyle w:val="Compact"/>
        <w:numPr>
          <w:numId w:val="1100"/>
          <w:ilvl w:val="0"/>
        </w:numPr>
      </w:pPr>
      <w:r>
        <w:t xml:space="preserve">Podíl na základním kapitálu nebo podíl s hlasovacím právem ve zdaňovacím období nebo období, za něž je podáváno daňové přiznání, se stanoví jako aritmetický průměr měsíčních stavů.</w:t>
      </w:r>
    </w:p>
    <w:p>
      <w:pPr>
        <w:numPr>
          <w:numId w:val="1100"/>
          <w:ilvl w:val="0"/>
        </w:numPr>
      </w:pPr>
      <w:r>
        <w:t xml:space="preserve">Účast v kontrolní komisi nebo obdobném kontrolním orgánu a provádění kontroly za úplatu se nepovažuje za podílení se na kontrole.</w:t>
      </w:r>
    </w:p>
    <w:p>
      <w:pPr>
        <w:pStyle w:val="Compact"/>
        <w:numPr>
          <w:numId w:val="1100"/>
          <w:ilvl w:val="0"/>
        </w:numPr>
      </w:pPr>
      <w:r>
        <w:t xml:space="preserve">Cena obvyklá</w:t>
      </w:r>
    </w:p>
    <w:p>
      <w:pPr>
        <w:pStyle w:val="Compact"/>
        <w:numPr>
          <w:numId w:val="1100"/>
          <w:ilvl w:val="0"/>
        </w:numPr>
      </w:pPr>
      <w:r>
        <w:t xml:space="preserve">§ 23/7 ZDP</w:t>
      </w:r>
    </w:p>
    <w:p>
      <w:pPr>
        <w:pStyle w:val="Compact"/>
        <w:numPr>
          <w:numId w:val="1112"/>
          <w:ilvl w:val="2"/>
        </w:numPr>
      </w:pPr>
      <w:r>
        <w:t xml:space="preserve">Liší-li se ceny sjednané mezi spojenými osobami od cen, které by byly sjednány mezi nespojenými osobami v běžných obchodních vztazích za stejných nebo obdobných podmínek, a není-li tento rozdíl uspokojivě doložen, upraví se základ daně poplatníka o zjištěný rozdíl. Nelze-li určit cenu, která by byla sjednávána mezi nespojenými osobami v běžných obchodních vztazích za stejných nebo obdobných podmínek, použije se cena určená podle právního předpisu upravujícího oceňování majetku. Ustanovení věty první a druhé se nepoužije v případě uzavření smlouvy o výprose nebo o výpůjčce a v případě, kdy sjednaná výše úroků z úvěrového finančního nástroje mezi spojenými osobami je nižší, než by byla cena sjednaná mezi nespojenými osobami, a věřitelem je daňový nerezident nebo člen obchodní korporace, který je daňovým rezidentem České republiky nebo poplatník daně z příjmů fyzických osob.</w:t>
      </w:r>
    </w:p>
    <w:p>
      <w:pPr>
        <w:pStyle w:val="Compact"/>
        <w:numPr>
          <w:numId w:val="1100"/>
          <w:ilvl w:val="0"/>
        </w:numPr>
      </w:pPr>
      <w:r>
        <w:t xml:space="preserve">Cena obvyklá</w:t>
      </w:r>
    </w:p>
    <w:p>
      <w:pPr>
        <w:pStyle w:val="Compact"/>
        <w:numPr>
          <w:numId w:val="1100"/>
          <w:ilvl w:val="0"/>
        </w:numPr>
      </w:pPr>
      <w:r>
        <w:t xml:space="preserve">Rozdíl „ceny obvyklé“ u DPH a daně zpříjmů (NSS 7 Afs 102/2006-132 z 10. května 2007)</w:t>
      </w:r>
    </w:p>
    <w:p>
      <w:pPr>
        <w:pStyle w:val="Compact"/>
        <w:numPr>
          <w:numId w:val="1113"/>
          <w:ilvl w:val="1"/>
        </w:numPr>
      </w:pPr>
      <w:r>
        <w:t xml:space="preserve">Oba předpisy pro stanovení ceny odkazují na zákon o oceňování majetku. Zákon o DPH v případech specifikovaných v §36a odkazuje na tento zákon přímo jako jediný způsob stanovení základu daně. Zákon o daních z příjmů však nejprve preferuje možnost zjištění „obvyklé“ ceny na trhu, v další fázi pak možnost daňového subjektu správce daně přesvědčit o důvodech „odklonu“ od běžných cen a teprve v případě, že není možno využít těchto postupů, přichází na řadu zákon o oceňování majetku. Zákon o daních z příjmů tak dává podstatně větší prostor pro vyjednávání se správcem daně než zákon o DPH.</w:t>
      </w:r>
    </w:p>
    <w:p>
      <w:pPr>
        <w:pStyle w:val="Compact"/>
        <w:numPr>
          <w:numId w:val="1100"/>
          <w:ilvl w:val="0"/>
        </w:numPr>
      </w:pPr>
      <w:r>
        <w:t xml:space="preserve">Cena obvyklá</w:t>
      </w:r>
    </w:p>
    <w:p>
      <w:pPr>
        <w:pStyle w:val="Compact"/>
        <w:numPr>
          <w:numId w:val="1100"/>
          <w:ilvl w:val="0"/>
        </w:numPr>
      </w:pPr>
      <w:r>
        <w:t xml:space="preserve">Cena obvyklá v intervalu nejčastějších cen (NSS 8 Afs 80/2007 – 105 z 31.3.2009, Sbírka NSS 7/2009 č. 1852/2009)</w:t>
      </w:r>
    </w:p>
    <w:p>
      <w:pPr>
        <w:pStyle w:val="Compact"/>
        <w:numPr>
          <w:numId w:val="1114"/>
          <w:ilvl w:val="1"/>
        </w:numPr>
      </w:pPr>
      <w:r>
        <w:t xml:space="preserve">Stanovení ceny obvyklé u nájemného.</w:t>
      </w:r>
    </w:p>
    <w:p>
      <w:pPr>
        <w:pStyle w:val="Compact"/>
        <w:numPr>
          <w:numId w:val="1114"/>
          <w:ilvl w:val="1"/>
        </w:numPr>
      </w:pPr>
      <w:r>
        <w:t xml:space="preserve">Sjednaná cena činila v případě prvé smlouvy 2.090 Kč a v případě druhé smlouvy 1.500 Kč. Správce daně provedl sedm místních šetření u jiných daňových subjektů, u kterých zjistil výše nájemného v rozpětí od 747 Kč do 2.727 Kč za 1 m2/rok; průměrná cena nájemného tedy činila 1.466 Kč za 1 m2/rok.</w:t>
      </w:r>
    </w:p>
    <w:p>
      <w:pPr>
        <w:pStyle w:val="Compact"/>
        <w:numPr>
          <w:numId w:val="1100"/>
          <w:ilvl w:val="0"/>
        </w:numPr>
      </w:pPr>
      <w:r>
        <w:t xml:space="preserve">Cena obvyklá</w:t>
      </w:r>
    </w:p>
    <w:p>
      <w:pPr>
        <w:pStyle w:val="Compact"/>
        <w:numPr>
          <w:numId w:val="1100"/>
          <w:ilvl w:val="0"/>
        </w:numPr>
      </w:pPr>
      <w:r>
        <w:t xml:space="preserve">NSS 8 Afs 80/2007 pokrač.:</w:t>
      </w:r>
    </w:p>
    <w:p>
      <w:pPr>
        <w:pStyle w:val="Compact"/>
        <w:numPr>
          <w:numId w:val="1115"/>
          <w:ilvl w:val="1"/>
        </w:numPr>
      </w:pPr>
      <w:r>
        <w:t xml:space="preserve">Správce daně jako cenu obvyklou použil aritmetický průměr zjištěných nájmů u dalších („nespojených“) subjektů. Tento postup však nebyl shledán jako správný. Jestliže se totiž ceny ostatních subjektů pohybují v určitém rozpětí, měl by správce daně případný doměrek odvozovat nikoli z rozdílu ceny sjednané průměru ostatních cen „nespojených“ subjektů, ale od ceny na horním rozpětí intervalu cen „nespojených“ subjektů.</w:t>
      </w:r>
    </w:p>
    <w:p>
      <w:pPr>
        <w:pStyle w:val="Compact"/>
        <w:numPr>
          <w:numId w:val="1100"/>
          <w:ilvl w:val="0"/>
        </w:numPr>
      </w:pPr>
      <w:r>
        <w:t xml:space="preserve">Cena obvyklá</w:t>
      </w:r>
    </w:p>
    <w:p>
      <w:pPr>
        <w:pStyle w:val="Compact"/>
        <w:numPr>
          <w:numId w:val="1100"/>
          <w:ilvl w:val="0"/>
        </w:numPr>
      </w:pPr>
      <w:r>
        <w:t xml:space="preserve">8 Afs 80/2007 – pokrač.II:</w:t>
      </w:r>
    </w:p>
    <w:p>
      <w:pPr>
        <w:pStyle w:val="Compact"/>
        <w:numPr>
          <w:numId w:val="1116"/>
          <w:ilvl w:val="1"/>
        </w:numPr>
      </w:pPr>
      <w:r>
        <w:t xml:space="preserve">Určení výše ceny nezávisí na libovůli správce daně.</w:t>
      </w:r>
    </w:p>
    <w:p>
      <w:pPr>
        <w:pStyle w:val="Compact"/>
        <w:numPr>
          <w:numId w:val="1116"/>
          <w:ilvl w:val="1"/>
        </w:numPr>
      </w:pPr>
      <w:r>
        <w:t xml:space="preserve">Je na jeho uvážení, které subjekty zahrne do vzorku pro zjištění ceny obvyklé, na druhou stranu však zvolené subjekty musí korespondovat se situací daňového subjektu (osoby blízké či jinak spojené), a své úvahy o výběru musí odůvodnit. Jsou na něj kladeny takové požadavky, aby případné zvýšení daňové povinnosti bylo zákonné a spravedlivé a jeho rozhodnutí přezkoumatelné.</w:t>
      </w:r>
    </w:p>
    <w:p>
      <w:pPr>
        <w:pStyle w:val="Compact"/>
        <w:numPr>
          <w:numId w:val="1100"/>
          <w:ilvl w:val="0"/>
        </w:numPr>
      </w:pPr>
      <w:r>
        <w:t xml:space="preserve">Cena obvyklá</w:t>
      </w:r>
    </w:p>
    <w:p>
      <w:pPr>
        <w:pStyle w:val="Compact"/>
        <w:numPr>
          <w:numId w:val="1100"/>
          <w:ilvl w:val="0"/>
        </w:numPr>
      </w:pPr>
      <w:r>
        <w:t xml:space="preserve">8 Afs 80/2007 – pokrač.III:</w:t>
      </w:r>
    </w:p>
    <w:p>
      <w:pPr>
        <w:pStyle w:val="Compact"/>
        <w:numPr>
          <w:numId w:val="1117"/>
          <w:ilvl w:val="1"/>
        </w:numPr>
      </w:pPr>
      <w:r>
        <w:t xml:space="preserve">V ideálním stavu by proto měl pro výpočet volit subjekty provozující stejnou či alespoň obdobnou podnikatelskou činnost, a to ve stejném čase a po stejně dlouhé období, v prostorách obdobného stavebně technického stavu a polohy v obci a velikost pronajímaných prostor.</w:t>
      </w:r>
    </w:p>
    <w:p>
      <w:pPr>
        <w:pStyle w:val="Compact"/>
        <w:numPr>
          <w:numId w:val="1117"/>
          <w:ilvl w:val="1"/>
        </w:numPr>
      </w:pPr>
      <w:r>
        <w:t xml:space="preserve">Dále musí zohlednit, zda jsou v ceně nájemného zahrnuty pouze prostory nebo i vybavení a služby, a nesmí opomenout ani výši nájemného, jaké určil tentýž pronajímatel v jiných případech, kdy druhou smluvní stranou není osoba blízká nebo jinak spojená. Přitom musí vybrat dostatečné množství subjektů, aby na základě jejich údajů mohl učinit dostatečně objektivní a spravedlivý závěr.</w:t>
      </w:r>
    </w:p>
    <w:p>
      <w:pPr>
        <w:pStyle w:val="Compact"/>
        <w:numPr>
          <w:numId w:val="1100"/>
          <w:ilvl w:val="0"/>
        </w:numPr>
      </w:pPr>
      <w:r>
        <w:t xml:space="preserve">Cena obvyklá</w:t>
      </w:r>
    </w:p>
    <w:p>
      <w:pPr>
        <w:pStyle w:val="Compact"/>
        <w:numPr>
          <w:numId w:val="1100"/>
          <w:ilvl w:val="0"/>
        </w:numPr>
      </w:pPr>
      <w:r>
        <w:t xml:space="preserve">8 Afs 80/2007 – pokrač. IV:</w:t>
      </w:r>
    </w:p>
    <w:p>
      <w:pPr>
        <w:pStyle w:val="Compact"/>
        <w:numPr>
          <w:numId w:val="1118"/>
          <w:ilvl w:val="1"/>
        </w:numPr>
      </w:pPr>
      <w:r>
        <w:t xml:space="preserve">Právní věta</w:t>
      </w:r>
    </w:p>
    <w:p>
      <w:pPr>
        <w:pStyle w:val="Compact"/>
        <w:numPr>
          <w:numId w:val="1118"/>
          <w:ilvl w:val="1"/>
        </w:numPr>
      </w:pPr>
      <w:r>
        <w:t xml:space="preserve">„Cenu sjednanou nezávislými osobami v běžných obchodních vztazích za stejných nebo obdobných podmínek ve smyslu § 23 odst. 7 zákona č. 586/1992 Sb., o daních z příjmů, nelze obvykle stanovit jediným číslem, ale intervalem nejčastěji realizovaných cen.“</w:t>
      </w:r>
    </w:p>
    <w:p>
      <w:pPr>
        <w:pStyle w:val="Compact"/>
        <w:numPr>
          <w:numId w:val="1100"/>
          <w:ilvl w:val="0"/>
        </w:numPr>
      </w:pPr>
      <w:r>
        <w:t xml:space="preserve">Cena obvyklá</w:t>
      </w:r>
    </w:p>
    <w:p>
      <w:pPr>
        <w:pStyle w:val="Compact"/>
        <w:numPr>
          <w:numId w:val="1100"/>
          <w:ilvl w:val="0"/>
        </w:numPr>
      </w:pPr>
      <w:r>
        <w:t xml:space="preserve">Rozdílné znalecké posudky (NSS 7 Afs 50/2010 – 60 z 1. 7. 2010, Sbírka NSS 11/2010 pod č. 2138/2010)</w:t>
      </w:r>
    </w:p>
    <w:p>
      <w:pPr>
        <w:pStyle w:val="Compact"/>
        <w:numPr>
          <w:numId w:val="1119"/>
          <w:ilvl w:val="1"/>
        </w:numPr>
      </w:pPr>
      <w:r>
        <w:t xml:space="preserve">Zveřejněné právní věty</w:t>
      </w:r>
    </w:p>
    <w:p>
      <w:pPr>
        <w:pStyle w:val="Compact"/>
        <w:numPr>
          <w:numId w:val="1119"/>
          <w:ilvl w:val="1"/>
        </w:numPr>
      </w:pPr>
      <w:r>
        <w:t xml:space="preserve">I. Stanoví-li zákon o dani z přidané hodnoty, že základ daně je určen hodnotou „ceny zjištěné podle zvláštního právního předpisu bez daně“ (§ 14 odst. 7 zákona č. 588/1992 Sb., o dani z přidané hodnoty), není v kompetenci správního orgánu podle § 31 odst. 4 zákona č. 337/1992 Sb., o správě daní a poplatků, rozhodovat, který znalecký posudek je důkazem v daňovém řízení a který nikoliv.</w:t>
      </w:r>
    </w:p>
    <w:p>
      <w:pPr>
        <w:pStyle w:val="Compact"/>
        <w:numPr>
          <w:numId w:val="1100"/>
          <w:ilvl w:val="0"/>
        </w:numPr>
      </w:pPr>
      <w:r>
        <w:t xml:space="preserve">Cena obvyklá</w:t>
      </w:r>
    </w:p>
    <w:p>
      <w:pPr>
        <w:pStyle w:val="Compact"/>
        <w:numPr>
          <w:numId w:val="1100"/>
          <w:ilvl w:val="0"/>
        </w:numPr>
      </w:pPr>
      <w:r>
        <w:t xml:space="preserve">7 Afs 50/2010 pokrač.:</w:t>
      </w:r>
    </w:p>
    <w:p>
      <w:pPr>
        <w:pStyle w:val="Compact"/>
        <w:numPr>
          <w:numId w:val="1121"/>
          <w:ilvl w:val="2"/>
        </w:numPr>
      </w:pPr>
      <w:r>
        <w:t xml:space="preserve">Má-li k téže otázce správce daně k dispozici dva rovnocenné, ale co do závěru odlišné znalecké posudky, nepřísluší mu, aby sám bez dalšího uvážil, který z nich použije pro rozhodná skutková zjištění a který nikoliv. Naopak je povinen odstranit jejich vzájemné rozpory a nesrovnalosti, a to především prostřednictvím výslechu znalce, popřípadě znalců obou. Nevedly-li by tyto výpovědi k ozřejmění vzešlých nejasností, bylo by namístě přistoupit k dalšímu znaleckému zkoumání nebo reviznímu znaleckému posouzení.</w:t>
      </w:r>
    </w:p>
    <w:p>
      <w:pPr>
        <w:pStyle w:val="Compact"/>
        <w:numPr>
          <w:numId w:val="1100"/>
          <w:ilvl w:val="0"/>
        </w:numPr>
      </w:pPr>
      <w:r>
        <w:t xml:space="preserve">Cena obvyklá</w:t>
      </w:r>
    </w:p>
    <w:p>
      <w:pPr>
        <w:pStyle w:val="Compact"/>
        <w:numPr>
          <w:numId w:val="1100"/>
          <w:ilvl w:val="0"/>
        </w:numPr>
      </w:pPr>
      <w:r>
        <w:t xml:space="preserve">Zjištění referenčních cen a důkazní břemeno správce daně (NSS čj. 7 Afs 74/2010 – 81 z 27. ledna 2011, Sbírka NSS 4/2012 pod č. 2548/2012)</w:t>
      </w:r>
    </w:p>
    <w:p>
      <w:pPr>
        <w:pStyle w:val="Compact"/>
        <w:numPr>
          <w:numId w:val="1122"/>
          <w:ilvl w:val="1"/>
        </w:numPr>
      </w:pPr>
      <w:r>
        <w:t xml:space="preserve">Správce daně musí prokázat:</w:t>
      </w:r>
    </w:p>
    <w:p>
      <w:pPr>
        <w:pStyle w:val="Compact"/>
        <w:numPr>
          <w:numId w:val="1123"/>
          <w:ilvl w:val="2"/>
        </w:numPr>
      </w:pPr>
      <w:r>
        <w:t xml:space="preserve">že jde o vzájemně spojené osoby,</w:t>
      </w:r>
    </w:p>
    <w:p>
      <w:pPr>
        <w:pStyle w:val="Compact"/>
        <w:numPr>
          <w:numId w:val="1124"/>
          <w:ilvl w:val="2"/>
        </w:numPr>
      </w:pPr>
      <w:r>
        <w:t xml:space="preserve">výši „ceny obvyklé“.</w:t>
      </w:r>
    </w:p>
    <w:p>
      <w:pPr>
        <w:pStyle w:val="Compact"/>
        <w:numPr>
          <w:numId w:val="1122"/>
          <w:ilvl w:val="1"/>
        </w:numPr>
      </w:pPr>
      <w:r>
        <w:t xml:space="preserve">Jestliže v daném případě byla vzata jako srovnatelná cena pronájmu obdobných prostor, přičemž daňový subjekt tvrdil, že jeho prostory byly v mnohem horším stavu než ty srovnávané, musí skutečnost, že tomu tak nebylo prokázat správce daně a nikoli daňový subjekt!</w:t>
      </w:r>
    </w:p>
    <w:p>
      <w:pPr>
        <w:pStyle w:val="Compact"/>
        <w:numPr>
          <w:numId w:val="1122"/>
          <w:ilvl w:val="1"/>
        </w:numPr>
      </w:pPr>
      <w:r>
        <w:t xml:space="preserve">I poté, co tuto skutečnost správce daně prokáže, je třeba dát možnost daňovému subjektu rozdíl odůvodnit, důkazní břemeno zde však již nese DS.</w:t>
      </w:r>
    </w:p>
    <w:p>
      <w:pPr>
        <w:pStyle w:val="Compact"/>
        <w:numPr>
          <w:numId w:val="1100"/>
          <w:ilvl w:val="0"/>
        </w:numPr>
      </w:pPr>
      <w:r>
        <w:t xml:space="preserve">Cena obvyklá</w:t>
      </w:r>
    </w:p>
    <w:p>
      <w:pPr>
        <w:pStyle w:val="Compact"/>
        <w:numPr>
          <w:numId w:val="1100"/>
          <w:ilvl w:val="0"/>
        </w:numPr>
      </w:pPr>
      <w:r>
        <w:t xml:space="preserve">7 Afs 74/2010 pokrač</w:t>
      </w:r>
    </w:p>
    <w:p>
      <w:pPr>
        <w:pStyle w:val="Compact"/>
        <w:numPr>
          <w:numId w:val="1125"/>
          <w:ilvl w:val="1"/>
        </w:numPr>
      </w:pPr>
      <w:r>
        <w:t xml:space="preserve">I. K prokázání, že se liší ceny sjednané mezi spojenými osobami od cen, které by byly sjednány mezi nezávislými osobami v běžných obchodních vztazích za stejných nebo obdobných podmínek (referenční ceny), musí správce daně na základě zjištění výše obou těchto cen provést mezi nimi srovnání. Důkazní břemeno ke všem skutečnostem, které jsou pro to rozhodné, nese správce daně (§ 23 odst. 7 zákona č. 586/1992 Sb., o daních z příjmů)</w:t>
      </w:r>
    </w:p>
    <w:p>
      <w:pPr>
        <w:pStyle w:val="Compact"/>
        <w:numPr>
          <w:numId w:val="1100"/>
          <w:ilvl w:val="0"/>
        </w:numPr>
      </w:pPr>
      <w:r>
        <w:t xml:space="preserve">Cena obvyklá</w:t>
      </w:r>
    </w:p>
    <w:p>
      <w:pPr>
        <w:pStyle w:val="Compact"/>
        <w:numPr>
          <w:numId w:val="1100"/>
          <w:ilvl w:val="0"/>
        </w:numPr>
      </w:pPr>
      <w:r>
        <w:t xml:space="preserve">7 Afs 74/2010 pokrač.II:</w:t>
      </w:r>
    </w:p>
    <w:p>
      <w:pPr>
        <w:pStyle w:val="Compact"/>
        <w:numPr>
          <w:numId w:val="1127"/>
          <w:ilvl w:val="2"/>
        </w:numPr>
      </w:pPr>
      <w:r>
        <w:t xml:space="preserve">Referenční cenu může správce daně určit porovnáním skutečně dosažených cen shodné nebo podobné komodity mezi reálně existujícími nezávislými subjekty nebo (zejména pro neexistenci nebo nedostupnost dat o takových cenách) jen jako hypotetický odhad opřený o logickou a racionální úvahu a ekonomickou zkušenost. Referenční cena je v podstatě simulace ceny vytvořená na základě úvahy, jakou cenu by za situace shodné se situací spojených osob tyto osoby sjednaly, nebyly-li by spojené a měly-li by mezi sebou běžné obchodní vztahy.</w:t>
      </w:r>
    </w:p>
    <w:p>
      <w:pPr>
        <w:pStyle w:val="Compact"/>
        <w:numPr>
          <w:numId w:val="1100"/>
          <w:ilvl w:val="0"/>
        </w:numPr>
      </w:pPr>
      <w:r>
        <w:t xml:space="preserve">Cena obvyklá</w:t>
      </w:r>
    </w:p>
    <w:p>
      <w:pPr>
        <w:pStyle w:val="Compact"/>
        <w:numPr>
          <w:numId w:val="1100"/>
          <w:ilvl w:val="0"/>
        </w:numPr>
      </w:pPr>
      <w:r>
        <w:t xml:space="preserve">7 Afs 74/2010 pokrač. III:</w:t>
      </w:r>
    </w:p>
    <w:p>
      <w:pPr>
        <w:pStyle w:val="Compact"/>
        <w:numPr>
          <w:numId w:val="1129"/>
          <w:ilvl w:val="2"/>
        </w:numPr>
      </w:pPr>
      <w:r>
        <w:t xml:space="preserve">Pokud správce daně zjišťuje referenční cenu na základě údajů o skutečně dosažených cenách shodné nebo podobné komodity mezi reálně existujícími nezávislými subjekty, musí pečlivě zkoumat, do jaké míry byly tyto ceny dosaženy za stejných nebo obdobných podmínek, za nichž cenu sjednávaly spojené osoby, a pokud se tyto podmínky liší, provést patřičnou korekci (§ 23 odst. 7 zákona č. 586/1992 Sb. zákon o dani z příjmu.).</w:t>
      </w:r>
    </w:p>
    <w:p>
      <w:pPr>
        <w:pStyle w:val="Compact"/>
        <w:numPr>
          <w:numId w:val="1100"/>
          <w:ilvl w:val="0"/>
        </w:numPr>
      </w:pPr>
      <w:r>
        <w:t xml:space="preserve">Cena obvyklá</w:t>
      </w:r>
    </w:p>
    <w:p>
      <w:pPr>
        <w:pStyle w:val="Compact"/>
        <w:numPr>
          <w:numId w:val="1100"/>
          <w:ilvl w:val="0"/>
        </w:numPr>
      </w:pPr>
      <w:r>
        <w:t xml:space="preserve">Prodej automobilu zaměstnanci za neobvykle nízkou cenu a způsob zdanění (NSS 7 Afs 110/2007 – 55 z 26. 2. 2009, Sbírka NSS 10/2011 pod č. 2402/2011)</w:t>
      </w:r>
    </w:p>
    <w:p>
      <w:pPr>
        <w:numPr>
          <w:numId w:val="1100"/>
          <w:ilvl w:val="0"/>
        </w:numPr>
      </w:pPr>
      <w:r>
        <w:t xml:space="preserve">DS požadoval po správci dodanění do ceny obvyklé a navýšení základu daně zpříjmů. Prodal totiž svůj majetek zaměstnancům za nižší než obvyklou cenu a předmětný rozdíl nechtěl zdanit daní z příjmů fyzických osob ze závislé činnosti, ale daní z příjmů právnických osob (z titulu, že prodal spojeným osobám za cenu nižší než obvyklou). Finanční orgány ani soudy jeho názor neakceptovaly a daly přednost zdanění daní z příjmů fyzických osob ze závislé činnosti.</w:t>
      </w:r>
    </w:p>
    <w:p>
      <w:pPr>
        <w:pStyle w:val="Compact"/>
        <w:numPr>
          <w:numId w:val="1100"/>
          <w:ilvl w:val="0"/>
        </w:numPr>
      </w:pPr>
      <w:r>
        <w:t xml:space="preserve">Cena obvyklá</w:t>
      </w:r>
    </w:p>
    <w:p>
      <w:pPr>
        <w:pStyle w:val="Compact"/>
        <w:numPr>
          <w:numId w:val="1100"/>
          <w:ilvl w:val="0"/>
        </w:numPr>
      </w:pPr>
      <w:r>
        <w:t xml:space="preserve">7 Afs 110/2007 pokrač.:</w:t>
      </w:r>
    </w:p>
    <w:p>
      <w:pPr>
        <w:pStyle w:val="Compact"/>
        <w:numPr>
          <w:numId w:val="1130"/>
          <w:ilvl w:val="1"/>
        </w:numPr>
      </w:pPr>
      <w:r>
        <w:t xml:space="preserve">Zveřejněná právní věta:</w:t>
      </w:r>
    </w:p>
    <w:p>
      <w:pPr>
        <w:pStyle w:val="Compact"/>
        <w:numPr>
          <w:numId w:val="1130"/>
          <w:ilvl w:val="1"/>
        </w:numPr>
      </w:pPr>
      <w:r>
        <w:t xml:space="preserve">„Skutečnost, že daňový subjekt na základě vlastního rozhodnutí (byť správcem daně aprobovaného ve formě konkludentně vyměřené daně; § 46 odst. 5 ZSDP) nesprávně zdanil předmět daně, nemůže, s poukazem na zásadu zákazu dvojího zdanění, ve výsledku vyloučit možnost provést řádné zdanění v souladu se zákonem. V opačném případě by vyvstala situace, kdy by daňovým subjektem nesprávně zdaněný předmět daně vylučoval provedení zdanění v souladu se zákonem.</w:t>
      </w:r>
    </w:p>
    <w:p>
      <w:pPr>
        <w:pStyle w:val="Compact"/>
        <w:numPr>
          <w:numId w:val="1100"/>
          <w:ilvl w:val="0"/>
        </w:numPr>
      </w:pPr>
      <w:r>
        <w:t xml:space="preserve">Cena obvyklá</w:t>
      </w:r>
    </w:p>
    <w:p>
      <w:pPr>
        <w:pStyle w:val="Compact"/>
        <w:numPr>
          <w:numId w:val="1100"/>
          <w:ilvl w:val="0"/>
        </w:numPr>
      </w:pPr>
      <w:r>
        <w:t xml:space="preserve">7 Afs 110/2007 pokrač.II:</w:t>
      </w:r>
    </w:p>
    <w:p>
      <w:pPr>
        <w:pStyle w:val="Compact"/>
        <w:numPr>
          <w:numId w:val="1131"/>
          <w:ilvl w:val="1"/>
        </w:numPr>
      </w:pPr>
      <w:r>
        <w:t xml:space="preserve">Vzniklý stav, kdy jedna a tatáž hodnota byla zdaněna dvakrát - jednou bez právního důvodu a podruhé v souladu se zákonem, musí být jako neudržitelný napraven, a to cestou dodatečného daňového přiznání podle § 41 citovaného zákona nebo cestou obnovy řízení podle § 54 tohoto zákona; tato náprava je však možná jen v rámci řízení o daňové povinnosti, v němž byl předmět daně nesprávně zdaněn.“</w:t>
      </w:r>
    </w:p>
    <w:p>
      <w:pPr>
        <w:pStyle w:val="Heading3"/>
      </w:pPr>
      <w:bookmarkStart w:id="96" w:name="zneužití-práva"/>
      <w:bookmarkEnd w:id="96"/>
      <w:r>
        <w:t xml:space="preserve">Zneužití práva</w:t>
      </w:r>
    </w:p>
    <w:p>
      <w:pPr>
        <w:pStyle w:val="Compact"/>
        <w:numPr>
          <w:numId w:val="1132"/>
          <w:ilvl w:val="0"/>
        </w:numPr>
      </w:pPr>
      <w:r>
        <w:t xml:space="preserve">Zneužití práva</w:t>
      </w:r>
    </w:p>
    <w:p>
      <w:pPr>
        <w:pStyle w:val="Compact"/>
        <w:numPr>
          <w:numId w:val="1132"/>
          <w:ilvl w:val="0"/>
        </w:numPr>
      </w:pPr>
      <w:r>
        <w:t xml:space="preserve">Disimulace právního úkonu (§ 2 odst. 7 ZSDP, § 8 odst. 3 DŘ)</w:t>
      </w:r>
    </w:p>
    <w:p>
      <w:pPr>
        <w:pStyle w:val="Compact"/>
        <w:numPr>
          <w:numId w:val="1132"/>
          <w:ilvl w:val="0"/>
        </w:numPr>
      </w:pPr>
      <w:r>
        <w:t xml:space="preserve">Zneužití práva (§8 odst. 4 DŘ)</w:t>
      </w:r>
    </w:p>
    <w:p>
      <w:pPr>
        <w:numPr>
          <w:numId w:val="1132"/>
          <w:ilvl w:val="0"/>
        </w:numPr>
      </w:pPr>
      <w:r>
        <w:t xml:space="preserve">Obcházení zákona</w:t>
      </w:r>
    </w:p>
    <w:p>
      <w:pPr>
        <w:pStyle w:val="Compact"/>
        <w:numPr>
          <w:numId w:val="1132"/>
          <w:ilvl w:val="0"/>
        </w:numPr>
      </w:pPr>
      <w:r>
        <w:t xml:space="preserve">Disimulace</w:t>
      </w:r>
    </w:p>
    <w:p>
      <w:pPr>
        <w:pStyle w:val="Compact"/>
        <w:numPr>
          <w:numId w:val="1132"/>
          <w:ilvl w:val="0"/>
        </w:numPr>
      </w:pPr>
      <w:r>
        <w:t xml:space="preserve">§ 8 odst. 3 DŘ:</w:t>
      </w:r>
    </w:p>
    <w:p>
      <w:pPr>
        <w:pStyle w:val="Compact"/>
        <w:numPr>
          <w:numId w:val="1133"/>
          <w:ilvl w:val="1"/>
        </w:numPr>
      </w:pPr>
      <w:r>
        <w:t xml:space="preserve">„Správce daně vychází ze skutečného obsahu právního úkonu nebo jiné skutečnosti rozhodné pro správu daní.“</w:t>
      </w:r>
    </w:p>
    <w:p>
      <w:pPr>
        <w:pStyle w:val="Compact"/>
        <w:numPr>
          <w:numId w:val="1132"/>
          <w:ilvl w:val="0"/>
        </w:numPr>
      </w:pPr>
      <w:r>
        <w:t xml:space="preserve">disimulace</w:t>
      </w:r>
    </w:p>
    <w:p>
      <w:pPr>
        <w:pStyle w:val="Compact"/>
        <w:numPr>
          <w:numId w:val="1132"/>
          <w:ilvl w:val="0"/>
        </w:numPr>
      </w:pPr>
      <w:r>
        <w:t xml:space="preserve">NSS č. j. 7 Afs 72/2008 – 101 z 15. 1. 2009:</w:t>
      </w:r>
    </w:p>
    <w:p>
      <w:pPr>
        <w:pStyle w:val="Compact"/>
        <w:numPr>
          <w:numId w:val="1134"/>
          <w:ilvl w:val="1"/>
        </w:numPr>
      </w:pPr>
      <w:r>
        <w:t xml:space="preserve">„O zakrývání (dissimulaci) ve smyslu ustanovení § 2 odst. 7 ZSDP může jít jen tehdy, pokud účastníci předstírají (simulují) určitý právní úkon, ač jej nechtějí, a zastírají tím právní úkon jiný, který ve skutečnosti chtějí, popř. jím zastírají jinou právní skutečnost; zkoumání poměru mezi vůlí a projevem vůle účastníků právního vztahu je proto pro použití tohoto ustanovení určující. (…)</w:t>
      </w:r>
    </w:p>
    <w:p>
      <w:pPr>
        <w:pStyle w:val="Compact"/>
        <w:numPr>
          <w:numId w:val="1134"/>
          <w:ilvl w:val="1"/>
        </w:numPr>
      </w:pPr>
      <w:r>
        <w:t xml:space="preserve">Pouze za situace, kdy je dostatečně jasně prokázáno, že účastníci určitý právní úkon uzavřít nechtěli a zastřeli jím jiný právní úkon (právní skutečnost), který chtěli skutečně uzavřít – tedy je-li prokázána neshoda mezí vůlí a jejím projevem – přichází do úvahy aplikace ustanovení § 2 odst. 7 ZSDP.</w:t>
      </w:r>
    </w:p>
    <w:p>
      <w:pPr>
        <w:pStyle w:val="Compact"/>
        <w:numPr>
          <w:numId w:val="1132"/>
          <w:ilvl w:val="0"/>
        </w:numPr>
      </w:pPr>
      <w:r>
        <w:t xml:space="preserve">disimulace</w:t>
      </w:r>
    </w:p>
    <w:p>
      <w:pPr>
        <w:pStyle w:val="Compact"/>
        <w:numPr>
          <w:numId w:val="1132"/>
          <w:ilvl w:val="0"/>
        </w:numPr>
      </w:pPr>
      <w:r>
        <w:t xml:space="preserve">7 Afs 72/2008 – 101 – pokrač.:</w:t>
      </w:r>
    </w:p>
    <w:p>
      <w:pPr>
        <w:pStyle w:val="Compact"/>
        <w:numPr>
          <w:numId w:val="1135"/>
          <w:ilvl w:val="1"/>
        </w:numPr>
      </w:pPr>
      <w:r>
        <w:t xml:space="preserve">Správce daně až v takovém případě vychází z obsahu dissimulovaného právního úkonu (právní skutečnosti) rozhodného pro stanovení daňové povinnosti.</w:t>
      </w:r>
    </w:p>
    <w:p>
      <w:pPr>
        <w:pStyle w:val="Compact"/>
        <w:numPr>
          <w:numId w:val="1135"/>
          <w:ilvl w:val="1"/>
        </w:numPr>
      </w:pPr>
      <w:r>
        <w:t xml:space="preserve">Ustanovení § 2 odst. 7 ZSDP tak proto nemůže zcela logicky dopadat na případy, kdy projev a vůle jsou ve shodě, tedy na případy, kdy účastníci mají skutečný zájem učinit právní úkon, činí tak však z důvodu obcházení zákona.“</w:t>
      </w:r>
    </w:p>
    <w:p>
      <w:pPr>
        <w:pStyle w:val="Compact"/>
        <w:numPr>
          <w:numId w:val="1132"/>
          <w:ilvl w:val="0"/>
        </w:numPr>
      </w:pPr>
      <w:r>
        <w:t xml:space="preserve">disimulace II.</w:t>
      </w:r>
    </w:p>
    <w:p>
      <w:pPr>
        <w:pStyle w:val="Compact"/>
        <w:numPr>
          <w:numId w:val="1132"/>
          <w:ilvl w:val="0"/>
        </w:numPr>
      </w:pPr>
      <w:r>
        <w:t xml:space="preserve">NSS 8 Afs 31/2006‐59 ze dne 16. 8 2007</w:t>
      </w:r>
    </w:p>
    <w:p>
      <w:pPr>
        <w:pStyle w:val="Compact"/>
        <w:numPr>
          <w:numId w:val="1136"/>
          <w:ilvl w:val="1"/>
        </w:numPr>
      </w:pPr>
      <w:r>
        <w:t xml:space="preserve">„Pokud se finanční orgány domnívají, že formálně bezvadný právní úkon daňového subjektu je úkonem zastírajícím právní úkon jiný, je na nich, aby tuto skutečnost prokázaly.</w:t>
      </w:r>
    </w:p>
    <w:p>
      <w:pPr>
        <w:pStyle w:val="Compact"/>
        <w:numPr>
          <w:numId w:val="1136"/>
          <w:ilvl w:val="1"/>
        </w:numPr>
      </w:pPr>
      <w:r>
        <w:t xml:space="preserve">O takovou situaci se jedná pouze tehdy, pokud účastníci právního úkonu předstírají určitý úkon, ač jej nechtějí, a zastírají tím právní úkon, který ve skutečnosti chtějí, popřípadě jinou právní skutečnost.</w:t>
      </w:r>
    </w:p>
    <w:p>
      <w:pPr>
        <w:pStyle w:val="Compact"/>
        <w:numPr>
          <w:numId w:val="1136"/>
          <w:ilvl w:val="1"/>
        </w:numPr>
      </w:pPr>
      <w:r>
        <w:t xml:space="preserve">Jedná se tedy o rozpor mezi vůlí účastníků právního úkonu a jejím projevem, přičemž tato neshoda vůle a jejího projevu je u obou stran právního úkonu stejná a je vědomá.“</w:t>
      </w:r>
    </w:p>
    <w:p>
      <w:pPr>
        <w:pStyle w:val="Compact"/>
        <w:numPr>
          <w:numId w:val="1132"/>
          <w:ilvl w:val="0"/>
        </w:numPr>
      </w:pPr>
      <w:r>
        <w:t xml:space="preserve">disimulace II.</w:t>
      </w:r>
    </w:p>
    <w:p>
      <w:pPr>
        <w:pStyle w:val="Compact"/>
        <w:numPr>
          <w:numId w:val="1132"/>
          <w:ilvl w:val="0"/>
        </w:numPr>
      </w:pPr>
      <w:r>
        <w:t xml:space="preserve">8 Afs 31/2006-59 – pokrač.:</w:t>
      </w:r>
    </w:p>
    <w:p>
      <w:pPr>
        <w:pStyle w:val="Compact"/>
        <w:numPr>
          <w:numId w:val="1137"/>
          <w:ilvl w:val="1"/>
        </w:numPr>
      </w:pPr>
      <w:r>
        <w:t xml:space="preserve">O zastřený právní úkon se naopak nejedná, pokud daňový subjekt nečinil své právní úkony na oko, nepředstíral je a nesnažil se jimi zastřít právní úkony jiné, byť by i svými úkony obcházel zákon či práva zneužil. Povinností finančních orgánů je uvést nejen zjištěný, formálně právním úkonem zakrývaný skutečný stav, ale i přezkoumatelným způsobem uvést úvahy, které je k takovému závěru vedly, včetně označení a zhodnocení důkazů, o které svá zjištění opírají.“</w:t>
      </w:r>
    </w:p>
    <w:p>
      <w:pPr>
        <w:pStyle w:val="Compact"/>
        <w:numPr>
          <w:numId w:val="1132"/>
          <w:ilvl w:val="0"/>
        </w:numPr>
      </w:pPr>
      <w:r>
        <w:t xml:space="preserve">Zneužití práva – daňový řád</w:t>
      </w:r>
    </w:p>
    <w:p>
      <w:pPr>
        <w:pStyle w:val="Compact"/>
        <w:numPr>
          <w:numId w:val="1132"/>
          <w:ilvl w:val="0"/>
        </w:numPr>
      </w:pPr>
      <w:r>
        <w:t xml:space="preserve">Od 1. 4. 2019 novela §8 odst. 4 DŘ:</w:t>
      </w:r>
    </w:p>
    <w:p>
      <w:pPr>
        <w:pStyle w:val="Compact"/>
        <w:numPr>
          <w:numId w:val="1138"/>
          <w:ilvl w:val="1"/>
        </w:numPr>
      </w:pPr>
      <w:r>
        <w:t xml:space="preserve">„(4) 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32"/>
          <w:ilvl w:val="0"/>
        </w:numPr>
      </w:pPr>
      <w:r>
        <w:t xml:space="preserve">Zneužití práva – pojem, obcházení zákona</w:t>
      </w:r>
    </w:p>
    <w:p>
      <w:pPr>
        <w:pStyle w:val="Compact"/>
        <w:numPr>
          <w:numId w:val="1132"/>
          <w:ilvl w:val="0"/>
        </w:numPr>
      </w:pPr>
      <w:r>
        <w:t xml:space="preserve">„Zneužití práva jako chování zdánlivě dovolené, jímž má být dosaženo výsledku nedovoleného.</w:t>
      </w:r>
    </w:p>
    <w:p>
      <w:pPr>
        <w:pStyle w:val="Compact"/>
        <w:numPr>
          <w:numId w:val="1132"/>
          <w:ilvl w:val="0"/>
        </w:numPr>
      </w:pPr>
      <w:r>
        <w:t xml:space="preserve">O chování toliko zdánlivě dovolené jde z toho důvodu, že objektivní právo nezná chování zároveň dovolené a zároveň nedovolené; ze zásady lex specialis derogat generali vyplývá, že zákaz zneužití práva je silnější, než dovolení dané právem.</w:t>
      </w:r>
    </w:p>
    <w:p>
      <w:pPr>
        <w:numPr>
          <w:numId w:val="1132"/>
          <w:ilvl w:val="0"/>
        </w:numPr>
      </w:pPr>
      <w:r>
        <w:t xml:space="preserve">Obcházení zákona – podobný pojem – někdo se chová podle právní normy, ale tak, aby záměrně dosáhl výsledku právní normou nepředvídaného a nežádoucího. (KNAPP, Viktor. Teorie práva).</w:t>
      </w:r>
    </w:p>
    <w:p>
      <w:pPr>
        <w:pStyle w:val="Compact"/>
        <w:numPr>
          <w:numId w:val="1132"/>
          <w:ilvl w:val="0"/>
        </w:numPr>
      </w:pPr>
      <w:r>
        <w:t xml:space="preserve">Zneužití práva – daně v maximální výši?</w:t>
      </w:r>
    </w:p>
    <w:p>
      <w:pPr>
        <w:numPr>
          <w:numId w:val="1132"/>
          <w:ilvl w:val="0"/>
        </w:numPr>
      </w:pPr>
      <w:r>
        <w:t xml:space="preserve">V daňové oblasti v obecné rovině platí, že neexistuje žádná povinnost podnikat takovým způsobem, aby se zvýšil daňový příjem státu. Daňoví poplatníci si mohou uspořádat svoje podnikání tak, aby si snížili svou daňovou povinnost. (NSS 5 Afs 75/2011 – 57 12. prosince 2012 - DS ale stejně prohrál)</w:t>
      </w:r>
    </w:p>
    <w:p>
      <w:pPr>
        <w:pStyle w:val="Compact"/>
        <w:numPr>
          <w:numId w:val="1132"/>
          <w:ilvl w:val="0"/>
        </w:numPr>
      </w:pPr>
      <w:r>
        <w:t xml:space="preserve">Zneužití práva – kritéria - Halifax</w:t>
      </w:r>
    </w:p>
    <w:p>
      <w:pPr>
        <w:pStyle w:val="Compact"/>
        <w:numPr>
          <w:numId w:val="1132"/>
          <w:ilvl w:val="0"/>
        </w:numPr>
      </w:pPr>
      <w:r>
        <w:t xml:space="preserve">ESD C‐255/02 Halifax ze dne 21. 2. 2006</w:t>
      </w:r>
    </w:p>
    <w:p>
      <w:pPr>
        <w:pStyle w:val="Compact"/>
        <w:numPr>
          <w:numId w:val="1140"/>
          <w:ilvl w:val="2"/>
        </w:numPr>
      </w:pPr>
      <w:r>
        <w:t xml:space="preserve">výsledkem dotčených plnění přes formální použití podmínek stanovených relevantními ustanoveními šesté směrnice (resp. směrnice 2006/112) a vnitrostátních předpisů provádějících tuto směrnici bylo získání daňového zvýhodnění, jehož poskytnutí by bylo v rozporu s cílem sledovaným těmito ustanoveními a</w:t>
      </w:r>
    </w:p>
    <w:p>
      <w:pPr>
        <w:pStyle w:val="Compact"/>
        <w:numPr>
          <w:numId w:val="1141"/>
          <w:ilvl w:val="2"/>
        </w:numPr>
      </w:pPr>
      <w:r>
        <w:t xml:space="preserve">ze všech objektivních okolností musí vyplývat, že hlavním účelem dotčených plnění je získání daňového zvýhodnění.</w:t>
      </w:r>
    </w:p>
    <w:p>
      <w:pPr>
        <w:pStyle w:val="Compact"/>
        <w:numPr>
          <w:numId w:val="1132"/>
          <w:ilvl w:val="0"/>
        </w:numPr>
      </w:pPr>
      <w:r>
        <w:t xml:space="preserve">Zneužití práva - kritéria</w:t>
      </w:r>
    </w:p>
    <w:p>
      <w:pPr>
        <w:pStyle w:val="Compact"/>
        <w:numPr>
          <w:numId w:val="1132"/>
          <w:ilvl w:val="0"/>
        </w:numPr>
      </w:pPr>
      <w:r>
        <w:t xml:space="preserve">Halifax – pokrač.:</w:t>
      </w:r>
    </w:p>
    <w:p>
      <w:pPr>
        <w:pStyle w:val="Compact"/>
        <w:numPr>
          <w:numId w:val="1142"/>
          <w:ilvl w:val="1"/>
        </w:numPr>
      </w:pPr>
      <w:r>
        <w:t xml:space="preserve">Zákaz zneužití přitom není relevantní, pokud dotčená plnění mohou mít jiné odůvodnění než pouhé dosažení daňových zvýhodnění vůči daňovým orgánům.</w:t>
      </w:r>
    </w:p>
    <w:p>
      <w:pPr>
        <w:pStyle w:val="Heading2"/>
      </w:pPr>
      <w:bookmarkStart w:id="97" w:name="pojem-švarcsystému-a-problémy-s-ním-spojené"/>
      <w:bookmarkEnd w:id="97"/>
      <w:r>
        <w:t xml:space="preserve">10. Pojem „švarcsystému“ a problémy s ním spojené</w:t>
      </w:r>
    </w:p>
    <w:p>
      <w:pPr>
        <w:pStyle w:val="Heading3"/>
      </w:pPr>
      <w:bookmarkStart w:id="98" w:name="švarcsystém"/>
      <w:bookmarkEnd w:id="98"/>
      <w:r>
        <w:t xml:space="preserve">Švarcsystém</w:t>
      </w:r>
    </w:p>
    <w:p>
      <w:pPr>
        <w:pStyle w:val="Compact"/>
        <w:numPr>
          <w:numId w:val="1143"/>
          <w:ilvl w:val="0"/>
        </w:numPr>
      </w:pPr>
      <w:r>
        <w:t xml:space="preserve">Vymezení švarcsystému</w:t>
      </w:r>
    </w:p>
    <w:p>
      <w:pPr>
        <w:numPr>
          <w:numId w:val="1143"/>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143"/>
          <w:ilvl w:val="0"/>
        </w:numPr>
      </w:pPr>
      <w:r>
        <w:t xml:space="preserve">Švarcsystém a související problematika</w:t>
      </w:r>
    </w:p>
    <w:p>
      <w:pPr>
        <w:pStyle w:val="Compact"/>
        <w:numPr>
          <w:numId w:val="1143"/>
          <w:ilvl w:val="0"/>
        </w:numPr>
      </w:pPr>
      <w:r>
        <w:t xml:space="preserve">Švarcsystém a zákon o zaměstnanosti</w:t>
      </w:r>
    </w:p>
    <w:p>
      <w:pPr>
        <w:pStyle w:val="Compact"/>
        <w:numPr>
          <w:numId w:val="1143"/>
          <w:ilvl w:val="0"/>
        </w:numPr>
      </w:pPr>
      <w:r>
        <w:t xml:space="preserve">Švarcystém v daních</w:t>
      </w:r>
    </w:p>
    <w:p>
      <w:pPr>
        <w:pStyle w:val="Compact"/>
        <w:numPr>
          <w:numId w:val="1143"/>
          <w:ilvl w:val="0"/>
        </w:numPr>
      </w:pPr>
      <w:r>
        <w:t xml:space="preserve">definice závislé činnosti</w:t>
      </w:r>
    </w:p>
    <w:p>
      <w:pPr>
        <w:pStyle w:val="Compact"/>
        <w:numPr>
          <w:numId w:val="1143"/>
          <w:ilvl w:val="0"/>
        </w:numPr>
      </w:pPr>
      <w:r>
        <w:t xml:space="preserve">disimulace právního úkonu x zneužití práva</w:t>
      </w:r>
    </w:p>
    <w:p>
      <w:pPr>
        <w:pStyle w:val="Compact"/>
        <w:numPr>
          <w:numId w:val="1143"/>
          <w:ilvl w:val="0"/>
        </w:numPr>
      </w:pPr>
      <w:r>
        <w:t xml:space="preserve">smluvní volnost</w:t>
      </w:r>
    </w:p>
    <w:p>
      <w:pPr>
        <w:pStyle w:val="Compact"/>
        <w:numPr>
          <w:numId w:val="1143"/>
          <w:ilvl w:val="0"/>
        </w:numPr>
      </w:pPr>
      <w:r>
        <w:t xml:space="preserve">dvojí zdanění jednoho příjmu</w:t>
      </w:r>
    </w:p>
    <w:p>
      <w:pPr>
        <w:pStyle w:val="Compact"/>
        <w:numPr>
          <w:numId w:val="1143"/>
          <w:ilvl w:val="0"/>
        </w:numPr>
      </w:pPr>
      <w:r>
        <w:t xml:space="preserve">fakturace členů a jednatelů korporace</w:t>
      </w:r>
    </w:p>
    <w:p>
      <w:pPr>
        <w:pStyle w:val="Compact"/>
        <w:numPr>
          <w:numId w:val="1143"/>
          <w:ilvl w:val="0"/>
        </w:numPr>
      </w:pPr>
      <w:r>
        <w:t xml:space="preserve">fakturace mezi manžely</w:t>
      </w:r>
    </w:p>
    <w:p>
      <w:pPr>
        <w:pStyle w:val="Compact"/>
        <w:numPr>
          <w:numId w:val="1143"/>
          <w:ilvl w:val="0"/>
        </w:numPr>
      </w:pPr>
      <w:r>
        <w:t xml:space="preserve">Švarcsystém mimo vztahy s úřady</w:t>
      </w:r>
    </w:p>
    <w:p>
      <w:pPr>
        <w:numPr>
          <w:numId w:val="1143"/>
          <w:ilvl w:val="0"/>
        </w:numPr>
      </w:pPr>
      <w:r>
        <w:t xml:space="preserve">Budoucnost švarcsystému</w:t>
      </w:r>
    </w:p>
    <w:p>
      <w:pPr>
        <w:pStyle w:val="Compact"/>
        <w:numPr>
          <w:numId w:val="1143"/>
          <w:ilvl w:val="0"/>
        </w:numPr>
      </w:pPr>
      <w:r>
        <w:t xml:space="preserve">Švarcsystém a zákon o zaměstnanosti</w:t>
      </w:r>
    </w:p>
    <w:p>
      <w:pPr>
        <w:pStyle w:val="Compact"/>
        <w:numPr>
          <w:numId w:val="1143"/>
          <w:ilvl w:val="0"/>
        </w:numPr>
      </w:pPr>
      <w:r>
        <w:t xml:space="preserve">č. 435/2004 Sb., o zaměstnanosti - §5 písm. e) nelegální práce (kromě cizinců):</w:t>
      </w:r>
    </w:p>
    <w:p>
      <w:pPr>
        <w:pStyle w:val="Compact"/>
        <w:numPr>
          <w:numId w:val="1143"/>
          <w:ilvl w:val="0"/>
        </w:numPr>
      </w:pPr>
      <w:r>
        <w:t xml:space="preserve">výkon závislé práce fyzickou osobou mimo pracovněprávní vztah.</w:t>
      </w:r>
    </w:p>
    <w:p>
      <w:pPr>
        <w:pStyle w:val="Compact"/>
        <w:numPr>
          <w:numId w:val="1144"/>
          <w:ilvl w:val="1"/>
        </w:numPr>
      </w:pPr>
      <w:r>
        <w:t xml:space="preserve">Závislá práce je pak definována v zákoníku práce jako práce, která je vykonávána (všechny podmínky najednou):</w:t>
      </w:r>
    </w:p>
    <w:p>
      <w:pPr>
        <w:pStyle w:val="Compact"/>
        <w:numPr>
          <w:numId w:val="1144"/>
          <w:ilvl w:val="1"/>
        </w:numPr>
      </w:pPr>
      <w:r>
        <w:t xml:space="preserve">ve vztahu nadřízenosti zaměstnavatele a podřízenosti zaměstnance,</w:t>
      </w:r>
    </w:p>
    <w:p>
      <w:pPr>
        <w:pStyle w:val="Compact"/>
        <w:numPr>
          <w:numId w:val="1144"/>
          <w:ilvl w:val="1"/>
        </w:numPr>
      </w:pPr>
      <w:r>
        <w:t xml:space="preserve">jménem zaměstnavatele,</w:t>
      </w:r>
    </w:p>
    <w:p>
      <w:pPr>
        <w:pStyle w:val="Compact"/>
        <w:numPr>
          <w:numId w:val="1144"/>
          <w:ilvl w:val="1"/>
        </w:numPr>
      </w:pPr>
      <w:r>
        <w:t xml:space="preserve">podle pokynů zaměstnavatele,</w:t>
      </w:r>
    </w:p>
    <w:p>
      <w:pPr>
        <w:pStyle w:val="Compact"/>
        <w:numPr>
          <w:numId w:val="1144"/>
          <w:ilvl w:val="1"/>
        </w:numPr>
      </w:pPr>
      <w:r>
        <w:t xml:space="preserve">a zaměstnanec ji pro zaměstnavatele vykonává osobně.</w:t>
      </w:r>
    </w:p>
    <w:p>
      <w:pPr>
        <w:pStyle w:val="Compact"/>
        <w:numPr>
          <w:numId w:val="1143"/>
          <w:ilvl w:val="0"/>
        </w:numPr>
      </w:pPr>
      <w:r>
        <w:t xml:space="preserve">Švarcsystém a zákon o zaměstnanosti</w:t>
      </w:r>
    </w:p>
    <w:p>
      <w:pPr>
        <w:pStyle w:val="Compact"/>
        <w:numPr>
          <w:numId w:val="1143"/>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143"/>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143"/>
          <w:ilvl w:val="0"/>
        </w:numPr>
      </w:pPr>
      <w:r>
        <w:t xml:space="preserve">Švarcsystém a zákon o zaměstnanosti</w:t>
      </w:r>
    </w:p>
    <w:p>
      <w:pPr>
        <w:pStyle w:val="Compact"/>
        <w:numPr>
          <w:numId w:val="1145"/>
          <w:ilvl w:val="1"/>
        </w:numPr>
      </w:pPr>
      <w:r>
        <w:t xml:space="preserve">fyzická osoba – nepodnikatel – pokuta za přestupek do výše 5 mil. Kč (spodní hranice není stanovena),</w:t>
      </w:r>
    </w:p>
    <w:p>
      <w:pPr>
        <w:pStyle w:val="Compact"/>
        <w:numPr>
          <w:numId w:val="1146"/>
          <w:ilvl w:val="1"/>
        </w:numPr>
      </w:pPr>
      <w:r>
        <w:t xml:space="preserve">fyzická osoba – podnikatel či právnická osoba – pokutu do výše 10 mil. Kč (spodní hranice 50 000)</w:t>
      </w:r>
    </w:p>
    <w:p>
      <w:pPr>
        <w:pStyle w:val="Compact"/>
        <w:numPr>
          <w:numId w:val="1147"/>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143"/>
          <w:ilvl w:val="0"/>
        </w:numPr>
      </w:pPr>
      <w:r>
        <w:t xml:space="preserve">Švarcsystém a zákon o zaměstnanosti</w:t>
      </w:r>
    </w:p>
    <w:p>
      <w:pPr>
        <w:pStyle w:val="Compact"/>
        <w:numPr>
          <w:numId w:val="1143"/>
          <w:ilvl w:val="0"/>
        </w:numPr>
      </w:pPr>
      <w:r>
        <w:t xml:space="preserve">nález pléna Ústavního soudu Pl. ÚS 52/13 ze dne 9. 9. 2014</w:t>
      </w:r>
    </w:p>
    <w:p>
      <w:pPr>
        <w:pStyle w:val="Compact"/>
        <w:numPr>
          <w:numId w:val="1148"/>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143"/>
          <w:ilvl w:val="0"/>
        </w:numPr>
      </w:pPr>
      <w:r>
        <w:t xml:space="preserve">Švarcsystém a daň z příjmů</w:t>
      </w:r>
    </w:p>
    <w:p>
      <w:pPr>
        <w:pStyle w:val="Compact"/>
        <w:numPr>
          <w:numId w:val="1143"/>
          <w:ilvl w:val="0"/>
        </w:numPr>
      </w:pPr>
      <w:r>
        <w:t xml:space="preserve">§ 6 odst. 1, písm. a) bod 1 zákona o daních z příjmů:</w:t>
      </w:r>
    </w:p>
    <w:p>
      <w:pPr>
        <w:pStyle w:val="Compact"/>
        <w:numPr>
          <w:numId w:val="1149"/>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143"/>
          <w:ilvl w:val="0"/>
        </w:numPr>
      </w:pPr>
      <w:r>
        <w:t xml:space="preserve">Vztah zákona o zaměstnanosti a zákona o daních z příjmů</w:t>
      </w:r>
    </w:p>
    <w:p>
      <w:pPr>
        <w:pStyle w:val="Compact"/>
        <w:numPr>
          <w:numId w:val="1143"/>
          <w:ilvl w:val="0"/>
        </w:numPr>
      </w:pPr>
      <w:r>
        <w:t xml:space="preserve">NSS 5 Afs 61/2012:</w:t>
      </w:r>
    </w:p>
    <w:p>
      <w:pPr>
        <w:pStyle w:val="Compact"/>
        <w:numPr>
          <w:numId w:val="1150"/>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143"/>
          <w:ilvl w:val="0"/>
        </w:numPr>
      </w:pPr>
      <w:r>
        <w:t xml:space="preserve">Švarcsystém a daň z příjmů</w:t>
      </w:r>
    </w:p>
    <w:p>
      <w:pPr>
        <w:pStyle w:val="Compact"/>
        <w:numPr>
          <w:numId w:val="1143"/>
          <w:ilvl w:val="0"/>
        </w:numPr>
      </w:pPr>
      <w:r>
        <w:t xml:space="preserve">Pokyn D 285 MF</w:t>
      </w:r>
    </w:p>
    <w:p>
      <w:pPr>
        <w:pStyle w:val="Compact"/>
        <w:numPr>
          <w:numId w:val="1151"/>
          <w:ilvl w:val="1"/>
        </w:numPr>
      </w:pPr>
      <w:r>
        <w:t xml:space="preserve">Zákonné vymezení prostřednictvím pouhého plnění příkazů plátce, se totiž ukázalo a ukazuje jako nedostačující</w:t>
      </w:r>
    </w:p>
    <w:p>
      <w:pPr>
        <w:pStyle w:val="Compact"/>
        <w:numPr>
          <w:numId w:val="1151"/>
          <w:ilvl w:val="1"/>
        </w:numPr>
      </w:pPr>
      <w:r>
        <w:t xml:space="preserve">nezbytné stanovit materiální kritéria</w:t>
      </w:r>
    </w:p>
    <w:p>
      <w:pPr>
        <w:pStyle w:val="Compact"/>
        <w:numPr>
          <w:numId w:val="1143"/>
          <w:ilvl w:val="0"/>
        </w:numPr>
      </w:pPr>
      <w:r>
        <w:t xml:space="preserve">Švarcsystém a daň z příjmů</w:t>
      </w:r>
    </w:p>
    <w:p>
      <w:pPr>
        <w:pStyle w:val="Compact"/>
        <w:numPr>
          <w:numId w:val="1143"/>
          <w:ilvl w:val="0"/>
        </w:numPr>
      </w:pPr>
      <w:r>
        <w:t xml:space="preserve">Pokyn D 285 MF – pokrač.:</w:t>
      </w:r>
    </w:p>
    <w:p>
      <w:pPr>
        <w:pStyle w:val="Compact"/>
        <w:numPr>
          <w:numId w:val="1152"/>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152"/>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143"/>
          <w:ilvl w:val="0"/>
        </w:numPr>
      </w:pPr>
      <w:r>
        <w:t xml:space="preserve">Švarcsystém a daň z příjmů</w:t>
      </w:r>
    </w:p>
    <w:p>
      <w:pPr>
        <w:pStyle w:val="Compact"/>
        <w:numPr>
          <w:numId w:val="1143"/>
          <w:ilvl w:val="0"/>
        </w:numPr>
      </w:pPr>
      <w:r>
        <w:t xml:space="preserve">Pokyn D 285 MF – pokrač. II:</w:t>
      </w:r>
    </w:p>
    <w:p>
      <w:pPr>
        <w:pStyle w:val="Compact"/>
        <w:numPr>
          <w:numId w:val="1153"/>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143"/>
          <w:ilvl w:val="0"/>
        </w:numPr>
      </w:pPr>
      <w:r>
        <w:t xml:space="preserve">Švarcsystém a daň z příjmů – druhy činnosti</w:t>
      </w:r>
    </w:p>
    <w:p>
      <w:pPr>
        <w:pStyle w:val="Compact"/>
        <w:numPr>
          <w:numId w:val="1143"/>
          <w:ilvl w:val="0"/>
        </w:numPr>
      </w:pPr>
      <w:r>
        <w:t xml:space="preserve">NSS 6 Afs 85/2014</w:t>
      </w:r>
    </w:p>
    <w:p>
      <w:pPr>
        <w:pStyle w:val="Compact"/>
        <w:numPr>
          <w:numId w:val="1155"/>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56"/>
          <w:ilvl w:val="2"/>
        </w:numPr>
      </w:pPr>
      <w:r>
        <w:t xml:space="preserve">činnosti ryze závislé (např. pokladní supermarketu).</w:t>
      </w:r>
    </w:p>
    <w:p>
      <w:pPr>
        <w:pStyle w:val="Compact"/>
        <w:numPr>
          <w:numId w:val="1143"/>
          <w:ilvl w:val="0"/>
        </w:numPr>
      </w:pPr>
      <w:r>
        <w:t xml:space="preserve">Švarcsystém a daň z příjmů – druhy činnosti</w:t>
      </w:r>
    </w:p>
    <w:p>
      <w:pPr>
        <w:pStyle w:val="Compact"/>
        <w:numPr>
          <w:numId w:val="1157"/>
          <w:ilvl w:val="1"/>
        </w:numPr>
      </w:pPr>
      <w:r>
        <w:t xml:space="preserve">činnosti „obojetné“ povahy (drtivá většina menších živnostníků jako zedník, instalatér; svobodná povolání, asistenční činnosti; nejrůznější služby jako účetní, kadeřník atd.),</w:t>
      </w:r>
    </w:p>
    <w:p>
      <w:pPr>
        <w:numPr>
          <w:numId w:val="1143"/>
          <w:ilvl w:val="0"/>
        </w:numPr>
      </w:pPr>
      <w:r>
        <w:t xml:space="preserve">Nejednoznačné spory se pochopitelně z povahy věci vedou zejména o „obojetnou“ kategorii.</w:t>
      </w:r>
    </w:p>
    <w:p>
      <w:pPr>
        <w:pStyle w:val="Compact"/>
        <w:numPr>
          <w:numId w:val="1143"/>
          <w:ilvl w:val="0"/>
        </w:numPr>
      </w:pPr>
      <w:r>
        <w:t xml:space="preserve">Zneužití práva - švarcsystém</w:t>
      </w:r>
    </w:p>
    <w:p>
      <w:pPr>
        <w:pStyle w:val="Compact"/>
        <w:numPr>
          <w:numId w:val="1143"/>
          <w:ilvl w:val="0"/>
        </w:numPr>
      </w:pPr>
      <w:r>
        <w:t xml:space="preserve">NSS č. j. 7 Afs 72/2008 – 101 z 15. 1. 2009:</w:t>
      </w:r>
    </w:p>
    <w:p>
      <w:pPr>
        <w:pStyle w:val="Compact"/>
        <w:numPr>
          <w:numId w:val="1158"/>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143"/>
          <w:ilvl w:val="0"/>
        </w:numPr>
      </w:pPr>
      <w:r>
        <w:t xml:space="preserve">Zneužití práva – švarcsystém I.</w:t>
      </w:r>
    </w:p>
    <w:p>
      <w:pPr>
        <w:pStyle w:val="Compact"/>
        <w:numPr>
          <w:numId w:val="1143"/>
          <w:ilvl w:val="0"/>
        </w:numPr>
      </w:pPr>
      <w:r>
        <w:t xml:space="preserve">7 Afs 72/2008 – 101 – pokrač.:</w:t>
      </w:r>
    </w:p>
    <w:p>
      <w:pPr>
        <w:pStyle w:val="Compact"/>
        <w:numPr>
          <w:numId w:val="1159"/>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143"/>
          <w:ilvl w:val="0"/>
        </w:numPr>
      </w:pPr>
      <w:r>
        <w:t xml:space="preserve">Zneužití práva – švarcsystém I.</w:t>
      </w:r>
    </w:p>
    <w:p>
      <w:pPr>
        <w:pStyle w:val="Compact"/>
        <w:numPr>
          <w:numId w:val="1143"/>
          <w:ilvl w:val="0"/>
        </w:numPr>
      </w:pPr>
      <w:r>
        <w:t xml:space="preserve">7 Afs 72/2008 – 101 – pokrač. II.:</w:t>
      </w:r>
    </w:p>
    <w:p>
      <w:pPr>
        <w:pStyle w:val="Compact"/>
        <w:numPr>
          <w:numId w:val="1160"/>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143"/>
          <w:ilvl w:val="0"/>
        </w:numPr>
      </w:pPr>
      <w:r>
        <w:t xml:space="preserve">Zneužití práva – švarcsystém II.</w:t>
      </w:r>
    </w:p>
    <w:p>
      <w:pPr>
        <w:pStyle w:val="Compact"/>
        <w:numPr>
          <w:numId w:val="1143"/>
          <w:ilvl w:val="0"/>
        </w:numPr>
      </w:pPr>
      <w:r>
        <w:t xml:space="preserve">NSS 2 Afs 173/2005-69 z 27. 7. 2006</w:t>
      </w:r>
    </w:p>
    <w:p>
      <w:pPr>
        <w:pStyle w:val="Compact"/>
        <w:numPr>
          <w:numId w:val="1161"/>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61"/>
          <w:ilvl w:val="1"/>
        </w:numPr>
      </w:pPr>
      <w:r>
        <w:t xml:space="preserve">To, že se jedná o vztah trvající povahy, ještě neznamená, že se nutně musí jednat o závislou činnost.</w:t>
      </w:r>
    </w:p>
    <w:p>
      <w:pPr>
        <w:pStyle w:val="Compact"/>
        <w:numPr>
          <w:numId w:val="1143"/>
          <w:ilvl w:val="0"/>
        </w:numPr>
      </w:pPr>
      <w:r>
        <w:t xml:space="preserve">Zneužití práva – švarcsystém II.</w:t>
      </w:r>
    </w:p>
    <w:p>
      <w:pPr>
        <w:pStyle w:val="Compact"/>
        <w:numPr>
          <w:numId w:val="1143"/>
          <w:ilvl w:val="0"/>
        </w:numPr>
      </w:pPr>
      <w:r>
        <w:t xml:space="preserve">NSS 2 Afs 173/2005-69 – pokrač.:</w:t>
      </w:r>
    </w:p>
    <w:p>
      <w:pPr>
        <w:pStyle w:val="Compact"/>
        <w:numPr>
          <w:numId w:val="1162"/>
          <w:ilvl w:val="1"/>
        </w:numPr>
      </w:pPr>
      <w:r>
        <w:t xml:space="preserve">koordinace a kontrola provádění díla smluvních partnerů jednateli prováděna z titulu nadřízeného postavení těchto osob</w:t>
      </w:r>
    </w:p>
    <w:p>
      <w:pPr>
        <w:pStyle w:val="Compact"/>
        <w:numPr>
          <w:numId w:val="1162"/>
          <w:ilvl w:val="1"/>
        </w:numPr>
      </w:pPr>
      <w:r>
        <w:t xml:space="preserve">dílem může být provedení těžebních činností byť i na jediném stromu a je možné dílčí části díla upřesnit ústně na místě,</w:t>
      </w:r>
    </w:p>
    <w:p>
      <w:pPr>
        <w:pStyle w:val="Compact"/>
        <w:numPr>
          <w:numId w:val="1162"/>
          <w:ilvl w:val="1"/>
        </w:numPr>
      </w:pPr>
      <w:r>
        <w:t xml:space="preserve">cenu za provedení díla či jeho částí je možno určit podle odpracovaných hodin,</w:t>
      </w:r>
    </w:p>
    <w:p>
      <w:pPr>
        <w:pStyle w:val="Compact"/>
        <w:numPr>
          <w:numId w:val="1143"/>
          <w:ilvl w:val="0"/>
        </w:numPr>
      </w:pPr>
      <w:r>
        <w:t xml:space="preserve">Zneužití práva – švarcsystém II.</w:t>
      </w:r>
    </w:p>
    <w:p>
      <w:pPr>
        <w:pStyle w:val="Compact"/>
        <w:numPr>
          <w:numId w:val="1143"/>
          <w:ilvl w:val="0"/>
        </w:numPr>
      </w:pPr>
      <w:r>
        <w:t xml:space="preserve">NSS 2 Afs 173/2005-69 – pokrač. II.:</w:t>
      </w:r>
    </w:p>
    <w:p>
      <w:pPr>
        <w:pStyle w:val="Compact"/>
        <w:numPr>
          <w:numId w:val="1163"/>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63"/>
          <w:ilvl w:val="1"/>
        </w:numPr>
      </w:pPr>
      <w:r>
        <w:t xml:space="preserve">Případné porušení zákona o zaměstnanosti nemůže mít vliv na daňové posuzování</w:t>
      </w:r>
    </w:p>
    <w:p>
      <w:pPr>
        <w:pStyle w:val="Compact"/>
        <w:numPr>
          <w:numId w:val="1163"/>
          <w:ilvl w:val="1"/>
        </w:numPr>
      </w:pPr>
      <w:r>
        <w:t xml:space="preserve">Ke zneužití práva zde tedy nedošlo</w:t>
      </w:r>
    </w:p>
    <w:p>
      <w:pPr>
        <w:pStyle w:val="Compact"/>
        <w:numPr>
          <w:numId w:val="1143"/>
          <w:ilvl w:val="0"/>
        </w:numPr>
      </w:pPr>
      <w:r>
        <w:t xml:space="preserve">Zneužití práva – judikatura - OSVČ pracující vedle zaměstnanců</w:t>
      </w:r>
    </w:p>
    <w:p>
      <w:pPr>
        <w:pStyle w:val="Compact"/>
        <w:numPr>
          <w:numId w:val="1143"/>
          <w:ilvl w:val="0"/>
        </w:numPr>
      </w:pPr>
      <w:r>
        <w:t xml:space="preserve">NSS 5 Afs 65/2010 – 138 ze dne 30. září 2011 (Sbírka NSS 2/2012 č. 2488/2012)</w:t>
      </w:r>
    </w:p>
    <w:p>
      <w:pPr>
        <w:pStyle w:val="Compact"/>
        <w:numPr>
          <w:numId w:val="1164"/>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143"/>
          <w:ilvl w:val="0"/>
        </w:numPr>
      </w:pPr>
      <w:r>
        <w:t xml:space="preserve">Dvojí zdanění jednoho příjmu</w:t>
      </w:r>
    </w:p>
    <w:p>
      <w:pPr>
        <w:pStyle w:val="Compact"/>
        <w:numPr>
          <w:numId w:val="1143"/>
          <w:ilvl w:val="0"/>
        </w:numPr>
      </w:pPr>
      <w:r>
        <w:t xml:space="preserve">Příjem zdanila FO ve svém daňovém přiznání</w:t>
      </w:r>
    </w:p>
    <w:p>
      <w:pPr>
        <w:pStyle w:val="Compact"/>
        <w:numPr>
          <w:numId w:val="1143"/>
          <w:ilvl w:val="0"/>
        </w:numPr>
      </w:pPr>
      <w:r>
        <w:t xml:space="preserve">Kontrola doměřila zaměstnavateli švarcsystém</w:t>
      </w:r>
    </w:p>
    <w:p>
      <w:pPr>
        <w:pStyle w:val="Compact"/>
        <w:numPr>
          <w:numId w:val="1143"/>
          <w:ilvl w:val="0"/>
        </w:numPr>
      </w:pPr>
      <w:r>
        <w:t xml:space="preserve">Daň tedy zaplacena 2 x</w:t>
      </w:r>
    </w:p>
    <w:p>
      <w:pPr>
        <w:numPr>
          <w:numId w:val="1143"/>
          <w:ilvl w:val="0"/>
        </w:numPr>
      </w:pPr>
      <w:r>
        <w:t xml:space="preserve">Dá se řešit dodatečným DP fyzickou osobou</w:t>
      </w:r>
    </w:p>
    <w:p>
      <w:pPr>
        <w:pStyle w:val="Compact"/>
        <w:numPr>
          <w:numId w:val="1143"/>
          <w:ilvl w:val="0"/>
        </w:numPr>
      </w:pPr>
      <w:r>
        <w:t xml:space="preserve">Švarcsystém – shrnutí zákl. kritérií</w:t>
      </w:r>
    </w:p>
    <w:p>
      <w:pPr>
        <w:numPr>
          <w:numId w:val="1143"/>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143"/>
          <w:ilvl w:val="0"/>
        </w:numPr>
      </w:pPr>
      <w:r>
        <w:t xml:space="preserve">Švarcsystém – shrnutí zákl. kritérií II.</w:t>
      </w:r>
    </w:p>
    <w:p>
      <w:pPr>
        <w:pStyle w:val="Compact"/>
        <w:numPr>
          <w:numId w:val="1143"/>
          <w:ilvl w:val="0"/>
        </w:numPr>
      </w:pPr>
      <w:r>
        <w:t xml:space="preserve">Materiální kritéria závislé činnosti</w:t>
      </w:r>
    </w:p>
    <w:p>
      <w:pPr>
        <w:pStyle w:val="Compact"/>
        <w:numPr>
          <w:numId w:val="1165"/>
          <w:ilvl w:val="1"/>
        </w:numPr>
      </w:pPr>
      <w:r>
        <w:t xml:space="preserve">typicky práce vykonávaná na jednom místě výhradně pro jednoho zaměstnavatele</w:t>
      </w:r>
    </w:p>
    <w:p>
      <w:pPr>
        <w:pStyle w:val="Compact"/>
        <w:numPr>
          <w:numId w:val="1165"/>
          <w:ilvl w:val="1"/>
        </w:numPr>
      </w:pPr>
      <w:r>
        <w:t xml:space="preserve">činnost dlouhodobá</w:t>
      </w:r>
    </w:p>
    <w:p>
      <w:pPr>
        <w:pStyle w:val="Compact"/>
        <w:numPr>
          <w:numId w:val="1165"/>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143"/>
          <w:ilvl w:val="0"/>
        </w:numPr>
      </w:pPr>
      <w:r>
        <w:t xml:space="preserve">Švarcsystém – shrnutí zákl. kritérií III.</w:t>
      </w:r>
    </w:p>
    <w:p>
      <w:pPr>
        <w:pStyle w:val="Compact"/>
        <w:numPr>
          <w:numId w:val="1143"/>
          <w:ilvl w:val="0"/>
        </w:numPr>
      </w:pPr>
      <w:r>
        <w:t xml:space="preserve">o závislou činnost zpravidla nejde:</w:t>
      </w:r>
    </w:p>
    <w:p>
      <w:pPr>
        <w:pStyle w:val="Compact"/>
        <w:numPr>
          <w:numId w:val="1166"/>
          <w:ilvl w:val="1"/>
        </w:numPr>
      </w:pPr>
      <w:r>
        <w:t xml:space="preserve">jedná-li se o specializovanou činnost vykonávanou pouze krátkodobě či nesoustavně,</w:t>
      </w:r>
    </w:p>
    <w:p>
      <w:pPr>
        <w:pStyle w:val="Compact"/>
        <w:numPr>
          <w:numId w:val="1166"/>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143"/>
          <w:ilvl w:val="0"/>
        </w:numPr>
      </w:pPr>
      <w:r>
        <w:t xml:space="preserve">Švarcsystém – shrnutí zákl. kritérií IV.</w:t>
      </w:r>
    </w:p>
    <w:p>
      <w:pPr>
        <w:pStyle w:val="Compact"/>
        <w:numPr>
          <w:numId w:val="1143"/>
          <w:ilvl w:val="0"/>
        </w:numPr>
      </w:pPr>
      <w:r>
        <w:t xml:space="preserve">Délka trvání vztahu, pracovní doba</w:t>
      </w:r>
    </w:p>
    <w:p>
      <w:pPr>
        <w:pStyle w:val="Compact"/>
        <w:numPr>
          <w:numId w:val="1167"/>
          <w:ilvl w:val="1"/>
        </w:numPr>
      </w:pPr>
      <w:r>
        <w:t xml:space="preserve">To, že se jedná o vztah trvající povahy, ještě neznamená, že se nutně musí jednat o závislou činnost</w:t>
      </w:r>
    </w:p>
    <w:p>
      <w:pPr>
        <w:pStyle w:val="Compact"/>
        <w:numPr>
          <w:numId w:val="1167"/>
          <w:ilvl w:val="1"/>
        </w:numPr>
      </w:pPr>
      <w:r>
        <w:t xml:space="preserve">malý podnikatel, který nemá zaměstnance, má velmi podobný fond pracovní doby, respektive fond své podnikatelské činnosti, kterou má k dispozici zaměstnanec</w:t>
      </w:r>
    </w:p>
    <w:p>
      <w:pPr>
        <w:pStyle w:val="Compact"/>
        <w:numPr>
          <w:numId w:val="1167"/>
          <w:ilvl w:val="1"/>
        </w:numPr>
      </w:pPr>
      <w:r>
        <w:t xml:space="preserve">Není nutně na závadu ani fakturace podle hodin</w:t>
      </w:r>
    </w:p>
    <w:p>
      <w:pPr>
        <w:pStyle w:val="Compact"/>
        <w:numPr>
          <w:numId w:val="1143"/>
          <w:ilvl w:val="0"/>
        </w:numPr>
      </w:pPr>
      <w:r>
        <w:t xml:space="preserve">Švarcsystém – shrnutí zákl. kritérií V.</w:t>
      </w:r>
    </w:p>
    <w:p>
      <w:pPr>
        <w:pStyle w:val="Compact"/>
        <w:numPr>
          <w:numId w:val="1143"/>
          <w:ilvl w:val="0"/>
        </w:numPr>
      </w:pPr>
      <w:r>
        <w:t xml:space="preserve">Ekonomický nátlak, smluvní svoboda</w:t>
      </w:r>
    </w:p>
    <w:p>
      <w:pPr>
        <w:pStyle w:val="Compact"/>
        <w:numPr>
          <w:numId w:val="1168"/>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143"/>
          <w:ilvl w:val="0"/>
        </w:numPr>
      </w:pPr>
      <w:r>
        <w:t xml:space="preserve">Švarcsystém – shrnutí zákl. kritérií VI.</w:t>
      </w:r>
    </w:p>
    <w:p>
      <w:pPr>
        <w:numPr>
          <w:numId w:val="1143"/>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143"/>
          <w:ilvl w:val="0"/>
        </w:numPr>
      </w:pPr>
      <w:r>
        <w:t xml:space="preserve">Švarcsystém – shrnutí zákl. kritérií VII.</w:t>
      </w:r>
    </w:p>
    <w:p>
      <w:pPr>
        <w:pStyle w:val="Compact"/>
        <w:numPr>
          <w:numId w:val="1143"/>
          <w:ilvl w:val="0"/>
        </w:numPr>
      </w:pPr>
      <w:r>
        <w:t xml:space="preserve">ustanovení § 2 odst. 3 zákona č. 262/2006 Sb., zákoník práce - závislá práce - nadřízenost zaměstnavatele a podřízenosti zaměstnance:</w:t>
      </w:r>
    </w:p>
    <w:p>
      <w:pPr>
        <w:pStyle w:val="Compact"/>
        <w:numPr>
          <w:numId w:val="1143"/>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143"/>
          <w:ilvl w:val="0"/>
        </w:numPr>
      </w:pPr>
      <w:r>
        <w:t xml:space="preserve">§ 3 ZP - závislá práce může být vykonávána výlučně v pracovněprávním vztahu podle tohoto zákona, není-li upravena zvláštními právními předpisy.</w:t>
      </w:r>
    </w:p>
    <w:p>
      <w:pPr>
        <w:pStyle w:val="Compact"/>
        <w:numPr>
          <w:numId w:val="1143"/>
          <w:ilvl w:val="0"/>
        </w:numPr>
      </w:pPr>
      <w:r>
        <w:t xml:space="preserve">Švarcsystém – shrnutí zákl. kritérií VIII.</w:t>
      </w:r>
    </w:p>
    <w:p>
      <w:pPr>
        <w:numPr>
          <w:numId w:val="1143"/>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143"/>
          <w:ilvl w:val="0"/>
        </w:numPr>
      </w:pPr>
      <w:r>
        <w:t xml:space="preserve">Švarcsystém u společníků a jednatelů</w:t>
      </w:r>
    </w:p>
    <w:p>
      <w:pPr>
        <w:pStyle w:val="Compact"/>
        <w:numPr>
          <w:numId w:val="1143"/>
          <w:ilvl w:val="0"/>
        </w:numPr>
      </w:pPr>
      <w:r>
        <w:t xml:space="preserve">§ 6 odst. 1 písm. b) do příjmů ze závislé činnosti zařazuje: příjmy za práci</w:t>
      </w:r>
    </w:p>
    <w:p>
      <w:pPr>
        <w:pStyle w:val="Compact"/>
        <w:numPr>
          <w:numId w:val="1169"/>
          <w:ilvl w:val="1"/>
        </w:numPr>
      </w:pPr>
      <w:r>
        <w:t xml:space="preserve">člena družstva,</w:t>
      </w:r>
    </w:p>
    <w:p>
      <w:pPr>
        <w:pStyle w:val="Compact"/>
        <w:numPr>
          <w:numId w:val="1169"/>
          <w:ilvl w:val="1"/>
        </w:numPr>
      </w:pPr>
      <w:r>
        <w:t xml:space="preserve">společníka společnosti s ručením omezeným,</w:t>
      </w:r>
    </w:p>
    <w:p>
      <w:pPr>
        <w:pStyle w:val="Compact"/>
        <w:numPr>
          <w:numId w:val="1169"/>
          <w:ilvl w:val="1"/>
        </w:numPr>
      </w:pPr>
      <w:r>
        <w:t xml:space="preserve">komanditisty komanditní společnosti.</w:t>
      </w:r>
    </w:p>
    <w:p>
      <w:pPr>
        <w:numPr>
          <w:numId w:val="1143"/>
          <w:ilvl w:val="0"/>
        </w:numPr>
      </w:pPr>
      <w:r>
        <w:t xml:space="preserve">Podle písm. c) téhož ustanovení pak i odměny člena orgánu právnické osoby (zde se již nehovoří ani o nutnosti pracovat).</w:t>
      </w:r>
    </w:p>
    <w:p>
      <w:pPr>
        <w:pStyle w:val="Compact"/>
        <w:numPr>
          <w:numId w:val="1143"/>
          <w:ilvl w:val="0"/>
        </w:numPr>
      </w:pPr>
      <w:r>
        <w:t xml:space="preserve">Švarcsystém u společníků a jednatelů</w:t>
      </w:r>
    </w:p>
    <w:p>
      <w:pPr>
        <w:pStyle w:val="Compact"/>
        <w:numPr>
          <w:numId w:val="1143"/>
          <w:ilvl w:val="0"/>
        </w:numPr>
      </w:pPr>
      <w:r>
        <w:t xml:space="preserve">zákaz konkurence (§432 nového občanského zákoníku):</w:t>
      </w:r>
    </w:p>
    <w:p>
      <w:pPr>
        <w:numPr>
          <w:numId w:val="1143"/>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143"/>
          <w:ilvl w:val="0"/>
        </w:numPr>
      </w:pPr>
      <w:r>
        <w:t xml:space="preserve">Švarcsystém u společníků a jednatelů</w:t>
      </w:r>
    </w:p>
    <w:p>
      <w:pPr>
        <w:pStyle w:val="Compact"/>
        <w:numPr>
          <w:numId w:val="1143"/>
          <w:ilvl w:val="0"/>
        </w:numPr>
      </w:pPr>
      <w:r>
        <w:t xml:space="preserve">Příklad NSS 6 Afs 9/2003 + IV. ÚS 385/04 advokát:</w:t>
      </w:r>
    </w:p>
    <w:p>
      <w:pPr>
        <w:pStyle w:val="Compact"/>
        <w:numPr>
          <w:numId w:val="1170"/>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70"/>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143"/>
          <w:ilvl w:val="0"/>
        </w:numPr>
      </w:pPr>
      <w:r>
        <w:t xml:space="preserve">Švarcsystém u společníků a jednatelů</w:t>
      </w:r>
    </w:p>
    <w:p>
      <w:pPr>
        <w:pStyle w:val="Compact"/>
        <w:numPr>
          <w:numId w:val="1143"/>
          <w:ilvl w:val="0"/>
        </w:numPr>
      </w:pPr>
      <w:r>
        <w:t xml:space="preserve">NSS 2 Afs 4/2005</w:t>
      </w:r>
    </w:p>
    <w:p>
      <w:pPr>
        <w:pStyle w:val="Compact"/>
        <w:numPr>
          <w:numId w:val="1171"/>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143"/>
          <w:ilvl w:val="0"/>
        </w:numPr>
      </w:pPr>
      <w:r>
        <w:t xml:space="preserve">Švarcsystém u společníků a jednatelů</w:t>
      </w:r>
    </w:p>
    <w:p>
      <w:pPr>
        <w:pStyle w:val="Compact"/>
        <w:numPr>
          <w:numId w:val="1143"/>
          <w:ilvl w:val="0"/>
        </w:numPr>
      </w:pPr>
      <w:r>
        <w:t xml:space="preserve">NSS 2 Afs 22/2005 Autobazar a příprava vozidel k prodeji prováděná firmou společníka</w:t>
      </w:r>
    </w:p>
    <w:p>
      <w:pPr>
        <w:numPr>
          <w:numId w:val="1143"/>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143"/>
          <w:ilvl w:val="0"/>
        </w:numPr>
      </w:pPr>
      <w:r>
        <w:t xml:space="preserve">Švarcsystém u společníků a jednatelů</w:t>
      </w:r>
    </w:p>
    <w:p>
      <w:pPr>
        <w:pStyle w:val="Compact"/>
        <w:numPr>
          <w:numId w:val="1143"/>
          <w:ilvl w:val="0"/>
        </w:numPr>
      </w:pPr>
      <w:r>
        <w:t xml:space="preserve">NSS 2 Afs 24/2010</w:t>
      </w:r>
    </w:p>
    <w:p>
      <w:pPr>
        <w:pStyle w:val="Compact"/>
        <w:numPr>
          <w:numId w:val="1172"/>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9" w:name="fakturace-mezi-manžely"/>
      <w:bookmarkEnd w:id="99"/>
      <w:r>
        <w:t xml:space="preserve">Fakturace mezi manžely</w:t>
      </w:r>
    </w:p>
    <w:p>
      <w:pPr>
        <w:pStyle w:val="Compact"/>
        <w:numPr>
          <w:numId w:val="1173"/>
          <w:ilvl w:val="0"/>
        </w:numPr>
      </w:pPr>
      <w:r>
        <w:t xml:space="preserve">Fakturace mezi manžely</w:t>
      </w:r>
    </w:p>
    <w:p>
      <w:pPr>
        <w:pStyle w:val="Compact"/>
        <w:numPr>
          <w:numId w:val="1173"/>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73"/>
          <w:ilvl w:val="0"/>
        </w:numPr>
      </w:pPr>
      <w:r>
        <w:t xml:space="preserve">Manželka připravovala pro manžela účetní doklady a vyfakturovala mu tuto práci.</w:t>
      </w:r>
    </w:p>
    <w:p>
      <w:pPr>
        <w:pStyle w:val="Compact"/>
        <w:numPr>
          <w:numId w:val="1173"/>
          <w:ilvl w:val="0"/>
        </w:numPr>
      </w:pPr>
      <w:r>
        <w:t xml:space="preserve">Fakturace mezi manžely</w:t>
      </w:r>
    </w:p>
    <w:p>
      <w:pPr>
        <w:pStyle w:val="Compact"/>
        <w:numPr>
          <w:numId w:val="1173"/>
          <w:ilvl w:val="0"/>
        </w:numPr>
      </w:pPr>
      <w:r>
        <w:t xml:space="preserve">5 Afs 21/2003-66 pokrač.:</w:t>
      </w:r>
    </w:p>
    <w:p>
      <w:pPr>
        <w:pStyle w:val="Compact"/>
        <w:numPr>
          <w:numId w:val="1174"/>
          <w:ilvl w:val="1"/>
        </w:numPr>
      </w:pPr>
      <w:r>
        <w:t xml:space="preserve">Zveřejněné právní věty:</w:t>
      </w:r>
    </w:p>
    <w:p>
      <w:pPr>
        <w:pStyle w:val="Compact"/>
        <w:numPr>
          <w:numId w:val="1174"/>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73"/>
          <w:ilvl w:val="0"/>
        </w:numPr>
      </w:pPr>
      <w:r>
        <w:t xml:space="preserve">Fakturace mezi manžely</w:t>
      </w:r>
    </w:p>
    <w:p>
      <w:pPr>
        <w:pStyle w:val="Compact"/>
        <w:numPr>
          <w:numId w:val="1173"/>
          <w:ilvl w:val="0"/>
        </w:numPr>
      </w:pPr>
      <w:r>
        <w:t xml:space="preserve">NSS 5 Afs 21/2003-66 pokrač. II:</w:t>
      </w:r>
    </w:p>
    <w:p>
      <w:pPr>
        <w:pStyle w:val="Compact"/>
        <w:numPr>
          <w:numId w:val="1175"/>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73"/>
          <w:ilvl w:val="0"/>
        </w:numPr>
      </w:pPr>
      <w:r>
        <w:t xml:space="preserve">Fakturace mezi manžely</w:t>
      </w:r>
    </w:p>
    <w:p>
      <w:pPr>
        <w:pStyle w:val="Compact"/>
        <w:numPr>
          <w:numId w:val="1173"/>
          <w:ilvl w:val="0"/>
        </w:numPr>
      </w:pPr>
      <w:r>
        <w:t xml:space="preserve">NSS 5 Afs 113/2006-70 ze dne 5. září 2007</w:t>
      </w:r>
    </w:p>
    <w:p>
      <w:pPr>
        <w:pStyle w:val="Compact"/>
        <w:numPr>
          <w:numId w:val="1173"/>
          <w:ilvl w:val="0"/>
        </w:numPr>
      </w:pPr>
      <w:r>
        <w:t xml:space="preserve">„Úvaha stěžovatele, že zásada rovnosti mezi manžely a institut společného jmění v podstatě brání jejich vzájemné fakturaci, tedy není správná.</w:t>
      </w:r>
    </w:p>
    <w:p>
      <w:pPr>
        <w:numPr>
          <w:numId w:val="1173"/>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73"/>
          <w:ilvl w:val="0"/>
        </w:numPr>
      </w:pPr>
      <w:r>
        <w:t xml:space="preserve">Fakturace mezi manžely</w:t>
      </w:r>
    </w:p>
    <w:p>
      <w:pPr>
        <w:pStyle w:val="Compact"/>
        <w:numPr>
          <w:numId w:val="1173"/>
          <w:ilvl w:val="0"/>
        </w:numPr>
      </w:pPr>
      <w:r>
        <w:t xml:space="preserve">NSS 8 Afs 64/2005-66 ze dne 3. 5. 2007, Sbírka NSS 9/2007 pod č. 1305/2007</w:t>
      </w:r>
    </w:p>
    <w:p>
      <w:pPr>
        <w:pStyle w:val="Compact"/>
        <w:numPr>
          <w:numId w:val="1176"/>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73"/>
          <w:ilvl w:val="0"/>
        </w:numPr>
      </w:pPr>
      <w:r>
        <w:t xml:space="preserve">Fakturace mezi manžely</w:t>
      </w:r>
    </w:p>
    <w:p>
      <w:pPr>
        <w:pStyle w:val="Compact"/>
        <w:numPr>
          <w:numId w:val="1173"/>
          <w:ilvl w:val="0"/>
        </w:numPr>
      </w:pPr>
      <w:r>
        <w:t xml:space="preserve">NSS 8 Afs 64/2005-66 pokrač.:</w:t>
      </w:r>
    </w:p>
    <w:p>
      <w:pPr>
        <w:pStyle w:val="Compact"/>
        <w:numPr>
          <w:numId w:val="1177"/>
          <w:ilvl w:val="1"/>
        </w:numPr>
      </w:pPr>
      <w:r>
        <w:t xml:space="preserve">Předmětem fakturace byla spolupráce na odkupu akcií a ve fakturované částce jsou zahrnuty úhrady na cestovné, odpisy automobilu a výplata za uzavřené smlouvy.</w:t>
      </w:r>
    </w:p>
    <w:p>
      <w:pPr>
        <w:pStyle w:val="Compact"/>
        <w:numPr>
          <w:numId w:val="1177"/>
          <w:ilvl w:val="1"/>
        </w:numPr>
      </w:pPr>
      <w:r>
        <w:t xml:space="preserve">konkrétní podklady pro fakturaci s manželem nebyly, neboť vycházeli z nákladů na cestovné a z objemu uzavřených smluv.</w:t>
      </w:r>
    </w:p>
    <w:p>
      <w:pPr>
        <w:pStyle w:val="Compact"/>
        <w:numPr>
          <w:numId w:val="1177"/>
          <w:ilvl w:val="1"/>
        </w:numPr>
      </w:pPr>
      <w:r>
        <w:t xml:space="preserve">Veškeré smlouvy byly uzavřeny manželovým jménem.</w:t>
      </w:r>
    </w:p>
    <w:p>
      <w:pPr>
        <w:pStyle w:val="Compact"/>
        <w:numPr>
          <w:numId w:val="1177"/>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73"/>
          <w:ilvl w:val="0"/>
        </w:numPr>
      </w:pPr>
      <w:r>
        <w:t xml:space="preserve">Fakturace mezi manžely - shrnutí</w:t>
      </w:r>
    </w:p>
    <w:p>
      <w:pPr>
        <w:pStyle w:val="Compact"/>
        <w:numPr>
          <w:numId w:val="1173"/>
          <w:ilvl w:val="0"/>
        </w:numPr>
      </w:pPr>
      <w:r>
        <w:t xml:space="preserve">Vztahy mezi manžely:</w:t>
      </w:r>
    </w:p>
    <w:p>
      <w:pPr>
        <w:pStyle w:val="Compact"/>
        <w:numPr>
          <w:numId w:val="1179"/>
          <w:ilvl w:val="2"/>
        </w:numPr>
      </w:pPr>
      <w:r>
        <w:t xml:space="preserve">dosahování příjmů za spolupráce druhého z manželů,</w:t>
      </w:r>
    </w:p>
    <w:p>
      <w:pPr>
        <w:pStyle w:val="Compact"/>
        <w:numPr>
          <w:numId w:val="1180"/>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81"/>
          <w:ilvl w:val="2"/>
        </w:numPr>
      </w:pPr>
      <w:r>
        <w:t xml:space="preserve">manžel i manželka provozují vlastní podnikatelskou činnost nezávisle na sobě (a vzájemně si fakturují).</w:t>
      </w:r>
    </w:p>
    <w:p>
      <w:pPr>
        <w:pStyle w:val="Compact"/>
        <w:numPr>
          <w:numId w:val="1173"/>
          <w:ilvl w:val="0"/>
        </w:numPr>
      </w:pPr>
      <w:r>
        <w:t xml:space="preserve">Fakturace mezi manžely - shrnutí</w:t>
      </w:r>
    </w:p>
    <w:p>
      <w:pPr>
        <w:pStyle w:val="Compact"/>
        <w:numPr>
          <w:numId w:val="1173"/>
          <w:ilvl w:val="0"/>
        </w:numPr>
      </w:pPr>
      <w:r>
        <w:t xml:space="preserve">V případě fakturace je vhodné:</w:t>
      </w:r>
    </w:p>
    <w:p>
      <w:pPr>
        <w:pStyle w:val="Compact"/>
        <w:numPr>
          <w:numId w:val="1182"/>
          <w:ilvl w:val="1"/>
        </w:numPr>
      </w:pPr>
      <w:r>
        <w:t xml:space="preserve">mít více zákazníků než jen svého manžela,</w:t>
      </w:r>
    </w:p>
    <w:p>
      <w:pPr>
        <w:pStyle w:val="Compact"/>
        <w:numPr>
          <w:numId w:val="1182"/>
          <w:ilvl w:val="1"/>
        </w:numPr>
      </w:pPr>
      <w:r>
        <w:t xml:space="preserve">mít vlastní nářadí, materiál, počítač, kancelář apod. a nebude jen využívat majetek, který ve svém podnikání vykazuje manžel, kterému je fakturováno,</w:t>
      </w:r>
    </w:p>
    <w:p>
      <w:pPr>
        <w:pStyle w:val="Compact"/>
        <w:numPr>
          <w:numId w:val="1182"/>
          <w:ilvl w:val="1"/>
        </w:numPr>
      </w:pPr>
      <w:r>
        <w:t xml:space="preserve">manželovi nebude fakturovat „spolupráci“, ale konkrétní činnosti či zboží, které fakturuje i ostatním zákazníkům,</w:t>
      </w:r>
    </w:p>
    <w:p>
      <w:pPr>
        <w:pStyle w:val="Compact"/>
        <w:numPr>
          <w:numId w:val="1182"/>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100" w:name="švarcsystém-mimo-spory-s-úřady"/>
      <w:bookmarkEnd w:id="100"/>
      <w:r>
        <w:t xml:space="preserve">Švarcsystém mimo spory s úřady</w:t>
      </w:r>
    </w:p>
    <w:p>
      <w:pPr>
        <w:pStyle w:val="Compact"/>
        <w:numPr>
          <w:numId w:val="1183"/>
          <w:ilvl w:val="0"/>
        </w:numPr>
      </w:pPr>
      <w:r>
        <w:t xml:space="preserve">NS 21 Cdo 2687/2012 – fotograf v ateliéru</w:t>
      </w:r>
    </w:p>
    <w:p>
      <w:pPr>
        <w:numPr>
          <w:numId w:val="1183"/>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83"/>
          <w:ilvl w:val="0"/>
        </w:numPr>
      </w:pPr>
      <w:r>
        <w:t xml:space="preserve">Švarcsystém mimo spory s úřady</w:t>
      </w:r>
    </w:p>
    <w:p>
      <w:pPr>
        <w:pStyle w:val="Compact"/>
        <w:numPr>
          <w:numId w:val="1183"/>
          <w:ilvl w:val="0"/>
        </w:numPr>
      </w:pPr>
      <w:r>
        <w:t xml:space="preserve">NS 21 Cdo 920/2010 řidiči České televize</w:t>
      </w:r>
    </w:p>
    <w:p>
      <w:pPr>
        <w:pStyle w:val="Compact"/>
        <w:numPr>
          <w:numId w:val="1184"/>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84"/>
          <w:ilvl w:val="1"/>
        </w:numPr>
      </w:pPr>
      <w:r>
        <w:t xml:space="preserve">Nebylo uznáno jako podnikání</w:t>
      </w:r>
    </w:p>
    <w:p>
      <w:pPr>
        <w:pStyle w:val="Compact"/>
        <w:numPr>
          <w:numId w:val="1183"/>
          <w:ilvl w:val="0"/>
        </w:numPr>
      </w:pPr>
      <w:r>
        <w:t xml:space="preserve">Švarcsystém mimo spory s úřady</w:t>
      </w:r>
    </w:p>
    <w:p>
      <w:pPr>
        <w:pStyle w:val="Compact"/>
        <w:numPr>
          <w:numId w:val="1183"/>
          <w:ilvl w:val="0"/>
        </w:numPr>
      </w:pPr>
      <w:r>
        <w:t xml:space="preserve">Souběh pracovních a obchodních smluv k témuž zaměstnavateli</w:t>
      </w:r>
    </w:p>
    <w:p>
      <w:pPr>
        <w:pStyle w:val="Compact"/>
        <w:numPr>
          <w:numId w:val="1183"/>
          <w:ilvl w:val="0"/>
        </w:numPr>
      </w:pPr>
      <w:r>
        <w:t xml:space="preserve">NS 21 Cdo 3862/2012</w:t>
      </w:r>
    </w:p>
    <w:p>
      <w:pPr>
        <w:pStyle w:val="Compact"/>
        <w:numPr>
          <w:numId w:val="1183"/>
          <w:ilvl w:val="0"/>
        </w:numPr>
      </w:pPr>
      <w:r>
        <w:t xml:space="preserve">Zaměstnanec dostal výpověď, soudil se úspěšně o vyslovení její neplatnosti.</w:t>
      </w:r>
    </w:p>
    <w:p>
      <w:pPr>
        <w:pStyle w:val="Compact"/>
        <w:numPr>
          <w:numId w:val="1183"/>
          <w:ilvl w:val="0"/>
        </w:numPr>
      </w:pPr>
      <w:r>
        <w:t xml:space="preserve">Náležela mu proto náhrada mzdy. V rámci posuzování náhrady mzdy došlo i na zkoumání uzavřené obchodní smlouvy, která byla posouzena jako zastírání reálné pracovní smlouvy.</w:t>
      </w:r>
    </w:p>
    <w:p>
      <w:pPr>
        <w:numPr>
          <w:numId w:val="1183"/>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83"/>
          <w:ilvl w:val="0"/>
        </w:numPr>
      </w:pPr>
      <w:r>
        <w:t xml:space="preserve">Švarcsystém mimo spory s úřady</w:t>
      </w:r>
    </w:p>
    <w:p>
      <w:pPr>
        <w:pStyle w:val="Compact"/>
        <w:numPr>
          <w:numId w:val="1183"/>
          <w:ilvl w:val="0"/>
        </w:numPr>
      </w:pPr>
      <w:r>
        <w:t xml:space="preserve">Švarcsystém a náhrada škody za úraz NS 25 Cdo 5262/2008</w:t>
      </w:r>
    </w:p>
    <w:p>
      <w:pPr>
        <w:pStyle w:val="Compact"/>
        <w:numPr>
          <w:numId w:val="1185"/>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101" w:name="švarcsystém-možný-budoucí-vývoj"/>
      <w:bookmarkEnd w:id="101"/>
      <w:r>
        <w:t xml:space="preserve">Švarcsystém – možný budoucí vývoj</w:t>
      </w:r>
    </w:p>
    <w:p>
      <w:pPr>
        <w:pStyle w:val="Compact"/>
        <w:numPr>
          <w:numId w:val="1186"/>
          <w:ilvl w:val="0"/>
        </w:numPr>
      </w:pPr>
      <w:r>
        <w:t xml:space="preserve">Omezování výdajových paušálů</w:t>
      </w:r>
    </w:p>
    <w:p>
      <w:pPr>
        <w:pStyle w:val="Compact"/>
        <w:numPr>
          <w:numId w:val="1186"/>
          <w:ilvl w:val="0"/>
        </w:numPr>
      </w:pPr>
      <w:r>
        <w:t xml:space="preserve">Kontroly</w:t>
      </w:r>
    </w:p>
    <w:p>
      <w:pPr>
        <w:pStyle w:val="Compact"/>
        <w:numPr>
          <w:numId w:val="1186"/>
          <w:ilvl w:val="0"/>
        </w:numPr>
      </w:pPr>
      <w:r>
        <w:t xml:space="preserve">Další zpřísňování zákonů</w:t>
      </w:r>
    </w:p>
    <w:p>
      <w:pPr>
        <w:pStyle w:val="Heading2"/>
      </w:pPr>
      <w:bookmarkStart w:id="102" w:name="daňový-režim-při-úmrtí-daňového-subjektu-daň-z-příjmů-fyzických-osob-dph-ostatní-daně-dědická-aj."/>
      <w:bookmarkEnd w:id="102"/>
      <w:r>
        <w:t xml:space="preserve">11. Daňový režim při úmrtí daňového subjektu – daň z příjmů fyzických osob, DPH, ostatní daně (dědická aj.)</w:t>
      </w:r>
    </w:p>
    <w:p>
      <w:pPr>
        <w:pStyle w:val="Compact"/>
        <w:numPr>
          <w:numId w:val="1187"/>
          <w:ilvl w:val="0"/>
        </w:numPr>
      </w:pPr>
      <w:r>
        <w:t xml:space="preserve">Příjmy v podobě dědictví jsou zcela osvobozeny od daně z příjmů (§4a/a) ZDP)</w:t>
      </w:r>
    </w:p>
    <w:p>
      <w:pPr>
        <w:pStyle w:val="Compact"/>
        <w:numPr>
          <w:numId w:val="1187"/>
          <w:ilvl w:val="0"/>
        </w:numPr>
      </w:pPr>
      <w:r>
        <w:t xml:space="preserve">Nevztahují se zde ani dědické třídy</w:t>
      </w:r>
    </w:p>
    <w:p>
      <w:pPr>
        <w:pStyle w:val="Compact"/>
        <w:numPr>
          <w:numId w:val="1187"/>
          <w:ilvl w:val="0"/>
        </w:numPr>
      </w:pPr>
      <w:r>
        <w:t xml:space="preserve">Daňová povinnost zůstavitele = daňová povinnost do dne předcházejícího dni skončení řízení o pozůstalosti (§ 98-288 zák. č. 292/2013 Sb. - Zákon o zvláštních řízeních soudních)</w:t>
      </w:r>
    </w:p>
    <w:p>
      <w:pPr>
        <w:pStyle w:val="Compact"/>
        <w:numPr>
          <w:numId w:val="1187"/>
          <w:ilvl w:val="0"/>
        </w:numPr>
      </w:pPr>
      <w:r>
        <w:t xml:space="preserve">Přechází na dědice rozhodnutím soudu o dědictví – dědic získává postavení DS (§ 239a/3 daňového řádu, dále také DŘ)</w:t>
      </w:r>
    </w:p>
    <w:p>
      <w:pPr>
        <w:pStyle w:val="Compact"/>
        <w:numPr>
          <w:numId w:val="1187"/>
          <w:ilvl w:val="0"/>
        </w:numPr>
      </w:pPr>
      <w:r>
        <w:t xml:space="preserve">Osoba spravující pozůstalost (správce pozůstalosti, vykonatel závěti, potenciální dědic) - DPH, Silniční daň, Daň z příjmu:</w:t>
      </w:r>
    </w:p>
    <w:p>
      <w:pPr>
        <w:pStyle w:val="Compact"/>
        <w:numPr>
          <w:numId w:val="1187"/>
          <w:ilvl w:val="0"/>
        </w:numPr>
      </w:pPr>
      <w:r>
        <w:t xml:space="preserve">Plní po smrti zůstavitele jeho daňové povinnosti, a to vlastním jménem na účet zůstavitele</w:t>
      </w:r>
    </w:p>
    <w:p>
      <w:pPr>
        <w:pStyle w:val="Compact"/>
        <w:numPr>
          <w:numId w:val="1187"/>
          <w:ilvl w:val="0"/>
        </w:numPr>
      </w:pPr>
      <w:r>
        <w:t xml:space="preserve">Podat přiznání do 3 měsíců od smrti zůstavitele (§ 239b/4 DŘ)</w:t>
      </w:r>
    </w:p>
    <w:p>
      <w:pPr>
        <w:pStyle w:val="Compact"/>
        <w:numPr>
          <w:numId w:val="1188"/>
          <w:ilvl w:val="1"/>
        </w:numPr>
      </w:pPr>
      <w:r>
        <w:t xml:space="preserve">za období přede dnem smrti</w:t>
      </w:r>
    </w:p>
    <w:p>
      <w:pPr>
        <w:pStyle w:val="Compact"/>
        <w:numPr>
          <w:numId w:val="1187"/>
          <w:ilvl w:val="0"/>
        </w:numPr>
      </w:pPr>
      <w:r>
        <w:t xml:space="preserve">V průběhu řízení o pozůstalosti</w:t>
      </w:r>
    </w:p>
    <w:p>
      <w:pPr>
        <w:pStyle w:val="Compact"/>
        <w:numPr>
          <w:numId w:val="1189"/>
          <w:ilvl w:val="1"/>
        </w:numPr>
      </w:pPr>
      <w:r>
        <w:t xml:space="preserve">Standardní přiznání (do 3 měsíců po uplynutí zdaňovacího období – viz § 136 DŘ)</w:t>
      </w:r>
    </w:p>
    <w:p>
      <w:pPr>
        <w:pStyle w:val="Compact"/>
        <w:numPr>
          <w:numId w:val="1187"/>
          <w:ilvl w:val="0"/>
        </w:numPr>
      </w:pPr>
      <w:r>
        <w:t xml:space="preserve">Podat přiznání do 30 dnů ode dne skončení řízení o pozůstalosti (§ 239b/5 DŘ)</w:t>
      </w:r>
    </w:p>
    <w:p>
      <w:pPr>
        <w:pStyle w:val="Compact"/>
        <w:numPr>
          <w:numId w:val="1190"/>
          <w:ilvl w:val="1"/>
        </w:numPr>
      </w:pPr>
      <w:r>
        <w:t xml:space="preserve">za období před dnem skončení řízení o pozůstalosti</w:t>
      </w:r>
    </w:p>
    <w:p>
      <w:pPr>
        <w:pStyle w:val="Compact"/>
        <w:numPr>
          <w:numId w:val="1190"/>
          <w:ilvl w:val="1"/>
        </w:numPr>
      </w:pPr>
      <w:r>
        <w:t xml:space="preserve">Provedou se zde úpravy dle § 23/8 ZDP</w:t>
      </w:r>
    </w:p>
    <w:p>
      <w:pPr>
        <w:pStyle w:val="Compact"/>
        <w:numPr>
          <w:numId w:val="1190"/>
          <w:ilvl w:val="1"/>
        </w:numPr>
      </w:pPr>
      <w:r>
        <w:t xml:space="preserve">(+) Zásoby, (+) Pohledávky</w:t>
      </w:r>
    </w:p>
    <w:p>
      <w:pPr>
        <w:pStyle w:val="Compact"/>
        <w:numPr>
          <w:numId w:val="1190"/>
          <w:ilvl w:val="1"/>
        </w:numPr>
      </w:pPr>
      <w:r>
        <w:t xml:space="preserve">(-) Závazky</w:t>
      </w:r>
    </w:p>
    <w:p>
      <w:pPr>
        <w:pStyle w:val="Heading2"/>
      </w:pPr>
      <w:bookmarkStart w:id="103" w:name="daň-z-přidané-hodnoty-charakteristika-základní-pojmy-zdanitelné-plnění-odpočet-zdaňovací-období-osoba-povinná-k-dani-plátce-daně-reverse-charge"/>
      <w:bookmarkEnd w:id="103"/>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104" w:name="nejčastější-podvody-na-dph"/>
      <w:bookmarkEnd w:id="104"/>
      <w:r>
        <w:t xml:space="preserve">13. Nejčastější podvody na DPH</w:t>
      </w:r>
    </w:p>
    <w:p>
      <w:pPr>
        <w:pStyle w:val="Compact"/>
        <w:numPr>
          <w:numId w:val="1191"/>
          <w:ilvl w:val="0"/>
        </w:numPr>
      </w:pPr>
      <w:r>
        <w:t xml:space="preserve">DPH I – podvody na DPH a jak jim čelit, zneužití práva</w:t>
      </w:r>
    </w:p>
    <w:p>
      <w:pPr>
        <w:pStyle w:val="Compact"/>
        <w:numPr>
          <w:numId w:val="1191"/>
          <w:ilvl w:val="0"/>
        </w:numPr>
      </w:pPr>
      <w:r>
        <w:t xml:space="preserve">Podvody na DPH</w:t>
      </w:r>
    </w:p>
    <w:p>
      <w:pPr>
        <w:pStyle w:val="Compact"/>
        <w:numPr>
          <w:numId w:val="1192"/>
          <w:ilvl w:val="1"/>
        </w:numPr>
      </w:pPr>
      <w:r>
        <w:t xml:space="preserve">Falešné doklady</w:t>
      </w:r>
    </w:p>
    <w:p>
      <w:pPr>
        <w:pStyle w:val="Compact"/>
        <w:numPr>
          <w:numId w:val="1192"/>
          <w:ilvl w:val="1"/>
        </w:numPr>
      </w:pPr>
      <w:r>
        <w:t xml:space="preserve">Fiktivní plnění</w:t>
      </w:r>
    </w:p>
    <w:p>
      <w:pPr>
        <w:pStyle w:val="Compact"/>
        <w:numPr>
          <w:numId w:val="1192"/>
          <w:ilvl w:val="1"/>
        </w:numPr>
      </w:pPr>
      <w:r>
        <w:t xml:space="preserve">Cena obvyklá</w:t>
      </w:r>
    </w:p>
    <w:p>
      <w:pPr>
        <w:pStyle w:val="Compact"/>
        <w:numPr>
          <w:numId w:val="1192"/>
          <w:ilvl w:val="1"/>
        </w:numPr>
      </w:pPr>
      <w:r>
        <w:t xml:space="preserve">Řetězové podvody</w:t>
      </w:r>
    </w:p>
    <w:p>
      <w:pPr>
        <w:pStyle w:val="Compact"/>
        <w:numPr>
          <w:numId w:val="1192"/>
          <w:ilvl w:val="1"/>
        </w:numPr>
      </w:pPr>
      <w:r>
        <w:t xml:space="preserve">Zneužití práva</w:t>
      </w:r>
    </w:p>
    <w:p>
      <w:pPr>
        <w:pStyle w:val="Compact"/>
        <w:numPr>
          <w:numId w:val="1191"/>
          <w:ilvl w:val="0"/>
        </w:numPr>
      </w:pPr>
      <w:r>
        <w:rPr>
          <w:b/>
        </w:rPr>
        <w:t xml:space="preserve">Falešné doklady</w:t>
      </w:r>
    </w:p>
    <w:p>
      <w:pPr>
        <w:pStyle w:val="Compact"/>
        <w:numPr>
          <w:numId w:val="1191"/>
          <w:ilvl w:val="0"/>
        </w:numPr>
      </w:pPr>
      <w:r>
        <w:t xml:space="preserve">Falšovaná razítka, podpisy</w:t>
      </w:r>
    </w:p>
    <w:p>
      <w:pPr>
        <w:pStyle w:val="Compact"/>
        <w:numPr>
          <w:numId w:val="1191"/>
          <w:ilvl w:val="0"/>
        </w:numPr>
      </w:pPr>
      <w:r>
        <w:t xml:space="preserve">Jednání jménem neexistující firmy</w:t>
      </w:r>
    </w:p>
    <w:p>
      <w:pPr>
        <w:numPr>
          <w:numId w:val="1191"/>
          <w:ilvl w:val="0"/>
        </w:numPr>
      </w:pPr>
      <w:r>
        <w:t xml:space="preserve">Jménem existující firmy jedná neoprávněná osoba, kterou ve firmě neznají</w:t>
      </w:r>
    </w:p>
    <w:p>
      <w:pPr>
        <w:pStyle w:val="Compact"/>
        <w:numPr>
          <w:numId w:val="1191"/>
          <w:ilvl w:val="0"/>
        </w:numPr>
      </w:pPr>
      <w:r>
        <w:t xml:space="preserve">Fiktivní plnění</w:t>
      </w:r>
    </w:p>
    <w:p>
      <w:pPr>
        <w:pStyle w:val="Compact"/>
        <w:numPr>
          <w:numId w:val="1191"/>
          <w:ilvl w:val="0"/>
        </w:numPr>
      </w:pPr>
      <w:r>
        <w:t xml:space="preserve">Doklady obvykle formálně v pořádku</w:t>
      </w:r>
    </w:p>
    <w:p>
      <w:pPr>
        <w:numPr>
          <w:numId w:val="1191"/>
          <w:ilvl w:val="0"/>
        </w:numPr>
      </w:pPr>
      <w:r>
        <w:t xml:space="preserve">Deklarované plnění se neuskutečnilo nebo uskutečnilo v podstatně menším rozsahu</w:t>
      </w:r>
    </w:p>
    <w:p>
      <w:pPr>
        <w:pStyle w:val="Compact"/>
        <w:numPr>
          <w:numId w:val="1191"/>
          <w:ilvl w:val="0"/>
        </w:numPr>
      </w:pPr>
      <w:r>
        <w:t xml:space="preserve">Cena obvyklá</w:t>
      </w:r>
    </w:p>
    <w:p>
      <w:pPr>
        <w:pStyle w:val="Compact"/>
        <w:numPr>
          <w:numId w:val="1191"/>
          <w:ilvl w:val="0"/>
        </w:numPr>
      </w:pPr>
      <w:r>
        <w:t xml:space="preserve">§ 36a ZDPH - Základ daně ve zvláštních případech</w:t>
      </w:r>
    </w:p>
    <w:p>
      <w:pPr>
        <w:numPr>
          <w:numId w:val="1191"/>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91"/>
          <w:ilvl w:val="0"/>
        </w:numPr>
      </w:pPr>
      <w:r>
        <w:t xml:space="preserve">Cena obvyklá</w:t>
      </w:r>
    </w:p>
    <w:p>
      <w:pPr>
        <w:pStyle w:val="Compact"/>
        <w:numPr>
          <w:numId w:val="1191"/>
          <w:ilvl w:val="0"/>
        </w:numPr>
      </w:pPr>
      <w:r>
        <w:t xml:space="preserve">Těmito osobami jsou:</w:t>
      </w:r>
    </w:p>
    <w:p>
      <w:pPr>
        <w:pStyle w:val="Compact"/>
        <w:numPr>
          <w:numId w:val="1194"/>
          <w:ilvl w:val="2"/>
        </w:numPr>
      </w:pPr>
      <w:r>
        <w:t xml:space="preserve">kapitálově spojené osoby podle s tím, že výše podílu představuje alespoň 25 % základního kapitálu nebo 25 % hlasovacích práv těchto osob,</w:t>
      </w:r>
    </w:p>
    <w:p>
      <w:pPr>
        <w:pStyle w:val="Compact"/>
        <w:numPr>
          <w:numId w:val="1195"/>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96"/>
          <w:ilvl w:val="2"/>
        </w:numPr>
      </w:pPr>
      <w:r>
        <w:t xml:space="preserve">osoby blízké,</w:t>
      </w:r>
    </w:p>
    <w:p>
      <w:pPr>
        <w:pStyle w:val="Compact"/>
        <w:numPr>
          <w:numId w:val="1197"/>
          <w:ilvl w:val="2"/>
        </w:numPr>
      </w:pPr>
      <w:r>
        <w:t xml:space="preserve">společníci téže společnosti, jsou-li plátci.</w:t>
      </w:r>
    </w:p>
    <w:p>
      <w:pPr>
        <w:pStyle w:val="Compact"/>
        <w:numPr>
          <w:numId w:val="1191"/>
          <w:ilvl w:val="0"/>
        </w:numPr>
      </w:pPr>
      <w:r>
        <w:t xml:space="preserve">Řetězové podvody</w:t>
      </w:r>
    </w:p>
    <w:p>
      <w:pPr>
        <w:numPr>
          <w:numId w:val="1191"/>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105"/>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98"/>
          <w:ilvl w:val="0"/>
        </w:numPr>
      </w:pPr>
      <w:r>
        <w:t xml:space="preserve">Řetězové podvody – poctivé subjekty</w:t>
      </w:r>
    </w:p>
    <w:p>
      <w:pPr>
        <w:pStyle w:val="Compact"/>
        <w:numPr>
          <w:numId w:val="1198"/>
          <w:ilvl w:val="0"/>
        </w:numPr>
      </w:pPr>
      <w:r>
        <w:t xml:space="preserve">Jak to funguje při poctivých účastnících obchodu</w:t>
      </w:r>
    </w:p>
    <w:p>
      <w:pPr>
        <w:pStyle w:val="Compact"/>
        <w:numPr>
          <w:numId w:val="1199"/>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99"/>
          <w:ilvl w:val="1"/>
        </w:numPr>
      </w:pPr>
      <w:r>
        <w:t xml:space="preserve">Subjekt B nakupuje telefony za 100 mil. Kč, vyměří daň 21 mil., současně uplatní nárok na odpočet. Potud daňově neutrální</w:t>
      </w:r>
    </w:p>
    <w:p>
      <w:pPr>
        <w:pStyle w:val="Compact"/>
        <w:numPr>
          <w:numId w:val="1199"/>
          <w:ilvl w:val="1"/>
        </w:numPr>
      </w:pPr>
      <w:r>
        <w:t xml:space="preserve">Subjekt B prodává telefony za 100 mil. Kč tuzemskému subjektu C + 21 mil. Kč DPH v běžném režimu.</w:t>
      </w:r>
    </w:p>
    <w:p>
      <w:pPr>
        <w:pStyle w:val="Compact"/>
        <w:numPr>
          <w:numId w:val="1198"/>
          <w:ilvl w:val="0"/>
        </w:numPr>
      </w:pPr>
      <w:r>
        <w:t xml:space="preserve">Řetězové podvody – poctivé subjekty</w:t>
      </w:r>
    </w:p>
    <w:p>
      <w:pPr>
        <w:pStyle w:val="Compact"/>
        <w:numPr>
          <w:numId w:val="1198"/>
          <w:ilvl w:val="0"/>
        </w:numPr>
      </w:pPr>
      <w:r>
        <w:t xml:space="preserve">Subjekt B inkasuje platbu za telefony ve výši 121 mil. Kč od tuzemského subjektu C. V daňovém přiznání uvede 21 mil. Kč DPH na výstupu a daň odvede finančnímu úřadu.</w:t>
      </w:r>
    </w:p>
    <w:p>
      <w:pPr>
        <w:numPr>
          <w:numId w:val="1198"/>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98"/>
          <w:ilvl w:val="0"/>
        </w:numPr>
      </w:pPr>
      <w:r>
        <w:t xml:space="preserve">Řetězové podvody – nepoctivé subjekty</w:t>
      </w:r>
    </w:p>
    <w:p>
      <w:pPr>
        <w:pStyle w:val="Compact"/>
        <w:numPr>
          <w:numId w:val="1198"/>
          <w:ilvl w:val="0"/>
        </w:numPr>
      </w:pPr>
      <w:r>
        <w:t xml:space="preserve">Jak to funguje při nepoctivých účastnících obchodu</w:t>
      </w:r>
    </w:p>
    <w:p>
      <w:pPr>
        <w:pStyle w:val="Compact"/>
        <w:numPr>
          <w:numId w:val="1200"/>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200"/>
          <w:ilvl w:val="1"/>
        </w:numPr>
      </w:pPr>
      <w:r>
        <w:t xml:space="preserve">Subjekt B nakupuje telefony za 100 mil. Kč, vyměří daň 21 mil., současně uplatní nárok na odpočet. Potud stejné a v pořádku</w:t>
      </w:r>
    </w:p>
    <w:p>
      <w:pPr>
        <w:pStyle w:val="Compact"/>
        <w:numPr>
          <w:numId w:val="1198"/>
          <w:ilvl w:val="0"/>
        </w:numPr>
      </w:pPr>
      <w:r>
        <w:t xml:space="preserve">Řetězové podvody – nepoctivé subjekty</w:t>
      </w:r>
    </w:p>
    <w:p>
      <w:pPr>
        <w:pStyle w:val="Compact"/>
        <w:numPr>
          <w:numId w:val="1198"/>
          <w:ilvl w:val="0"/>
        </w:numPr>
      </w:pPr>
      <w:r>
        <w:t xml:space="preserve">Subjekt B prodává telefony za 100 mil. Kč tuzemskému subjektu C + 21 mil. Kč DPH v běžném režimu.</w:t>
      </w:r>
    </w:p>
    <w:p>
      <w:pPr>
        <w:pStyle w:val="Compact"/>
        <w:numPr>
          <w:numId w:val="1198"/>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98"/>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98"/>
          <w:ilvl w:val="0"/>
        </w:numPr>
      </w:pPr>
      <w:r>
        <w:t xml:space="preserve">Podvody na DPH – obrana státu</w:t>
      </w:r>
    </w:p>
    <w:p>
      <w:pPr>
        <w:pStyle w:val="Compact"/>
        <w:numPr>
          <w:numId w:val="1198"/>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106"/>
      </w:r>
    </w:p>
    <w:p>
      <w:pPr>
        <w:pStyle w:val="Compact"/>
        <w:numPr>
          <w:numId w:val="1198"/>
          <w:ilvl w:val="0"/>
        </w:numPr>
      </w:pPr>
      <w:r>
        <w:t xml:space="preserve">Přenos daňové povinnosti</w:t>
      </w:r>
    </w:p>
    <w:p>
      <w:pPr>
        <w:pStyle w:val="Compact"/>
        <w:numPr>
          <w:numId w:val="1198"/>
          <w:ilvl w:val="0"/>
        </w:numPr>
      </w:pPr>
      <w:r>
        <w:t xml:space="preserve">Nespolehlivý plátce a ručení za daň</w:t>
      </w:r>
    </w:p>
    <w:p>
      <w:pPr>
        <w:pStyle w:val="Compact"/>
        <w:numPr>
          <w:numId w:val="1198"/>
          <w:ilvl w:val="0"/>
        </w:numPr>
      </w:pPr>
      <w:r>
        <w:t xml:space="preserve">Zveřejňování účtů pro platbu DPH</w:t>
      </w:r>
    </w:p>
    <w:p>
      <w:pPr>
        <w:pStyle w:val="Compact"/>
        <w:numPr>
          <w:numId w:val="1198"/>
          <w:ilvl w:val="0"/>
        </w:numPr>
      </w:pPr>
      <w:r>
        <w:t xml:space="preserve">„Věděl nebo vědět mohl“</w:t>
      </w:r>
    </w:p>
    <w:p>
      <w:pPr>
        <w:pStyle w:val="Compact"/>
        <w:numPr>
          <w:numId w:val="1198"/>
          <w:ilvl w:val="0"/>
        </w:numPr>
      </w:pPr>
      <w:r>
        <w:t xml:space="preserve">Od roku 2016 – kontrolní hlášení, elektronická evidence tržeb - některé operace se uvádějí jednotlivě</w:t>
      </w:r>
      <w:r>
        <w:rPr>
          <w:rStyle w:val="FootnoteReference"/>
        </w:rPr>
        <w:footnoteReference w:id="107"/>
      </w:r>
    </w:p>
    <w:p>
      <w:pPr>
        <w:pStyle w:val="Compact"/>
        <w:numPr>
          <w:numId w:val="1198"/>
          <w:ilvl w:val="0"/>
        </w:numPr>
      </w:pPr>
      <w:r>
        <w:t xml:space="preserve">Zajišťovací příkazy</w:t>
      </w:r>
    </w:p>
    <w:p>
      <w:pPr>
        <w:pStyle w:val="Compact"/>
        <w:numPr>
          <w:numId w:val="1198"/>
          <w:ilvl w:val="0"/>
        </w:numPr>
      </w:pPr>
      <w:r>
        <w:t xml:space="preserve">Postupy k odstranění pochybností</w:t>
      </w:r>
    </w:p>
    <w:p>
      <w:pPr>
        <w:numPr>
          <w:numId w:val="1198"/>
          <w:ilvl w:val="0"/>
        </w:numPr>
      </w:pPr>
      <w:r>
        <w:t xml:space="preserve">Kontroly před vyměřením i po vyměření daně</w:t>
      </w:r>
    </w:p>
    <w:p>
      <w:pPr>
        <w:pStyle w:val="Compact"/>
        <w:numPr>
          <w:numId w:val="1198"/>
          <w:ilvl w:val="0"/>
        </w:numPr>
      </w:pPr>
      <w:r>
        <w:t xml:space="preserve">Nespolehlivý plátce</w:t>
      </w:r>
    </w:p>
    <w:p>
      <w:pPr>
        <w:pStyle w:val="Compact"/>
        <w:numPr>
          <w:numId w:val="1198"/>
          <w:ilvl w:val="0"/>
        </w:numPr>
      </w:pPr>
      <w:r>
        <w:t xml:space="preserve">DPH vyměřena/doměřena podle pomůcek opakovaně (min. za 2 zdaňovací období z šesti po sobě jdoucích)</w:t>
      </w:r>
    </w:p>
    <w:p>
      <w:pPr>
        <w:pStyle w:val="Compact"/>
        <w:numPr>
          <w:numId w:val="1198"/>
          <w:ilvl w:val="0"/>
        </w:numPr>
      </w:pPr>
      <w:r>
        <w:t xml:space="preserve">byl vydán zajišťovací příkaz (po 1. 1. 2013) na DPH a tento nebyl ve lhůtě uhrazen</w:t>
      </w:r>
    </w:p>
    <w:p>
      <w:pPr>
        <w:pStyle w:val="Compact"/>
        <w:numPr>
          <w:numId w:val="1198"/>
          <w:ilvl w:val="0"/>
        </w:numPr>
      </w:pPr>
      <w:r>
        <w:t xml:space="preserve">po dobu nejméně 3 kalendářních měsíců po sobě jdoucích evidován kumulativní nedoplatek na DPH ve výši 500 tis. Kč</w:t>
      </w:r>
    </w:p>
    <w:p>
      <w:pPr>
        <w:numPr>
          <w:numId w:val="1198"/>
          <w:ilvl w:val="0"/>
        </w:numPr>
      </w:pPr>
      <w:r>
        <w:t xml:space="preserve">Nekontaktní DS</w:t>
      </w:r>
    </w:p>
    <w:p>
      <w:pPr>
        <w:pStyle w:val="Compact"/>
        <w:numPr>
          <w:numId w:val="1198"/>
          <w:ilvl w:val="0"/>
        </w:numPr>
      </w:pPr>
      <w:r>
        <w:t xml:space="preserve">Nespolehlivý plátce</w:t>
      </w:r>
    </w:p>
    <w:p>
      <w:pPr>
        <w:pStyle w:val="Compact"/>
        <w:numPr>
          <w:numId w:val="1198"/>
          <w:ilvl w:val="0"/>
        </w:numPr>
      </w:pPr>
      <w:r>
        <w:t xml:space="preserve">§ 106a ZDPH:</w:t>
      </w:r>
    </w:p>
    <w:p>
      <w:pPr>
        <w:pStyle w:val="Compact"/>
        <w:numPr>
          <w:numId w:val="1202"/>
          <w:ilvl w:val="2"/>
        </w:numPr>
      </w:pPr>
      <w:r>
        <w:t xml:space="preserve">Poruší-li plátce závažným způsobem své povinnosti vztahující se ke správě daně, správce daně rozhodne, že tento plátce je nespolehlivým plátcem.</w:t>
      </w:r>
    </w:p>
    <w:p>
      <w:pPr>
        <w:pStyle w:val="Compact"/>
        <w:numPr>
          <w:numId w:val="1198"/>
          <w:ilvl w:val="0"/>
        </w:numPr>
      </w:pPr>
      <w:r>
        <w:t xml:space="preserve">§109 odst. 3 ZDPH:</w:t>
      </w:r>
    </w:p>
    <w:p>
      <w:pPr>
        <w:pStyle w:val="Compact"/>
        <w:numPr>
          <w:numId w:val="1204"/>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98"/>
          <w:ilvl w:val="0"/>
        </w:numPr>
      </w:pPr>
      <w:r>
        <w:t xml:space="preserve">Nespolehlivý plátce</w:t>
      </w:r>
    </w:p>
    <w:p>
      <w:pPr>
        <w:pStyle w:val="Compact"/>
        <w:numPr>
          <w:numId w:val="1198"/>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98"/>
          <w:ilvl w:val="0"/>
        </w:numPr>
      </w:pPr>
      <w:r>
        <w:t xml:space="preserve">plátce nepodá opakovaně povinná podání na DPH ani na základě výzvy správce daně (DAP DPH/výpis/SH – nepodání 2x v období 12ti měsíců bez řádného odůvodnění).</w:t>
      </w:r>
    </w:p>
    <w:p>
      <w:pPr>
        <w:numPr>
          <w:numId w:val="1198"/>
          <w:ilvl w:val="0"/>
        </w:numPr>
      </w:pPr>
      <w:r>
        <w:t xml:space="preserve">uvedení nepravdivého údaje ohledně skutečného (reálného) sídla – zaměřeno na virtuální a „home-office“ společnosti</w:t>
      </w:r>
    </w:p>
    <w:p>
      <w:pPr>
        <w:pStyle w:val="Compact"/>
        <w:numPr>
          <w:numId w:val="1198"/>
          <w:ilvl w:val="0"/>
        </w:numPr>
      </w:pPr>
      <w:r>
        <w:t xml:space="preserve">Nespolehlivý plátce</w:t>
      </w:r>
    </w:p>
    <w:p>
      <w:pPr>
        <w:pStyle w:val="Compact"/>
        <w:numPr>
          <w:numId w:val="1198"/>
          <w:ilvl w:val="0"/>
        </w:numPr>
      </w:pPr>
      <w:r>
        <w:t xml:space="preserve">Zveřejnění na webu daňové správy</w:t>
      </w:r>
    </w:p>
    <w:p>
      <w:pPr>
        <w:pStyle w:val="Compact"/>
        <w:numPr>
          <w:numId w:val="1198"/>
          <w:ilvl w:val="0"/>
        </w:numPr>
      </w:pPr>
      <w:r>
        <w:t xml:space="preserve">Možnost eliminace rizika ručení:</w:t>
      </w:r>
    </w:p>
    <w:p>
      <w:pPr>
        <w:pStyle w:val="Compact"/>
        <w:numPr>
          <w:numId w:val="1205"/>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98"/>
          <w:ilvl w:val="0"/>
        </w:numPr>
      </w:pPr>
      <w:r>
        <w:t xml:space="preserve">Ručení příjemce zdanitelného plnění</w:t>
      </w:r>
    </w:p>
    <w:p>
      <w:pPr>
        <w:pStyle w:val="Compact"/>
        <w:numPr>
          <w:numId w:val="1198"/>
          <w:ilvl w:val="0"/>
        </w:numPr>
      </w:pPr>
      <w:r>
        <w:t xml:space="preserve">DS věděl nebo vědět měl a mohl, že</w:t>
      </w:r>
    </w:p>
    <w:p>
      <w:pPr>
        <w:pStyle w:val="Compact"/>
        <w:numPr>
          <w:numId w:val="1207"/>
          <w:ilvl w:val="2"/>
        </w:numPr>
      </w:pPr>
      <w:r>
        <w:t xml:space="preserve">daň uvedená na daňovém dokladu nebude úmyslně zaplacena,</w:t>
      </w:r>
    </w:p>
    <w:p>
      <w:pPr>
        <w:pStyle w:val="Compact"/>
        <w:numPr>
          <w:numId w:val="1208"/>
          <w:ilvl w:val="2"/>
        </w:numPr>
      </w:pPr>
      <w:r>
        <w:t xml:space="preserve">poskytovatel zdanitelného plnění se úmyslně dostal nebo dostane do postavení, kdy nemůže daň zaplatit, nebo</w:t>
      </w:r>
    </w:p>
    <w:p>
      <w:pPr>
        <w:pStyle w:val="Compact"/>
        <w:numPr>
          <w:numId w:val="1209"/>
          <w:ilvl w:val="2"/>
        </w:numPr>
      </w:pPr>
      <w:r>
        <w:t xml:space="preserve">dojde ke zkrácení daně nebo vylákání daňové výhody.</w:t>
      </w:r>
    </w:p>
    <w:p>
      <w:pPr>
        <w:pStyle w:val="Compact"/>
        <w:numPr>
          <w:numId w:val="1198"/>
          <w:ilvl w:val="0"/>
        </w:numPr>
      </w:pPr>
      <w:r>
        <w:t xml:space="preserve">Ručení příjemce zdanitelného plnění</w:t>
      </w:r>
    </w:p>
    <w:p>
      <w:pPr>
        <w:pStyle w:val="Compact"/>
        <w:numPr>
          <w:numId w:val="1198"/>
          <w:ilvl w:val="0"/>
        </w:numPr>
      </w:pPr>
      <w:r>
        <w:t xml:space="preserve">Příjemce zdanitelného plnění ručí také za nezaplacenou daň z tohoto plnění, pokud je úplata za toto plnění</w:t>
      </w:r>
    </w:p>
    <w:p>
      <w:pPr>
        <w:pStyle w:val="Compact"/>
        <w:numPr>
          <w:numId w:val="1211"/>
          <w:ilvl w:val="2"/>
        </w:numPr>
      </w:pPr>
      <w:r>
        <w:t xml:space="preserve">bez ekonomického opodstatnění zcela zjevně odchylná od obvyklé ceny,</w:t>
      </w:r>
    </w:p>
    <w:p>
      <w:pPr>
        <w:pStyle w:val="Compact"/>
        <w:numPr>
          <w:numId w:val="1212"/>
          <w:ilvl w:val="2"/>
        </w:numPr>
      </w:pPr>
      <w:r>
        <w:t xml:space="preserve">poskytnuta bezhotovostním převodem na účet vedený poskytovatelem platebních služeb mimo tuzemsko, nebo</w:t>
      </w:r>
    </w:p>
    <w:p>
      <w:pPr>
        <w:pStyle w:val="Compact"/>
        <w:numPr>
          <w:numId w:val="1213"/>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98"/>
          <w:ilvl w:val="0"/>
        </w:numPr>
      </w:pPr>
      <w:r>
        <w:t xml:space="preserve">Ručení příjemce zdanitelného plnění</w:t>
      </w:r>
    </w:p>
    <w:p>
      <w:pPr>
        <w:pStyle w:val="Compact"/>
        <w:numPr>
          <w:numId w:val="1198"/>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98"/>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108" w:name="mezinárodní-zdanění-pojem-charakteristika-dohody-o-zamezení-dvojímu-zdanění"/>
      <w:bookmarkEnd w:id="108"/>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214"/>
          <w:ilvl w:val="0"/>
        </w:numPr>
      </w:pPr>
      <w:r>
        <w:t xml:space="preserve">Čl. 10 Ústavy:</w:t>
      </w:r>
    </w:p>
    <w:p>
      <w:pPr>
        <w:pStyle w:val="Compact"/>
        <w:numPr>
          <w:numId w:val="1214"/>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214"/>
          <w:ilvl w:val="0"/>
        </w:numPr>
      </w:pPr>
      <w:r>
        <w:t xml:space="preserve">=&gt; aplikační přednost mezinárodních smluv</w:t>
      </w:r>
    </w:p>
    <w:p>
      <w:pPr>
        <w:pStyle w:val="Compact"/>
        <w:numPr>
          <w:numId w:val="1214"/>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214"/>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214"/>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214"/>
          <w:ilvl w:val="0"/>
        </w:numPr>
      </w:pPr>
      <w:r>
        <w:t xml:space="preserve">ČR má v současné době uzavřenou smlouvu o zamezení dvojímu zdanění s téměř 100 zeměmi světa.</w:t>
      </w:r>
    </w:p>
    <w:p>
      <w:pPr>
        <w:pStyle w:val="Compact"/>
        <w:numPr>
          <w:numId w:val="1214"/>
          <w:ilvl w:val="0"/>
        </w:numPr>
      </w:pPr>
      <w:r>
        <w:t xml:space="preserve">Pro uzavírání bilaterálních smluv o zamezení dvojího zdanění v současné době se používá zejména model OECD.</w:t>
      </w:r>
    </w:p>
    <w:p>
      <w:pPr>
        <w:numPr>
          <w:numId w:val="1214"/>
          <w:ilvl w:val="0"/>
        </w:numPr>
      </w:pPr>
      <w:r>
        <w:t xml:space="preserve">Text vzorové smlouvy OECD spolu s Komentářem ke smlouvě tak představuje podrobný návod ke sjednávání takových smluv a zejména pak jejich interpretaci.</w:t>
      </w:r>
    </w:p>
    <w:p>
      <w:pPr>
        <w:pStyle w:val="Compact"/>
        <w:numPr>
          <w:numId w:val="1214"/>
          <w:ilvl w:val="0"/>
        </w:numPr>
      </w:pPr>
      <w:r>
        <w:t xml:space="preserve">Systém dohod o zamezení dvojího zdanění:</w:t>
      </w:r>
    </w:p>
    <w:p>
      <w:pPr>
        <w:pStyle w:val="Compact"/>
        <w:numPr>
          <w:numId w:val="1214"/>
          <w:ilvl w:val="0"/>
        </w:numPr>
      </w:pPr>
      <w:r>
        <w:t xml:space="preserve">Přehled smluv – viz https://www.mfcr.cz/cs/legislativa/dvojizdaneni/prehled-platnych-smluv</w:t>
      </w:r>
    </w:p>
    <w:p>
      <w:pPr>
        <w:numPr>
          <w:numId w:val="1214"/>
          <w:ilvl w:val="0"/>
        </w:numPr>
      </w:pPr>
      <w:r>
        <w:t xml:space="preserve">OECD: Doporučení Rady týkající se vzorové smlouvy o zamezení dvojího zdanění – viz Sdělení MF čj. 251/15 082/96 ve Finančním zpravodaji 4/1996</w:t>
      </w:r>
    </w:p>
    <w:p>
      <w:pPr>
        <w:pStyle w:val="Compact"/>
        <w:numPr>
          <w:numId w:val="1214"/>
          <w:ilvl w:val="0"/>
        </w:numPr>
      </w:pPr>
      <w:r>
        <w:rPr>
          <w:b/>
        </w:rPr>
        <w:t xml:space="preserve">Princip zdanění v místě zdroje příjmů</w:t>
      </w:r>
    </w:p>
    <w:p>
      <w:pPr>
        <w:pStyle w:val="Compact"/>
        <w:numPr>
          <w:numId w:val="1214"/>
          <w:ilvl w:val="0"/>
        </w:numPr>
      </w:pPr>
      <w:r>
        <w:t xml:space="preserve">Základním dosavadním principem mezinárodního práva daňového v oblasti daně z příjmu je to, že by se každý příjem měl zdanit v zemi svého zdroje.</w:t>
      </w:r>
    </w:p>
    <w:p>
      <w:pPr>
        <w:numPr>
          <w:numId w:val="1214"/>
          <w:ilvl w:val="0"/>
        </w:numPr>
      </w:pPr>
      <w:r>
        <w:t xml:space="preserve">Tedy u každého druhu příjmu je potřeba určit místo (tedy stát) jeho zdroje, a zde (tedy v tomto státě) by pak tento příjem měl být zdaněn.</w:t>
      </w:r>
    </w:p>
    <w:p>
      <w:pPr>
        <w:pStyle w:val="Compact"/>
        <w:numPr>
          <w:numId w:val="1214"/>
          <w:ilvl w:val="0"/>
        </w:numPr>
      </w:pPr>
      <w:r>
        <w:rPr>
          <w:b/>
        </w:rPr>
        <w:t xml:space="preserve">Zdanění celosvětových příjmů v zemi daňového domicilu</w:t>
      </w:r>
    </w:p>
    <w:p>
      <w:pPr>
        <w:pStyle w:val="Compact"/>
        <w:numPr>
          <w:numId w:val="1214"/>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214"/>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214"/>
          <w:ilvl w:val="0"/>
        </w:numPr>
      </w:pPr>
      <w:r>
        <w:t xml:space="preserve">Základní pojmy:</w:t>
      </w:r>
    </w:p>
    <w:p>
      <w:pPr>
        <w:pStyle w:val="Compact"/>
        <w:numPr>
          <w:numId w:val="1214"/>
          <w:ilvl w:val="0"/>
        </w:numPr>
      </w:pPr>
      <w:r>
        <w:rPr>
          <w:b/>
        </w:rPr>
        <w:t xml:space="preserve">Daňový rezident</w:t>
      </w:r>
      <w:r>
        <w:t xml:space="preserve"> </w:t>
      </w:r>
      <w:r>
        <w:t xml:space="preserve">(daňový tuzemec) – má celosvětovou daňovou povinnost vůči</w:t>
      </w:r>
    </w:p>
    <w:p>
      <w:pPr>
        <w:numPr>
          <w:numId w:val="1214"/>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214"/>
          <w:ilvl w:val="0"/>
        </w:numPr>
      </w:pPr>
      <w:r>
        <w:t xml:space="preserve">Daňový rezident - fyzická osoba:</w:t>
      </w:r>
    </w:p>
    <w:p>
      <w:pPr>
        <w:pStyle w:val="Compact"/>
        <w:numPr>
          <w:numId w:val="1214"/>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215"/>
          <w:ilvl w:val="1"/>
        </w:numPr>
      </w:pPr>
      <w:r>
        <w:t xml:space="preserve">kde má stálý byt</w:t>
      </w:r>
    </w:p>
    <w:p>
      <w:pPr>
        <w:pStyle w:val="Compact"/>
        <w:numPr>
          <w:numId w:val="1215"/>
          <w:ilvl w:val="1"/>
        </w:numPr>
      </w:pPr>
      <w:r>
        <w:t xml:space="preserve">kde má užší osobní a hospodářské vztahy</w:t>
      </w:r>
    </w:p>
    <w:p>
      <w:pPr>
        <w:pStyle w:val="Compact"/>
        <w:numPr>
          <w:numId w:val="1215"/>
          <w:ilvl w:val="1"/>
        </w:numPr>
      </w:pPr>
      <w:r>
        <w:t xml:space="preserve">kde se obvykle zdržuje</w:t>
      </w:r>
    </w:p>
    <w:p>
      <w:pPr>
        <w:pStyle w:val="Compact"/>
        <w:numPr>
          <w:numId w:val="1215"/>
          <w:ilvl w:val="1"/>
        </w:numPr>
      </w:pPr>
      <w:r>
        <w:t xml:space="preserve">kde státním příslušníkem</w:t>
      </w:r>
    </w:p>
    <w:p>
      <w:pPr>
        <w:numPr>
          <w:numId w:val="1214"/>
          <w:ilvl w:val="0"/>
        </w:numPr>
      </w:pPr>
      <w:r>
        <w:t xml:space="preserve">Úprava daňového rezidenta je obvykle v článku 4 smlouvy o zamezení dvojího zdanění.</w:t>
      </w:r>
    </w:p>
    <w:p>
      <w:pPr>
        <w:pStyle w:val="Compact"/>
        <w:numPr>
          <w:numId w:val="1214"/>
          <w:ilvl w:val="0"/>
        </w:numPr>
      </w:pPr>
      <w:r>
        <w:t xml:space="preserve">Daňový rezident - právnická osoba:</w:t>
      </w:r>
    </w:p>
    <w:p>
      <w:pPr>
        <w:pStyle w:val="Compact"/>
        <w:numPr>
          <w:numId w:val="1214"/>
          <w:ilvl w:val="0"/>
        </w:numPr>
      </w:pPr>
      <w:r>
        <w:t xml:space="preserve">Sídlo skutečného vedení</w:t>
      </w:r>
    </w:p>
    <w:p>
      <w:pPr>
        <w:pStyle w:val="Compact"/>
        <w:numPr>
          <w:numId w:val="1216"/>
          <w:ilvl w:val="1"/>
        </w:numPr>
      </w:pPr>
      <w:r>
        <w:t xml:space="preserve">Viz také § 17 odst. 3 ZDP: místo vedení = adresa místa, ze kterého je poplatník řízen</w:t>
      </w:r>
    </w:p>
    <w:p>
      <w:pPr>
        <w:pStyle w:val="Compact"/>
        <w:numPr>
          <w:numId w:val="1216"/>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216"/>
          <w:ilvl w:val="1"/>
        </w:numPr>
      </w:pPr>
      <w:r>
        <w:t xml:space="preserve">Obvykle ho tvrdí FÚ, tedy to musí i prokázat</w:t>
      </w:r>
    </w:p>
    <w:p>
      <w:pPr>
        <w:pStyle w:val="Compact"/>
        <w:numPr>
          <w:numId w:val="1214"/>
          <w:ilvl w:val="0"/>
        </w:numPr>
      </w:pPr>
      <w:r>
        <w:t xml:space="preserve">Zdaňování nerezidentů</w:t>
      </w:r>
    </w:p>
    <w:p>
      <w:pPr>
        <w:pStyle w:val="Compact"/>
        <w:numPr>
          <w:numId w:val="1214"/>
          <w:ilvl w:val="0"/>
        </w:numPr>
      </w:pPr>
      <w:r>
        <w:t xml:space="preserve">Pouze příjmy ze zdrojů na území ČR</w:t>
      </w:r>
    </w:p>
    <w:p>
      <w:pPr>
        <w:pStyle w:val="Compact"/>
        <w:numPr>
          <w:numId w:val="1217"/>
          <w:ilvl w:val="1"/>
        </w:numPr>
      </w:pPr>
      <w:r>
        <w:t xml:space="preserve">§ 22 ZDP + Smlouvy o zamezení dvojího zdanění</w:t>
      </w:r>
    </w:p>
    <w:p>
      <w:pPr>
        <w:pStyle w:val="Compact"/>
        <w:numPr>
          <w:numId w:val="1217"/>
          <w:ilvl w:val="1"/>
        </w:numPr>
      </w:pPr>
      <w:r>
        <w:t xml:space="preserve">Smlouvy dá ČR právo + musí být zakotven v českém zákoně</w:t>
      </w:r>
    </w:p>
    <w:p>
      <w:pPr>
        <w:pStyle w:val="Compact"/>
        <w:numPr>
          <w:numId w:val="1214"/>
          <w:ilvl w:val="0"/>
        </w:numPr>
      </w:pPr>
      <w:r>
        <w:t xml:space="preserve">Klíčová kritéria:</w:t>
      </w:r>
    </w:p>
    <w:p>
      <w:pPr>
        <w:pStyle w:val="Compact"/>
        <w:numPr>
          <w:numId w:val="1218"/>
          <w:ilvl w:val="1"/>
        </w:numPr>
      </w:pPr>
      <w:r>
        <w:t xml:space="preserve">Kde je vykonávána činnost</w:t>
      </w:r>
    </w:p>
    <w:p>
      <w:pPr>
        <w:pStyle w:val="Compact"/>
        <w:numPr>
          <w:numId w:val="1218"/>
          <w:ilvl w:val="1"/>
        </w:numPr>
      </w:pPr>
      <w:r>
        <w:t xml:space="preserve">Kdo tento příjem vyplácí</w:t>
      </w:r>
    </w:p>
    <w:p>
      <w:pPr>
        <w:pStyle w:val="Compact"/>
        <w:numPr>
          <w:numId w:val="1218"/>
          <w:ilvl w:val="1"/>
        </w:numPr>
      </w:pPr>
      <w:r>
        <w:t xml:space="preserve">Kde je umístěn či využíván majetek</w:t>
      </w:r>
    </w:p>
    <w:p>
      <w:pPr>
        <w:pStyle w:val="Compact"/>
        <w:numPr>
          <w:numId w:val="1214"/>
          <w:ilvl w:val="0"/>
        </w:numPr>
      </w:pPr>
      <w:r>
        <w:t xml:space="preserve">Zdaňování nerezidentů</w:t>
      </w:r>
    </w:p>
    <w:p>
      <w:pPr>
        <w:pStyle w:val="Compact"/>
        <w:numPr>
          <w:numId w:val="1214"/>
          <w:ilvl w:val="0"/>
        </w:numPr>
      </w:pPr>
      <w:r>
        <w:t xml:space="preserve">Příjmy z podnikání</w:t>
      </w:r>
    </w:p>
    <w:p>
      <w:pPr>
        <w:pStyle w:val="Compact"/>
        <w:numPr>
          <w:numId w:val="1219"/>
          <w:ilvl w:val="1"/>
        </w:numPr>
      </w:pPr>
      <w:r>
        <w:t xml:space="preserve">Pokud „stálá provozovna“:</w:t>
      </w:r>
    </w:p>
    <w:p>
      <w:pPr>
        <w:pStyle w:val="Compact"/>
        <w:numPr>
          <w:numId w:val="1219"/>
          <w:ilvl w:val="1"/>
        </w:numPr>
      </w:pPr>
      <w:r>
        <w:t xml:space="preserve">např. dílna, kancelář, místo k těžbě přírodních zdrojů, místo prodeje (odbytiště),</w:t>
      </w:r>
    </w:p>
    <w:p>
      <w:pPr>
        <w:pStyle w:val="Compact"/>
        <w:numPr>
          <w:numId w:val="1219"/>
          <w:ilvl w:val="1"/>
        </w:numPr>
      </w:pPr>
      <w:r>
        <w:t xml:space="preserve">Staveniště: pouze tehdy, pokud splní časový test (3/6/9/12 měsíců):</w:t>
      </w:r>
    </w:p>
    <w:p>
      <w:pPr>
        <w:pStyle w:val="Compact"/>
        <w:numPr>
          <w:numId w:val="1219"/>
          <w:ilvl w:val="1"/>
        </w:numPr>
      </w:pPr>
      <w:r>
        <w:t xml:space="preserve">Německo, Rakousko, Polsko, Slovensko: nad 12 měsíců; Rumunsko: nad 9 měsíců; Norsko: nad 6 měsíců</w:t>
      </w:r>
    </w:p>
    <w:p>
      <w:pPr>
        <w:pStyle w:val="Compact"/>
        <w:numPr>
          <w:numId w:val="1214"/>
          <w:ilvl w:val="0"/>
        </w:numPr>
      </w:pPr>
      <w:r>
        <w:t xml:space="preserve">„Službová“ stálá provozovna:</w:t>
      </w:r>
    </w:p>
    <w:p>
      <w:pPr>
        <w:pStyle w:val="Compact"/>
        <w:numPr>
          <w:numId w:val="1220"/>
          <w:ilvl w:val="1"/>
        </w:numPr>
      </w:pPr>
      <w:r>
        <w:t xml:space="preserve">Německo, Velká Británie, Španělsko: nestanoví</w:t>
      </w:r>
    </w:p>
    <w:p>
      <w:pPr>
        <w:pStyle w:val="Compact"/>
        <w:numPr>
          <w:numId w:val="1220"/>
          <w:ilvl w:val="1"/>
        </w:numPr>
      </w:pPr>
      <w:r>
        <w:t xml:space="preserve">Rakousko, Polsko, Slovensko: 6 za 12 měsíců</w:t>
      </w:r>
    </w:p>
    <w:p>
      <w:pPr>
        <w:numPr>
          <w:numId w:val="1214"/>
          <w:ilvl w:val="0"/>
        </w:numPr>
      </w:pPr>
      <w:r>
        <w:t xml:space="preserve">Zdanění: pouze v rozsahu přičitatelném provozovně</w:t>
      </w:r>
    </w:p>
    <w:p>
      <w:pPr>
        <w:pStyle w:val="Compact"/>
        <w:numPr>
          <w:numId w:val="1214"/>
          <w:ilvl w:val="0"/>
        </w:numPr>
      </w:pPr>
      <w:r>
        <w:t xml:space="preserve">Stálá provozovna</w:t>
      </w:r>
    </w:p>
    <w:p>
      <w:pPr>
        <w:pStyle w:val="Compact"/>
        <w:numPr>
          <w:numId w:val="1214"/>
          <w:ilvl w:val="0"/>
        </w:numPr>
      </w:pPr>
      <w:r>
        <w:t xml:space="preserve">Jestliže osoba vykonává svoji podnikatelskou činnost v druhém smluvním státě, mohou být zisky takového podniku zdaněny ve druhém státě.</w:t>
      </w:r>
    </w:p>
    <w:p>
      <w:pPr>
        <w:numPr>
          <w:numId w:val="1214"/>
          <w:ilvl w:val="0"/>
        </w:numPr>
      </w:pPr>
      <w:r>
        <w:t xml:space="preserve">Podmínkou je, že činnost je ve druhém státě vykonávána prostřednictvím tzv. stále provozovny.</w:t>
      </w:r>
    </w:p>
    <w:p>
      <w:pPr>
        <w:pStyle w:val="Compact"/>
        <w:numPr>
          <w:numId w:val="1214"/>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214"/>
          <w:ilvl w:val="0"/>
        </w:numPr>
      </w:pPr>
      <w:r>
        <w:t xml:space="preserve">pobočku, kancelář, továrnu, dílnu a důl (či jakékoliv jiné místo, kde se těží přírodní zdroje).</w:t>
      </w:r>
    </w:p>
    <w:p>
      <w:pPr>
        <w:pStyle w:val="Compact"/>
        <w:numPr>
          <w:numId w:val="1214"/>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214"/>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214"/>
          <w:ilvl w:val="0"/>
        </w:numPr>
      </w:pPr>
      <w:r>
        <w:t xml:space="preserve">Smluvní normy týkající se stálé provozovny se obvykle nacházejí v článku 5 smlouvy o zamezení dvojího zdanění.</w:t>
      </w:r>
    </w:p>
    <w:p>
      <w:pPr>
        <w:pStyle w:val="Compact"/>
        <w:numPr>
          <w:numId w:val="1214"/>
          <w:ilvl w:val="0"/>
        </w:numPr>
      </w:pPr>
      <w:r>
        <w:rPr>
          <w:b/>
        </w:rPr>
        <w:t xml:space="preserve">Příjmy ze závislé činnosti</w:t>
      </w:r>
    </w:p>
    <w:p>
      <w:pPr>
        <w:pStyle w:val="Compact"/>
        <w:numPr>
          <w:numId w:val="1214"/>
          <w:ilvl w:val="0"/>
        </w:numPr>
      </w:pPr>
      <w:r>
        <w:t xml:space="preserve">Platy, mzdy a jiné podobné odměny ze zaměstnání, které je vykonáváno ve druhém smluvním státě, mohou být (za splnění určitých podmínek) zdaněny v tomto druhém státě.</w:t>
      </w:r>
    </w:p>
    <w:p>
      <w:pPr>
        <w:numPr>
          <w:numId w:val="1214"/>
          <w:ilvl w:val="0"/>
        </w:numPr>
      </w:pPr>
      <w:r>
        <w:t xml:space="preserve">Úprava zdanění příjmů ze závislé činnosti je obvykle obsahem článku 14 smlouvy o zamezení dvojímu zdanění.</w:t>
      </w:r>
    </w:p>
    <w:p>
      <w:pPr>
        <w:pStyle w:val="Heading2"/>
      </w:pPr>
      <w:bookmarkStart w:id="109" w:name="spotřební-daně-majetkové-daně---základní-charakteristika"/>
      <w:bookmarkEnd w:id="109"/>
      <w:r>
        <w:t xml:space="preserve">16. Spotřební daně, majetkové daně - základní charakteristika</w:t>
      </w:r>
    </w:p>
    <w:p>
      <w:pPr>
        <w:pStyle w:val="Heading3"/>
      </w:pPr>
      <w:bookmarkStart w:id="110" w:name="spotřební-daně"/>
      <w:bookmarkEnd w:id="110"/>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11" w:name="rozdíl-mezi-spotřební-daní-a-dph"/>
      <w:bookmarkEnd w:id="111"/>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12" w:name="spotřební-daň-v-česku"/>
      <w:bookmarkEnd w:id="112"/>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13"/>
      </w:r>
      <w:r>
        <w:t xml:space="preserve">.</w:t>
      </w:r>
    </w:p>
    <w:p>
      <w:pPr>
        <w:pStyle w:val="BodyText"/>
      </w:pPr>
      <w:r>
        <w:t xml:space="preserve">Jednotlivými spotřebními daněmi dle zákona o spotřební dani jsou:</w:t>
      </w:r>
    </w:p>
    <w:p>
      <w:pPr>
        <w:pStyle w:val="Compact"/>
        <w:numPr>
          <w:numId w:val="1222"/>
          <w:ilvl w:val="1"/>
        </w:numPr>
      </w:pPr>
      <w:r>
        <w:t xml:space="preserve">daň z minerálních olejů,</w:t>
      </w:r>
    </w:p>
    <w:p>
      <w:pPr>
        <w:pStyle w:val="Compact"/>
        <w:numPr>
          <w:numId w:val="1223"/>
          <w:ilvl w:val="1"/>
        </w:numPr>
      </w:pPr>
      <w:r>
        <w:t xml:space="preserve">daň z lihu,</w:t>
      </w:r>
    </w:p>
    <w:p>
      <w:pPr>
        <w:pStyle w:val="Compact"/>
        <w:numPr>
          <w:numId w:val="1224"/>
          <w:ilvl w:val="1"/>
        </w:numPr>
      </w:pPr>
      <w:r>
        <w:t xml:space="preserve">daň z piva,</w:t>
      </w:r>
    </w:p>
    <w:p>
      <w:pPr>
        <w:pStyle w:val="Compact"/>
        <w:numPr>
          <w:numId w:val="1225"/>
          <w:ilvl w:val="1"/>
        </w:numPr>
      </w:pPr>
      <w:r>
        <w:t xml:space="preserve">daň z vína a meziproduktů,</w:t>
      </w:r>
    </w:p>
    <w:p>
      <w:pPr>
        <w:pStyle w:val="Compact"/>
        <w:numPr>
          <w:numId w:val="1226"/>
          <w:ilvl w:val="1"/>
        </w:numPr>
      </w:pPr>
      <w:r>
        <w:t xml:space="preserve">daň z tabákových výrobků,</w:t>
      </w:r>
    </w:p>
    <w:p>
      <w:pPr>
        <w:pStyle w:val="Compact"/>
        <w:numPr>
          <w:numId w:val="1227"/>
          <w:ilvl w:val="1"/>
        </w:numPr>
      </w:pPr>
      <w:r>
        <w:t xml:space="preserve">daň ze surového tabáku,</w:t>
      </w:r>
    </w:p>
    <w:p>
      <w:pPr>
        <w:pStyle w:val="Compact"/>
        <w:numPr>
          <w:numId w:val="1228"/>
          <w:ilvl w:val="1"/>
        </w:numPr>
      </w:pPr>
      <w:r>
        <w:t xml:space="preserve">daň ze zahřívaných tabákových výrobků,</w:t>
      </w:r>
    </w:p>
    <w:p>
      <w:pPr>
        <w:pStyle w:val="Compact"/>
        <w:numPr>
          <w:numId w:val="1229"/>
          <w:ilvl w:val="1"/>
        </w:numPr>
      </w:pPr>
      <w:r>
        <w:t xml:space="preserve">daň z elektřiny,</w:t>
      </w:r>
    </w:p>
    <w:p>
      <w:pPr>
        <w:pStyle w:val="Compact"/>
        <w:numPr>
          <w:numId w:val="1230"/>
          <w:ilvl w:val="1"/>
        </w:numPr>
      </w:pPr>
      <w:r>
        <w:t xml:space="preserve">daň z pevných paliv,</w:t>
      </w:r>
    </w:p>
    <w:p>
      <w:pPr>
        <w:pStyle w:val="Compact"/>
        <w:numPr>
          <w:numId w:val="1231"/>
          <w:ilvl w:val="1"/>
        </w:numPr>
      </w:pPr>
      <w:r>
        <w:t xml:space="preserve">daň ze zemního plynu a některých dalších plynů.</w:t>
      </w:r>
    </w:p>
    <w:p>
      <w:pPr>
        <w:pStyle w:val="FirstParagraph"/>
      </w:pPr>
      <w:r>
        <w:t xml:space="preserve">Od daně jsou osvobozeny</w:t>
      </w:r>
    </w:p>
    <w:p>
      <w:pPr>
        <w:pStyle w:val="Compact"/>
        <w:numPr>
          <w:numId w:val="1232"/>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232"/>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14" w:name="mechanismus-spotřební-daně"/>
      <w:bookmarkEnd w:id="114"/>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15" w:name="majetkové-daně"/>
      <w:bookmarkEnd w:id="115"/>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16"/>
      </w:r>
      <w:r>
        <w:t xml:space="preserve">.</w:t>
      </w:r>
    </w:p>
    <w:p>
      <w:pPr>
        <w:pStyle w:val="BodyText"/>
      </w:pPr>
      <w:r>
        <w:t xml:space="preserve">Dělí se do tří kategorií:</w:t>
      </w:r>
    </w:p>
    <w:p>
      <w:pPr>
        <w:pStyle w:val="Compact"/>
        <w:numPr>
          <w:numId w:val="1233"/>
          <w:ilvl w:val="0"/>
        </w:numPr>
      </w:pPr>
      <w:r>
        <w:t xml:space="preserve">daň z nemovitých věcí (do roku 2014 daň z nemovitostí):</w:t>
      </w:r>
    </w:p>
    <w:p>
      <w:pPr>
        <w:pStyle w:val="Compact"/>
        <w:numPr>
          <w:numId w:val="1233"/>
          <w:ilvl w:val="0"/>
        </w:numPr>
      </w:pPr>
      <w:r>
        <w:t xml:space="preserve">daň z pozemků</w:t>
      </w:r>
    </w:p>
    <w:p>
      <w:pPr>
        <w:pStyle w:val="Compact"/>
        <w:numPr>
          <w:numId w:val="1233"/>
          <w:ilvl w:val="0"/>
        </w:numPr>
      </w:pPr>
      <w:r>
        <w:t xml:space="preserve">daň ze staveb a jednotek</w:t>
      </w:r>
    </w:p>
    <w:p>
      <w:pPr>
        <w:pStyle w:val="Compact"/>
        <w:numPr>
          <w:numId w:val="1233"/>
          <w:ilvl w:val="0"/>
        </w:numPr>
      </w:pPr>
      <w:r>
        <w:t xml:space="preserve">daň z nabytí nemovitých věcí (do roku 2014 daň z převodu nemovitostí)</w:t>
      </w:r>
    </w:p>
    <w:p>
      <w:pPr>
        <w:pStyle w:val="Compact"/>
        <w:numPr>
          <w:numId w:val="1233"/>
          <w:ilvl w:val="0"/>
        </w:numPr>
      </w:pPr>
      <w:r>
        <w:t xml:space="preserve">daň silniční</w:t>
      </w:r>
    </w:p>
    <w:p>
      <w:pPr>
        <w:pStyle w:val="Compact"/>
        <w:numPr>
          <w:numId w:val="1233"/>
          <w:ilvl w:val="0"/>
        </w:numPr>
      </w:pPr>
      <w:r>
        <w:t xml:space="preserve">(daň dědická, darovací a z převodu nemovitosti tato trojdaň byla zrušena v roce 2014)</w:t>
      </w:r>
    </w:p>
    <w:p>
      <w:pPr>
        <w:pStyle w:val="Heading3"/>
      </w:pPr>
      <w:bookmarkStart w:id="117" w:name="typy-daněného-majetku"/>
      <w:bookmarkEnd w:id="117"/>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18" w:name="daň-z-nemovitých-věcí"/>
      <w:bookmarkEnd w:id="118"/>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9" w:name="daň-z-nabytí-nemovitosti---soušástí-daně-z-příjmu"/>
      <w:bookmarkEnd w:id="119"/>
      <w:r>
        <w:t xml:space="preserve">Daň z nabytí nemovitosti - soušástí daně z příjmu</w:t>
      </w:r>
    </w:p>
    <w:p>
      <w:pPr>
        <w:pStyle w:val="FirstParagraph"/>
      </w:pPr>
      <w:r>
        <w:t xml:space="preserve">Již se neplatí - součástí daní z příjmu.</w:t>
      </w:r>
    </w:p>
    <w:p>
      <w:pPr>
        <w:pStyle w:val="Heading3"/>
      </w:pPr>
      <w:bookmarkStart w:id="120" w:name="daň-silniční"/>
      <w:bookmarkEnd w:id="120"/>
      <w:r>
        <w:t xml:space="preserve">Daň silniční</w:t>
      </w:r>
    </w:p>
    <w:p>
      <w:pPr>
        <w:pStyle w:val="Compact"/>
        <w:numPr>
          <w:numId w:val="1234"/>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234"/>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234"/>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21"/>
      </w:r>
      <w:r>
        <w:t xml:space="preserve">.</w:t>
      </w:r>
    </w:p>
    <w:p>
      <w:pPr>
        <w:pStyle w:val="Compact"/>
        <w:numPr>
          <w:numId w:val="1234"/>
          <w:ilvl w:val="0"/>
        </w:numPr>
      </w:pPr>
      <w:r>
        <w:t xml:space="preserve">Zároveň silniční daň platí provozovatel vozidla s minimální přípustnou technickou hmotností 12 tun.</w:t>
      </w:r>
    </w:p>
    <w:p>
      <w:pPr>
        <w:pStyle w:val="Heading3"/>
      </w:pPr>
      <w:bookmarkStart w:id="122" w:name="trojdaň"/>
      <w:bookmarkEnd w:id="122"/>
      <w:r>
        <w:t xml:space="preserve">Trojdaň</w:t>
      </w:r>
    </w:p>
    <w:p>
      <w:pPr>
        <w:pStyle w:val="FirstParagraph"/>
      </w:pPr>
      <w:r>
        <w:t xml:space="preserve">Již se naplatí - součástí daní z příjmu.</w:t>
      </w:r>
    </w:p>
    <w:p>
      <w:pPr>
        <w:pStyle w:val="Heading2"/>
      </w:pPr>
      <w:bookmarkStart w:id="123" w:name="právo-eu-a-daně-jakých-daní-se-dotýká-jak-se-projevuje-přímý-a-nepřímý-účinek"/>
      <w:bookmarkEnd w:id="123"/>
      <w:r>
        <w:t xml:space="preserve">17. Právo EU a daně – jakých daní se dotýká, jak se projevuje; přímý a nepřímý účinek</w:t>
      </w:r>
    </w:p>
    <w:p>
      <w:pPr>
        <w:numPr>
          <w:numId w:val="1235"/>
          <w:ilvl w:val="0"/>
        </w:numPr>
      </w:pPr>
      <w:r>
        <w:t xml:space="preserve">DPH II – evropské a vnitrostátní právo a praktické dopady dvouúrovňového právního systému, eurokonformní výklad, přímý a nepřímý účinek evropského práva</w:t>
      </w:r>
    </w:p>
    <w:p>
      <w:pPr>
        <w:pStyle w:val="Compact"/>
        <w:numPr>
          <w:numId w:val="1235"/>
          <w:ilvl w:val="0"/>
        </w:numPr>
      </w:pPr>
      <w:r>
        <w:t xml:space="preserve">Evropské a vnitrostátní právo a praktické dopady dvouúrovňového právního systému</w:t>
      </w:r>
    </w:p>
    <w:p>
      <w:pPr>
        <w:numPr>
          <w:numId w:val="1235"/>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235"/>
          <w:ilvl w:val="0"/>
        </w:numPr>
      </w:pPr>
      <w:r>
        <w:t xml:space="preserve">Evropské a vnitrostátní právo a praktické dopady dvouúrovňového právního systému</w:t>
      </w:r>
    </w:p>
    <w:p>
      <w:pPr>
        <w:pStyle w:val="Compact"/>
        <w:numPr>
          <w:numId w:val="1235"/>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235"/>
          <w:ilvl w:val="0"/>
        </w:numPr>
      </w:pPr>
      <w:r>
        <w:t xml:space="preserve">V oblasti DPH to byla tzv. „Šestá směrnice“ 77/388/EHS ‐ byla nahrazena směrnicí 2004/112/ES ze dne 28. 11. 2006, o společném systému DPH (tzv „recast“).</w:t>
      </w:r>
    </w:p>
    <w:p>
      <w:pPr>
        <w:pStyle w:val="Compact"/>
        <w:numPr>
          <w:numId w:val="1235"/>
          <w:ilvl w:val="0"/>
        </w:numPr>
      </w:pPr>
      <w:r>
        <w:t xml:space="preserve">Vytyčeného cíle má být dosaženo přijetím příslušné národní právní normy ve lhůtě dané pro implementaci směrnice.</w:t>
      </w:r>
    </w:p>
    <w:p>
      <w:pPr>
        <w:numPr>
          <w:numId w:val="1235"/>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235"/>
          <w:ilvl w:val="0"/>
        </w:numPr>
      </w:pPr>
      <w:r>
        <w:t xml:space="preserve">DPH II – evropské a vnitrostátní právo a praktické dopady dvouúrovňového právního systému, eurokonformní výklad, přímý a nepřímý účinek evropského práva</w:t>
      </w:r>
    </w:p>
    <w:p>
      <w:pPr>
        <w:numPr>
          <w:numId w:val="1235"/>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235"/>
          <w:ilvl w:val="0"/>
        </w:numPr>
      </w:pPr>
      <w:r>
        <w:t xml:space="preserve">Přímý a nepřímý účinek evropského práva</w:t>
      </w:r>
    </w:p>
    <w:p>
      <w:pPr>
        <w:pStyle w:val="Compact"/>
        <w:numPr>
          <w:numId w:val="1235"/>
          <w:ilvl w:val="0"/>
        </w:numPr>
      </w:pPr>
      <w:r>
        <w:t xml:space="preserve">Přímý účinek směrnice</w:t>
      </w:r>
    </w:p>
    <w:p>
      <w:pPr>
        <w:pStyle w:val="Compact"/>
        <w:numPr>
          <w:numId w:val="1236"/>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236"/>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236"/>
          <w:ilvl w:val="1"/>
        </w:numPr>
      </w:pPr>
      <w:r>
        <w:t xml:space="preserve">Z judikatury ESD je rovněž zřejmé, že příslušné ustanovení směrnice, aby mohlo být přímo aplikováno, musí být bezpodmínečné, dostatečně jasné a přesné.</w:t>
      </w:r>
    </w:p>
    <w:p>
      <w:pPr>
        <w:pStyle w:val="Compact"/>
        <w:numPr>
          <w:numId w:val="1235"/>
          <w:ilvl w:val="0"/>
        </w:numPr>
      </w:pPr>
      <w:r>
        <w:t xml:space="preserve">Přímý a nepřímý účinek evropského práva</w:t>
      </w:r>
    </w:p>
    <w:p>
      <w:pPr>
        <w:pStyle w:val="Compact"/>
        <w:numPr>
          <w:numId w:val="1235"/>
          <w:ilvl w:val="0"/>
        </w:numPr>
      </w:pPr>
      <w:r>
        <w:t xml:space="preserve">Přímý účinek směrnice – pokrač.:</w:t>
      </w:r>
    </w:p>
    <w:p>
      <w:pPr>
        <w:numPr>
          <w:numId w:val="1235"/>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235"/>
          <w:ilvl w:val="0"/>
        </w:numPr>
      </w:pPr>
      <w:r>
        <w:t xml:space="preserve">Přímý a nepřímý účinek evropského práva</w:t>
      </w:r>
    </w:p>
    <w:p>
      <w:pPr>
        <w:pStyle w:val="Compact"/>
        <w:numPr>
          <w:numId w:val="1235"/>
          <w:ilvl w:val="0"/>
        </w:numPr>
      </w:pPr>
      <w:r>
        <w:t xml:space="preserve">Nepřímý účinek směrnice</w:t>
      </w:r>
    </w:p>
    <w:p>
      <w:pPr>
        <w:pStyle w:val="Compact"/>
        <w:numPr>
          <w:numId w:val="1235"/>
          <w:ilvl w:val="0"/>
        </w:numPr>
      </w:pPr>
      <w:r>
        <w:t xml:space="preserve">Institut eurokonformního výkladu, na jehož základě je možno dle judikatury ESD dosáhnout vyšší účinnosti směrnic, pokud nebyly řádně transponovány do národního práva.</w:t>
      </w:r>
    </w:p>
    <w:p>
      <w:pPr>
        <w:numPr>
          <w:numId w:val="1235"/>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235"/>
          <w:ilvl w:val="0"/>
        </w:numPr>
      </w:pPr>
      <w:r>
        <w:t xml:space="preserve">Přímý a nepřímý účinek evropského práva</w:t>
      </w:r>
    </w:p>
    <w:p>
      <w:pPr>
        <w:pStyle w:val="Compact"/>
        <w:numPr>
          <w:numId w:val="1235"/>
          <w:ilvl w:val="0"/>
        </w:numPr>
      </w:pPr>
      <w:r>
        <w:t xml:space="preserve">Nepřímý účinek směrnice – pokrač.:</w:t>
      </w:r>
    </w:p>
    <w:p>
      <w:pPr>
        <w:pStyle w:val="Compact"/>
        <w:numPr>
          <w:numId w:val="1235"/>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235"/>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235"/>
          <w:ilvl w:val="0"/>
        </w:numPr>
      </w:pPr>
      <w:r>
        <w:t xml:space="preserve">Eurokonformní výklad</w:t>
      </w:r>
    </w:p>
    <w:p>
      <w:pPr>
        <w:pStyle w:val="Compact"/>
        <w:numPr>
          <w:numId w:val="1235"/>
          <w:ilvl w:val="0"/>
        </w:numPr>
      </w:pPr>
      <w:r>
        <w:t xml:space="preserve">Je povinný nejen pro soudy, ale i pro správce daně a podobné orgány</w:t>
      </w:r>
    </w:p>
    <w:p>
      <w:pPr>
        <w:pStyle w:val="Compact"/>
        <w:numPr>
          <w:numId w:val="1235"/>
          <w:ilvl w:val="0"/>
        </w:numPr>
      </w:pPr>
      <w:r>
        <w:t xml:space="preserve">Občan, podnikatel, daňový subjekt:</w:t>
      </w:r>
    </w:p>
    <w:p>
      <w:pPr>
        <w:pStyle w:val="Compact"/>
        <w:numPr>
          <w:numId w:val="1238"/>
          <w:ilvl w:val="2"/>
        </w:numPr>
      </w:pPr>
      <w:r>
        <w:t xml:space="preserve">bude se řídit tuzemskou právní úpravou</w:t>
      </w:r>
    </w:p>
    <w:p>
      <w:pPr>
        <w:pStyle w:val="Compact"/>
        <w:numPr>
          <w:numId w:val="1239"/>
          <w:ilvl w:val="2"/>
        </w:numPr>
      </w:pPr>
      <w:r>
        <w:t xml:space="preserve">bude trvat na aplikaci eurokonformního výkladu</w:t>
      </w:r>
    </w:p>
    <w:p>
      <w:pPr>
        <w:pStyle w:val="Compact"/>
        <w:numPr>
          <w:numId w:val="1235"/>
          <w:ilvl w:val="0"/>
        </w:numPr>
      </w:pPr>
      <w:r>
        <w:t xml:space="preserve">Eurokonformní výklad u soudu</w:t>
      </w:r>
    </w:p>
    <w:p>
      <w:pPr>
        <w:pStyle w:val="Compact"/>
        <w:numPr>
          <w:numId w:val="1240"/>
          <w:ilvl w:val="1"/>
        </w:numPr>
      </w:pPr>
      <w:r>
        <w:t xml:space="preserve">národní soud je schopen aplikovat sám</w:t>
      </w:r>
    </w:p>
    <w:p>
      <w:pPr>
        <w:pStyle w:val="Compact"/>
        <w:numPr>
          <w:numId w:val="1241"/>
          <w:ilvl w:val="1"/>
        </w:numPr>
      </w:pPr>
      <w:r>
        <w:t xml:space="preserve">položení předběžné otázky SDEU</w:t>
      </w:r>
    </w:p>
    <w:p>
      <w:pPr>
        <w:numPr>
          <w:numId w:val="1235"/>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24" w:name="pojem-zneužití-práva-praktické-případy"/>
      <w:bookmarkEnd w:id="124"/>
      <w:r>
        <w:t xml:space="preserve">18. Pojem zneužití práva, praktické případy</w:t>
      </w:r>
    </w:p>
    <w:p>
      <w:pPr>
        <w:pStyle w:val="FirstParagraph"/>
      </w:pPr>
      <w:r>
        <w:t xml:space="preserve">Rozdíl mezi:</w:t>
      </w:r>
    </w:p>
    <w:p>
      <w:pPr>
        <w:pStyle w:val="Compact"/>
        <w:numPr>
          <w:numId w:val="1242"/>
          <w:ilvl w:val="0"/>
        </w:numPr>
      </w:pPr>
      <w:r>
        <w:rPr>
          <w:b/>
        </w:rPr>
        <w:t xml:space="preserve">disimulace právního úkonu</w:t>
      </w:r>
      <w:r>
        <w:t xml:space="preserve"> </w:t>
      </w:r>
      <w:r>
        <w:t xml:space="preserve">- (§2 odst. 7 ZSDP, §8 odst. 3 DŘ) - prokazuje finanční úřad - švarcsystém</w:t>
      </w:r>
    </w:p>
    <w:p>
      <w:pPr>
        <w:pStyle w:val="Compact"/>
        <w:numPr>
          <w:numId w:val="1242"/>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242"/>
          <w:ilvl w:val="0"/>
        </w:numPr>
      </w:pPr>
      <w:r>
        <w:t xml:space="preserve">Příklad:</w:t>
      </w:r>
    </w:p>
    <w:p>
      <w:pPr>
        <w:pStyle w:val="Compact"/>
        <w:numPr>
          <w:numId w:val="1243"/>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25"/>
      </w:r>
      <w:r>
        <w:t xml:space="preserve">.</w:t>
      </w:r>
    </w:p>
    <w:p>
      <w:pPr>
        <w:pStyle w:val="Compact"/>
        <w:numPr>
          <w:numId w:val="1242"/>
          <w:ilvl w:val="0"/>
        </w:numPr>
      </w:pPr>
      <w:r>
        <w:rPr>
          <w:b/>
        </w:rPr>
        <w:t xml:space="preserve">zneužití práva</w:t>
      </w:r>
      <w:r>
        <w:t xml:space="preserve"> </w:t>
      </w:r>
      <w:r>
        <w:t xml:space="preserve">(§8 odst. 4 DŘ) - prokazuje finanční úřad</w:t>
      </w:r>
    </w:p>
    <w:p>
      <w:pPr>
        <w:pStyle w:val="Compact"/>
        <w:numPr>
          <w:numId w:val="1244"/>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45"/>
          <w:ilvl w:val="1"/>
        </w:numPr>
      </w:pPr>
      <w:r>
        <w:t xml:space="preserve">Správce daně dbá na to, aby při rozhodování skutkově shodných nebo podobných případů nevznikaly nedůvodné rozdíly.</w:t>
      </w:r>
    </w:p>
    <w:p>
      <w:pPr>
        <w:pStyle w:val="Compact"/>
        <w:numPr>
          <w:numId w:val="1246"/>
          <w:ilvl w:val="1"/>
        </w:numPr>
      </w:pPr>
      <w:r>
        <w:t xml:space="preserve">Správce daně vychází ze skutečného obsahu právního jednání nebo jiné skutečnosti rozhodné pro správu daní.</w:t>
      </w:r>
    </w:p>
    <w:p>
      <w:pPr>
        <w:pStyle w:val="Compact"/>
        <w:numPr>
          <w:numId w:val="1247"/>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242"/>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26"/>
      </w:r>
    </w:p>
    <w:p>
      <w:pPr>
        <w:pStyle w:val="Compact"/>
        <w:numPr>
          <w:numId w:val="1242"/>
          <w:ilvl w:val="0"/>
        </w:numPr>
      </w:pPr>
      <w:r>
        <w:t xml:space="preserve">Příklad:</w:t>
      </w:r>
    </w:p>
    <w:p>
      <w:pPr>
        <w:pStyle w:val="Compact"/>
        <w:numPr>
          <w:numId w:val="1248"/>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27"/>
      </w:r>
      <w:r>
        <w:t xml:space="preserve">.</w:t>
      </w:r>
    </w:p>
    <w:p>
      <w:pPr>
        <w:pStyle w:val="Compact"/>
        <w:numPr>
          <w:numId w:val="1242"/>
          <w:ilvl w:val="0"/>
        </w:numPr>
      </w:pPr>
      <w:r>
        <w:rPr>
          <w:b/>
        </w:rPr>
        <w:t xml:space="preserve">obcházení zákona</w:t>
      </w:r>
      <w:r>
        <w:t xml:space="preserve"> </w:t>
      </w:r>
      <w:r>
        <w:t xml:space="preserve">- prokazuje finanční úřad</w:t>
      </w:r>
    </w:p>
    <w:p>
      <w:pPr>
        <w:pStyle w:val="Compact"/>
        <w:numPr>
          <w:numId w:val="1242"/>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28"/>
      </w:r>
      <w:r>
        <w:t xml:space="preserve">.</w:t>
      </w:r>
    </w:p>
    <w:p>
      <w:pPr>
        <w:pStyle w:val="Heading2"/>
      </w:pPr>
      <w:bookmarkStart w:id="129" w:name="daňové-tvrzení-důkazní-břemeno-v-daňovém-řízení"/>
      <w:bookmarkEnd w:id="129"/>
      <w:r>
        <w:t xml:space="preserve">19. Daňové tvrzení, důkazní břemeno v daňovém řízení</w:t>
      </w:r>
    </w:p>
    <w:p>
      <w:pPr>
        <w:pStyle w:val="Compact"/>
        <w:numPr>
          <w:numId w:val="1249"/>
          <w:ilvl w:val="0"/>
        </w:numPr>
      </w:pPr>
      <w:r>
        <w:t xml:space="preserve">§70 - §77 DŘ</w:t>
      </w:r>
    </w:p>
    <w:p>
      <w:pPr>
        <w:pStyle w:val="Compact"/>
        <w:numPr>
          <w:numId w:val="1249"/>
          <w:ilvl w:val="0"/>
        </w:numPr>
      </w:pPr>
      <w:r>
        <w:t xml:space="preserve">Řízení se zahajuje podáním (například formulářové podání - například daň z příjmu - daňové přiznání)</w:t>
      </w:r>
    </w:p>
    <w:p>
      <w:pPr>
        <w:pStyle w:val="Compact"/>
        <w:numPr>
          <w:numId w:val="1249"/>
          <w:ilvl w:val="0"/>
        </w:numPr>
      </w:pPr>
      <w:r>
        <w:t xml:space="preserve">Podání je úkonem osoby zúčastněné na správě daní směřujícím vůči správci daně.</w:t>
      </w:r>
    </w:p>
    <w:p>
      <w:pPr>
        <w:pStyle w:val="Compact"/>
        <w:numPr>
          <w:numId w:val="1249"/>
          <w:ilvl w:val="0"/>
        </w:numPr>
      </w:pPr>
      <w:r>
        <w:t xml:space="preserve">Podání se činí u příslušného správce daně. Podání je učiněno dnem, kdy tomuto správci daně došlo.</w:t>
      </w:r>
    </w:p>
    <w:p>
      <w:pPr>
        <w:pStyle w:val="Compact"/>
        <w:numPr>
          <w:numId w:val="1249"/>
          <w:ilvl w:val="0"/>
        </w:numPr>
      </w:pPr>
      <w:r>
        <w:t xml:space="preserve">Ne všechny podání musí nutně zahájit řízení</w:t>
      </w:r>
    </w:p>
    <w:p>
      <w:pPr>
        <w:pStyle w:val="Compact"/>
        <w:numPr>
          <w:numId w:val="1249"/>
          <w:ilvl w:val="0"/>
        </w:numPr>
      </w:pPr>
      <w:r>
        <w:t xml:space="preserve">Pokud má podání vady - osoba vyzvána k nápravě</w:t>
      </w:r>
    </w:p>
    <w:p>
      <w:pPr>
        <w:numPr>
          <w:numId w:val="1249"/>
          <w:ilvl w:val="0"/>
        </w:numPr>
      </w:pPr>
      <w:r>
        <w:t xml:space="preserve">Pokud je podáno k nepříslušnému správci daně - postoupí podání příslušnému správci daně</w:t>
      </w:r>
    </w:p>
    <w:p>
      <w:pPr>
        <w:pStyle w:val="Compact"/>
        <w:numPr>
          <w:numId w:val="1249"/>
          <w:ilvl w:val="0"/>
        </w:numPr>
      </w:pPr>
      <w:r>
        <w:t xml:space="preserve">Vyhledávací postupy §78 - §79 DŘ</w:t>
      </w:r>
      <w:r>
        <w:rPr>
          <w:rStyle w:val="FootnoteReference"/>
        </w:rPr>
        <w:footnoteReference w:id="130"/>
      </w:r>
    </w:p>
    <w:p>
      <w:pPr>
        <w:pStyle w:val="Compact"/>
        <w:numPr>
          <w:numId w:val="1249"/>
          <w:ilvl w:val="0"/>
        </w:numPr>
      </w:pPr>
      <w:r>
        <w:t xml:space="preserve">Vyhledávací činnost:</w:t>
      </w:r>
    </w:p>
    <w:p>
      <w:pPr>
        <w:pStyle w:val="Compact"/>
        <w:numPr>
          <w:numId w:val="1250"/>
          <w:ilvl w:val="1"/>
        </w:numPr>
      </w:pPr>
      <w:r>
        <w:t xml:space="preserve">Správce daně vyhledává důkazní prostředky a daňové subjekty a zjišťuje plnění jejich povinností při správě daní před zahájením řízení i v jeho průběhu.</w:t>
      </w:r>
    </w:p>
    <w:p>
      <w:pPr>
        <w:pStyle w:val="Compact"/>
        <w:numPr>
          <w:numId w:val="1250"/>
          <w:ilvl w:val="1"/>
        </w:numPr>
      </w:pPr>
      <w:r>
        <w:t xml:space="preserve">Vyhledávací činnost provádí správce daně i bez součinnosti s daňovým subjektem.</w:t>
      </w:r>
    </w:p>
    <w:p>
      <w:pPr>
        <w:pStyle w:val="Compact"/>
        <w:numPr>
          <w:numId w:val="1250"/>
          <w:ilvl w:val="1"/>
        </w:numPr>
      </w:pPr>
      <w:r>
        <w:t xml:space="preserve">V rámci vyhledávací činnosti správce daně</w:t>
      </w:r>
    </w:p>
    <w:p>
      <w:pPr>
        <w:pStyle w:val="Compact"/>
        <w:numPr>
          <w:numId w:val="1251"/>
          <w:ilvl w:val="2"/>
        </w:numPr>
      </w:pPr>
      <w:r>
        <w:t xml:space="preserve">ověřuje úplnost evidence či registrace daňových subjektů,</w:t>
      </w:r>
    </w:p>
    <w:p>
      <w:pPr>
        <w:pStyle w:val="Compact"/>
        <w:numPr>
          <w:numId w:val="1252"/>
          <w:ilvl w:val="2"/>
        </w:numPr>
      </w:pPr>
      <w:r>
        <w:t xml:space="preserve">zjišťuje údaje týkající se příjmů, majetkových poměrů a dalších skutečností rozhodných pro správné zjištění, stanovení a placení daně,</w:t>
      </w:r>
    </w:p>
    <w:p>
      <w:pPr>
        <w:pStyle w:val="Compact"/>
        <w:numPr>
          <w:numId w:val="1253"/>
          <w:ilvl w:val="2"/>
        </w:numPr>
      </w:pPr>
      <w:r>
        <w:t xml:space="preserve">shromažďuje a zpracovává informace a využívá informační systémy v rozsahu podle § 9 odst. 3,</w:t>
      </w:r>
    </w:p>
    <w:p>
      <w:pPr>
        <w:pStyle w:val="Compact"/>
        <w:numPr>
          <w:numId w:val="1254"/>
          <w:ilvl w:val="2"/>
        </w:numPr>
      </w:pPr>
      <w:r>
        <w:t xml:space="preserve">opatřuje nezbytná vysvětlení,</w:t>
      </w:r>
    </w:p>
    <w:p>
      <w:pPr>
        <w:pStyle w:val="Compact"/>
        <w:numPr>
          <w:numId w:val="1255"/>
          <w:ilvl w:val="2"/>
        </w:numPr>
      </w:pPr>
      <w:r>
        <w:t xml:space="preserve">provádí místní šetření.</w:t>
      </w:r>
    </w:p>
    <w:p>
      <w:pPr>
        <w:pStyle w:val="Compact"/>
        <w:numPr>
          <w:numId w:val="1256"/>
          <w:ilvl w:val="2"/>
        </w:numPr>
      </w:pPr>
      <w:r>
        <w:t xml:space="preserve">Správce daně, který není místně příslušný, může provádět místní šetření i bez dožádání.</w:t>
      </w:r>
    </w:p>
    <w:p>
      <w:pPr>
        <w:pStyle w:val="Compact"/>
        <w:numPr>
          <w:numId w:val="1249"/>
          <w:ilvl w:val="0"/>
        </w:numPr>
      </w:pPr>
      <w:r>
        <w:t xml:space="preserve">Vysvětlení:</w:t>
      </w:r>
    </w:p>
    <w:p>
      <w:pPr>
        <w:pStyle w:val="Compact"/>
        <w:numPr>
          <w:numId w:val="1258"/>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59"/>
          <w:ilvl w:val="2"/>
        </w:numPr>
      </w:pPr>
      <w:r>
        <w:t xml:space="preserve">Každý je povinen podat správci daně vysvětlení; pro odepření vysvětlení se obdobně použije § 96 odst. 2 až 4.</w:t>
      </w:r>
    </w:p>
    <w:p>
      <w:pPr>
        <w:pStyle w:val="Compact"/>
        <w:numPr>
          <w:numId w:val="1260"/>
          <w:ilvl w:val="2"/>
        </w:numPr>
      </w:pPr>
      <w:r>
        <w:t xml:space="preserve">Podané vysvětlení nelze použít jako důkazní prostředek.</w:t>
      </w:r>
    </w:p>
    <w:p>
      <w:pPr>
        <w:pStyle w:val="Compact"/>
        <w:numPr>
          <w:numId w:val="1261"/>
          <w:ilvl w:val="2"/>
        </w:numPr>
      </w:pPr>
      <w:r>
        <w:t xml:space="preserve">O podaném vysvětlení sepíše správce daně podle povahy vysvětlení protokol nebo úřední záznam.</w:t>
      </w:r>
    </w:p>
    <w:p>
      <w:pPr>
        <w:pStyle w:val="Compact"/>
        <w:numPr>
          <w:numId w:val="1249"/>
          <w:ilvl w:val="0"/>
        </w:numPr>
      </w:pPr>
      <w:r>
        <w:t xml:space="preserve">§91 - §107</w:t>
      </w:r>
    </w:p>
    <w:p>
      <w:pPr>
        <w:pStyle w:val="Compact"/>
        <w:numPr>
          <w:numId w:val="1249"/>
          <w:ilvl w:val="0"/>
        </w:numPr>
      </w:pPr>
      <w:r>
        <w:t xml:space="preserve">Zahájení řízení</w:t>
      </w:r>
    </w:p>
    <w:p>
      <w:pPr>
        <w:pStyle w:val="Compact"/>
        <w:numPr>
          <w:numId w:val="1262"/>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62"/>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249"/>
          <w:ilvl w:val="0"/>
        </w:numPr>
      </w:pPr>
      <w:r>
        <w:t xml:space="preserve">Dokazování</w:t>
      </w:r>
    </w:p>
    <w:p>
      <w:pPr>
        <w:pStyle w:val="Compact"/>
        <w:numPr>
          <w:numId w:val="1263"/>
          <w:ilvl w:val="1"/>
        </w:numPr>
      </w:pPr>
      <w:r>
        <w:t xml:space="preserve">Dokazování provádí příslušný správce daně nebo jím dožádaný správce daně.</w:t>
      </w:r>
    </w:p>
    <w:p>
      <w:pPr>
        <w:pStyle w:val="Compact"/>
        <w:numPr>
          <w:numId w:val="1263"/>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63"/>
          <w:ilvl w:val="1"/>
        </w:numPr>
      </w:pPr>
      <w:r>
        <w:t xml:space="preserve">Daňový subjekt prokazuje všechny skutečnosti, které je povinen uvádět v daňovém tvrzení a dalších podáních.</w:t>
      </w:r>
    </w:p>
    <w:p>
      <w:pPr>
        <w:pStyle w:val="Compact"/>
        <w:numPr>
          <w:numId w:val="1263"/>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63"/>
          <w:ilvl w:val="1"/>
        </w:numPr>
      </w:pPr>
      <w:r>
        <w:t xml:space="preserve">Zákon taxativně definuje, co prokazuje správce daně, například:</w:t>
      </w:r>
    </w:p>
    <w:p>
      <w:pPr>
        <w:pStyle w:val="Compact"/>
        <w:numPr>
          <w:numId w:val="1263"/>
          <w:ilvl w:val="1"/>
        </w:numPr>
      </w:pPr>
      <w:r>
        <w:t xml:space="preserve">Oznámení vlastních písemností,</w:t>
      </w:r>
    </w:p>
    <w:p>
      <w:pPr>
        <w:pStyle w:val="Compact"/>
        <w:numPr>
          <w:numId w:val="1263"/>
          <w:ilvl w:val="1"/>
        </w:numPr>
      </w:pPr>
      <w:r>
        <w:t xml:space="preserve">skutečnosti vyvracející věrohodnost úředních záznamů atd.</w:t>
      </w:r>
    </w:p>
    <w:p>
      <w:pPr>
        <w:pStyle w:val="Compact"/>
        <w:numPr>
          <w:numId w:val="1263"/>
          <w:ilvl w:val="1"/>
        </w:numPr>
      </w:pPr>
      <w:r>
        <w:t xml:space="preserve">Je možné navrhnout účast třetí osoby v řízení.</w:t>
      </w:r>
    </w:p>
    <w:p>
      <w:pPr>
        <w:pStyle w:val="Compact"/>
        <w:numPr>
          <w:numId w:val="1263"/>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249"/>
          <w:ilvl w:val="0"/>
        </w:numPr>
      </w:pPr>
      <w:r>
        <w:t xml:space="preserve">Důkazní prostředky</w:t>
      </w:r>
    </w:p>
    <w:p>
      <w:pPr>
        <w:pStyle w:val="Compact"/>
        <w:numPr>
          <w:numId w:val="1264"/>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64"/>
          <w:ilvl w:val="1"/>
        </w:numPr>
      </w:pPr>
      <w:r>
        <w:t xml:space="preserve">Jedná se tak například o:</w:t>
      </w:r>
    </w:p>
    <w:p>
      <w:pPr>
        <w:pStyle w:val="Compact"/>
        <w:numPr>
          <w:numId w:val="1264"/>
          <w:ilvl w:val="1"/>
        </w:numPr>
      </w:pPr>
      <w:r>
        <w:t xml:space="preserve">Listiny,</w:t>
      </w:r>
    </w:p>
    <w:p>
      <w:pPr>
        <w:pStyle w:val="Compact"/>
        <w:numPr>
          <w:numId w:val="1264"/>
          <w:ilvl w:val="1"/>
        </w:numPr>
      </w:pPr>
      <w:r>
        <w:t xml:space="preserve">Znalecký posudek,</w:t>
      </w:r>
    </w:p>
    <w:p>
      <w:pPr>
        <w:pStyle w:val="Compact"/>
        <w:numPr>
          <w:numId w:val="1264"/>
          <w:ilvl w:val="1"/>
        </w:numPr>
      </w:pPr>
      <w:r>
        <w:t xml:space="preserve">Svědky,</w:t>
      </w:r>
    </w:p>
    <w:p>
      <w:pPr>
        <w:pStyle w:val="Compact"/>
        <w:numPr>
          <w:numId w:val="1264"/>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249"/>
          <w:ilvl w:val="0"/>
        </w:numPr>
      </w:pPr>
      <w:r>
        <w:t xml:space="preserve">Pomůcky a sjednání daně</w:t>
      </w:r>
    </w:p>
    <w:p>
      <w:pPr>
        <w:pStyle w:val="Compact"/>
        <w:numPr>
          <w:numId w:val="1265"/>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65"/>
          <w:ilvl w:val="1"/>
        </w:numPr>
      </w:pPr>
      <w:r>
        <w:t xml:space="preserve">Pomůckami jsou zejména</w:t>
      </w:r>
    </w:p>
    <w:p>
      <w:pPr>
        <w:pStyle w:val="Compact"/>
        <w:numPr>
          <w:numId w:val="1266"/>
          <w:ilvl w:val="2"/>
        </w:numPr>
      </w:pPr>
      <w:r>
        <w:t xml:space="preserve">důkazní prostředky, které nebyly správcem daně zpochybněny,</w:t>
      </w:r>
    </w:p>
    <w:p>
      <w:pPr>
        <w:pStyle w:val="Compact"/>
        <w:numPr>
          <w:numId w:val="1267"/>
          <w:ilvl w:val="2"/>
        </w:numPr>
      </w:pPr>
      <w:r>
        <w:t xml:space="preserve">podaná vysvětlení,</w:t>
      </w:r>
    </w:p>
    <w:p>
      <w:pPr>
        <w:pStyle w:val="Compact"/>
        <w:numPr>
          <w:numId w:val="1268"/>
          <w:ilvl w:val="2"/>
        </w:numPr>
      </w:pPr>
      <w:r>
        <w:t xml:space="preserve">porovnání srovnatelných daňových subjektů a jejich daňových povinností,</w:t>
      </w:r>
    </w:p>
    <w:p>
      <w:pPr>
        <w:pStyle w:val="Compact"/>
        <w:numPr>
          <w:numId w:val="1269"/>
          <w:ilvl w:val="2"/>
        </w:numPr>
      </w:pPr>
      <w:r>
        <w:t xml:space="preserve">vlastní poznatky správce daně získané při správě daní.</w:t>
      </w:r>
    </w:p>
    <w:p>
      <w:pPr>
        <w:pStyle w:val="Compact"/>
        <w:numPr>
          <w:numId w:val="1265"/>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249"/>
          <w:ilvl w:val="0"/>
        </w:numPr>
      </w:pPr>
      <w:r>
        <w:t xml:space="preserve">Předběžná otázka</w:t>
      </w:r>
    </w:p>
    <w:p>
      <w:pPr>
        <w:pStyle w:val="Compact"/>
        <w:numPr>
          <w:numId w:val="1270"/>
          <w:ilvl w:val="1"/>
        </w:numPr>
      </w:pPr>
      <w:r>
        <w:t xml:space="preserve">Správce daně je vázán rozhodovací praxí</w:t>
      </w:r>
    </w:p>
    <w:p>
      <w:pPr>
        <w:pStyle w:val="Compact"/>
        <w:numPr>
          <w:numId w:val="1270"/>
          <w:ilvl w:val="1"/>
        </w:numPr>
      </w:pPr>
      <w:r>
        <w:t xml:space="preserve">Může však podat podnět na zahájení řízení</w:t>
      </w:r>
    </w:p>
    <w:p>
      <w:pPr>
        <w:pStyle w:val="Compact"/>
        <w:numPr>
          <w:numId w:val="1270"/>
          <w:ilvl w:val="1"/>
        </w:numPr>
      </w:pPr>
      <w:r>
        <w:t xml:space="preserve">Určité otázky může posoudit sám, jiné nemůže - §99 DŘ</w:t>
      </w:r>
    </w:p>
    <w:p>
      <w:pPr>
        <w:pStyle w:val="Compact"/>
        <w:numPr>
          <w:numId w:val="1249"/>
          <w:ilvl w:val="0"/>
        </w:numPr>
      </w:pPr>
      <w:r>
        <w:t xml:space="preserve">Předvolání a předvedení</w:t>
      </w:r>
    </w:p>
    <w:p>
      <w:pPr>
        <w:pStyle w:val="Compact"/>
        <w:numPr>
          <w:numId w:val="1271"/>
          <w:ilvl w:val="1"/>
        </w:numPr>
      </w:pPr>
      <w:r>
        <w:t xml:space="preserve">Je možné předvolat - do vlastních rukou s poučením,</w:t>
      </w:r>
    </w:p>
    <w:p>
      <w:pPr>
        <w:pStyle w:val="Compact"/>
        <w:numPr>
          <w:numId w:val="1271"/>
          <w:ilvl w:val="1"/>
        </w:numPr>
      </w:pPr>
      <w:r>
        <w:t xml:space="preserve">pokud se osoba nedostaví, je možné jí předvést - §100 DŘ.</w:t>
      </w:r>
    </w:p>
    <w:p>
      <w:pPr>
        <w:pStyle w:val="Compact"/>
        <w:numPr>
          <w:numId w:val="1249"/>
          <w:ilvl w:val="0"/>
        </w:numPr>
      </w:pPr>
      <w:r>
        <w:t xml:space="preserve">Rozhodnutí</w:t>
      </w:r>
    </w:p>
    <w:p>
      <w:pPr>
        <w:pStyle w:val="Compact"/>
        <w:numPr>
          <w:numId w:val="1272"/>
          <w:ilvl w:val="1"/>
        </w:numPr>
      </w:pPr>
      <w:r>
        <w:t xml:space="preserve">Správce daně ukládá povinnosti nebo přiznává práva anebo prohlašuje práva a povinnosti stanovené zákonem rozhodnutím.</w:t>
      </w:r>
    </w:p>
    <w:p>
      <w:pPr>
        <w:pStyle w:val="Compact"/>
        <w:numPr>
          <w:numId w:val="1272"/>
          <w:ilvl w:val="1"/>
        </w:numPr>
      </w:pPr>
      <w:r>
        <w:t xml:space="preserve">Rozhodnutí je vydané okamžikem doručení, pokud se nedoručuje je vydané okamžikem podepsání daného rozhodnutí úřední osobou - §101 DŘ.</w:t>
      </w:r>
    </w:p>
    <w:p>
      <w:pPr>
        <w:pStyle w:val="Compact"/>
        <w:numPr>
          <w:numId w:val="1272"/>
          <w:ilvl w:val="1"/>
        </w:numPr>
      </w:pPr>
      <w:r>
        <w:t xml:space="preserve">Zákon vymezuje co rozhodnutí obsahuje, především se jedná o určení stran, výrok s odůvodnění, lhůty, poučení, podpis úřední osoby a datum.</w:t>
      </w:r>
    </w:p>
    <w:p>
      <w:pPr>
        <w:pStyle w:val="Compact"/>
        <w:numPr>
          <w:numId w:val="1272"/>
          <w:ilvl w:val="1"/>
        </w:numPr>
      </w:pPr>
      <w:r>
        <w:t xml:space="preserve">Rozhodnutí, které je účinní a proti kterému se nelze odvolat, je v právní moci.</w:t>
      </w:r>
    </w:p>
    <w:p>
      <w:pPr>
        <w:pStyle w:val="Compact"/>
        <w:numPr>
          <w:numId w:val="1272"/>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249"/>
          <w:ilvl w:val="0"/>
        </w:numPr>
      </w:pPr>
      <w:r>
        <w:t xml:space="preserve">Opravy zřejmých nesprávností</w:t>
      </w:r>
    </w:p>
    <w:p>
      <w:pPr>
        <w:pStyle w:val="Compact"/>
        <w:numPr>
          <w:numId w:val="1273"/>
          <w:ilvl w:val="1"/>
        </w:numPr>
      </w:pPr>
      <w:r>
        <w:t xml:space="preserve">Správce daně může v rozhodnutí opravit zřejmé nesprávnosti.</w:t>
      </w:r>
    </w:p>
    <w:p>
      <w:pPr>
        <w:pStyle w:val="Compact"/>
        <w:numPr>
          <w:numId w:val="1249"/>
          <w:ilvl w:val="0"/>
        </w:numPr>
      </w:pPr>
      <w:r>
        <w:t xml:space="preserve">Nicotnost rozhodnutí</w:t>
      </w:r>
    </w:p>
    <w:p>
      <w:pPr>
        <w:pStyle w:val="Compact"/>
        <w:numPr>
          <w:numId w:val="1274"/>
          <w:ilvl w:val="1"/>
        </w:numPr>
      </w:pPr>
      <w:r>
        <w:t xml:space="preserve">Nicotnost rozhodnutí zjišťuje a prohlašuje z moci úřední, a to kdykoliv, správce daně nejblíže nadřízený správci daně, který rozhodnutí vydal.</w:t>
      </w:r>
    </w:p>
    <w:p>
      <w:pPr>
        <w:pStyle w:val="Compact"/>
        <w:numPr>
          <w:numId w:val="1274"/>
          <w:ilvl w:val="1"/>
        </w:numPr>
      </w:pPr>
      <w:r>
        <w:t xml:space="preserve">Důvody pro nicotnost zákon stanovuje, jedná se například o - věcnou příslušnost, trpí zásadními vadami, je vydáno na základě nicotného rozhodnutí.</w:t>
      </w:r>
    </w:p>
    <w:p>
      <w:pPr>
        <w:pStyle w:val="Compact"/>
        <w:numPr>
          <w:numId w:val="1249"/>
          <w:ilvl w:val="0"/>
        </w:numPr>
      </w:pPr>
      <w:r>
        <w:t xml:space="preserve">Zastavení řízení</w:t>
      </w:r>
    </w:p>
    <w:p>
      <w:pPr>
        <w:pStyle w:val="Compact"/>
        <w:numPr>
          <w:numId w:val="1275"/>
          <w:ilvl w:val="1"/>
        </w:numPr>
      </w:pPr>
      <w:r>
        <w:t xml:space="preserve">Správce daně rozhodnutím může zastavit řízení, pokud:</w:t>
      </w:r>
    </w:p>
    <w:p>
      <w:pPr>
        <w:pStyle w:val="Compact"/>
        <w:numPr>
          <w:numId w:val="1275"/>
          <w:ilvl w:val="1"/>
        </w:numPr>
      </w:pPr>
      <w:r>
        <w:t xml:space="preserve">osoba zůčastněná na správě daní vzala své podání zpět,</w:t>
      </w:r>
    </w:p>
    <w:p>
      <w:pPr>
        <w:pStyle w:val="Compact"/>
        <w:numPr>
          <w:numId w:val="1275"/>
          <w:ilvl w:val="1"/>
        </w:numPr>
      </w:pPr>
      <w:r>
        <w:t xml:space="preserve">jde o zjevně nepřípustné podání,</w:t>
      </w:r>
    </w:p>
    <w:p>
      <w:pPr>
        <w:pStyle w:val="Compact"/>
        <w:numPr>
          <w:numId w:val="1275"/>
          <w:ilvl w:val="1"/>
        </w:numPr>
      </w:pPr>
      <w:r>
        <w:t xml:space="preserve">ten, o jehož právech a povinnostech má být rozhodnuto, zanikl bez právního nástupce,</w:t>
      </w:r>
    </w:p>
    <w:p>
      <w:pPr>
        <w:pStyle w:val="Compact"/>
        <w:numPr>
          <w:numId w:val="1275"/>
          <w:ilvl w:val="1"/>
        </w:numPr>
      </w:pPr>
      <w:r>
        <w:t xml:space="preserve">o věci již bylo pravomocně rozhodnuto,</w:t>
      </w:r>
    </w:p>
    <w:p>
      <w:pPr>
        <w:pStyle w:val="Compact"/>
        <w:numPr>
          <w:numId w:val="1275"/>
          <w:ilvl w:val="1"/>
        </w:numPr>
      </w:pPr>
      <w:r>
        <w:t xml:space="preserve">nelze v řízení pokračovat z důvodů, které stanoví zákon, nebo,</w:t>
      </w:r>
    </w:p>
    <w:p>
      <w:pPr>
        <w:pStyle w:val="Compact"/>
        <w:numPr>
          <w:numId w:val="1275"/>
          <w:ilvl w:val="1"/>
        </w:numPr>
      </w:pPr>
      <w:r>
        <w:t xml:space="preserve">řízení se stalo bezpředmětným. - §106 DŘ</w:t>
      </w:r>
    </w:p>
    <w:p>
      <w:pPr>
        <w:pStyle w:val="Compact"/>
        <w:numPr>
          <w:numId w:val="1249"/>
          <w:ilvl w:val="0"/>
        </w:numPr>
      </w:pPr>
      <w:r>
        <w:t xml:space="preserve">Náklady řízení</w:t>
      </w:r>
    </w:p>
    <w:p>
      <w:pPr>
        <w:pStyle w:val="Compact"/>
        <w:numPr>
          <w:numId w:val="1276"/>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31" w:name="daňová-kontrola-a-jiné-instituty-pro-zjišťování-a-prověřování-daňové-povinnosti"/>
      <w:bookmarkEnd w:id="131"/>
      <w:r>
        <w:t xml:space="preserve">20. Daňová kontrola a jiné instituty pro zjišťování a prověřování daňové povinnosti</w:t>
      </w:r>
    </w:p>
    <w:p>
      <w:pPr>
        <w:pStyle w:val="Compact"/>
        <w:numPr>
          <w:numId w:val="1277"/>
          <w:ilvl w:val="0"/>
        </w:numPr>
      </w:pPr>
      <w:r>
        <w:t xml:space="preserve">Místní šetření (§ 80-84 DŘ)</w:t>
      </w:r>
    </w:p>
    <w:p>
      <w:pPr>
        <w:pStyle w:val="Compact"/>
        <w:numPr>
          <w:numId w:val="1278"/>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79"/>
          <w:ilvl w:val="1"/>
        </w:numPr>
      </w:pPr>
      <w:r>
        <w:t xml:space="preserve">K provedení místního šetření může správce daně přizvat osobu, jejíž přítomnost je podle povahy věci potřebná.</w:t>
      </w:r>
    </w:p>
    <w:p>
      <w:pPr>
        <w:pStyle w:val="Compact"/>
        <w:numPr>
          <w:numId w:val="1280"/>
          <w:ilvl w:val="1"/>
        </w:numPr>
      </w:pPr>
      <w:r>
        <w:t xml:space="preserve">O průběhu místního šetření sepíše správce daně podle povahy šetření protokol nebo úřední záznam.</w:t>
      </w:r>
    </w:p>
    <w:p>
      <w:pPr>
        <w:pStyle w:val="Compact"/>
        <w:numPr>
          <w:numId w:val="1281"/>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77"/>
          <w:ilvl w:val="0"/>
        </w:numPr>
      </w:pPr>
      <w:r>
        <w:t xml:space="preserve">Úřední osoba provádějící kontrolu má možnost vstupovat do všech potřebných prostor a vyžádat si věškeré věci, které potřebuju k provedení šetření.</w:t>
      </w:r>
    </w:p>
    <w:p>
      <w:pPr>
        <w:pStyle w:val="Compact"/>
        <w:numPr>
          <w:numId w:val="1277"/>
          <w:ilvl w:val="0"/>
        </w:numPr>
      </w:pPr>
      <w:r>
        <w:t xml:space="preserve">Kontrolovaná osoba má povinnost šetření strpět a poskytnou potřebnou součinnost.</w:t>
      </w:r>
    </w:p>
    <w:p>
      <w:pPr>
        <w:numPr>
          <w:numId w:val="1277"/>
          <w:ilvl w:val="0"/>
        </w:numPr>
      </w:pPr>
      <w:r>
        <w:t xml:space="preserve">Správce daně může v případě potřeby určité věci potřebné k šetření zajistit.</w:t>
      </w:r>
    </w:p>
    <w:p>
      <w:pPr>
        <w:pStyle w:val="Compact"/>
        <w:numPr>
          <w:numId w:val="1277"/>
          <w:ilvl w:val="0"/>
        </w:numPr>
      </w:pPr>
      <w:r>
        <w:t xml:space="preserve">Daňová kontrola (§ 85-88a DŘ)</w:t>
      </w:r>
    </w:p>
    <w:p>
      <w:pPr>
        <w:pStyle w:val="Compact"/>
        <w:numPr>
          <w:numId w:val="1282"/>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83"/>
          <w:ilvl w:val="1"/>
        </w:numPr>
      </w:pPr>
      <w:r>
        <w:t xml:space="preserve">Daňová kontrola se provádí u daňového subjektu nebo na místě, kde je to vzhledem k účelu kontroly nejvhodnější.</w:t>
      </w:r>
    </w:p>
    <w:p>
      <w:pPr>
        <w:pStyle w:val="Compact"/>
        <w:numPr>
          <w:numId w:val="1284"/>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85"/>
          <w:ilvl w:val="1"/>
        </w:numPr>
      </w:pPr>
      <w:r>
        <w:t xml:space="preserve">Daňovou kontrolu lze provádět společně pro více daňových řízení týkajících se jednoho daňového subjektu.</w:t>
      </w:r>
    </w:p>
    <w:p>
      <w:pPr>
        <w:pStyle w:val="Compact"/>
        <w:numPr>
          <w:numId w:val="1286"/>
          <w:ilvl w:val="1"/>
        </w:numPr>
      </w:pPr>
      <w:r>
        <w:t xml:space="preserve">Oznámení doručované v souvislosti s daňovou kontrolou neobsahuje odůvodnění a nelze proti němu uplatnit opravné prostředky.</w:t>
      </w:r>
    </w:p>
    <w:p>
      <w:pPr>
        <w:pStyle w:val="Compact"/>
        <w:numPr>
          <w:numId w:val="1277"/>
          <w:ilvl w:val="0"/>
        </w:numPr>
      </w:pPr>
      <w:r>
        <w:t xml:space="preserve">Daňovou kontrolu ze opakovat - například pokud vyšly najevo nové skutečnosti či důkazy.</w:t>
      </w:r>
    </w:p>
    <w:p>
      <w:pPr>
        <w:pStyle w:val="Compact"/>
        <w:numPr>
          <w:numId w:val="1277"/>
          <w:ilvl w:val="0"/>
        </w:numPr>
      </w:pPr>
      <w:r>
        <w:t xml:space="preserve">Daňový subjekt je povinnen poskytnou správci daně veškerou součinnost.</w:t>
      </w:r>
    </w:p>
    <w:p>
      <w:pPr>
        <w:pStyle w:val="Compact"/>
        <w:numPr>
          <w:numId w:val="1277"/>
          <w:ilvl w:val="0"/>
        </w:numPr>
      </w:pPr>
      <w:r>
        <w:t xml:space="preserve">Daňový subjekt má v rámci daňové kontroly právo</w:t>
      </w:r>
    </w:p>
    <w:p>
      <w:pPr>
        <w:pStyle w:val="Compact"/>
        <w:numPr>
          <w:numId w:val="1288"/>
          <w:ilvl w:val="2"/>
        </w:numPr>
      </w:pPr>
      <w:r>
        <w:t xml:space="preserve">být přítomen jednání se svými zaměstnanci nebo dalšími osobami, které vykonávají jeho činnosti,</w:t>
      </w:r>
    </w:p>
    <w:p>
      <w:pPr>
        <w:pStyle w:val="Compact"/>
        <w:numPr>
          <w:numId w:val="1289"/>
          <w:ilvl w:val="2"/>
        </w:numPr>
      </w:pPr>
      <w:r>
        <w:t xml:space="preserve">předkládat důkazní prostředky nebo navrhovat provedení důkazních prostředků, které on sám nemá k dispozici,</w:t>
      </w:r>
    </w:p>
    <w:p>
      <w:pPr>
        <w:pStyle w:val="Compact"/>
        <w:numPr>
          <w:numId w:val="1290"/>
          <w:ilvl w:val="2"/>
        </w:numPr>
      </w:pPr>
      <w:r>
        <w:t xml:space="preserve">vyvracet pochybnosti vyjádřené správcem daně.</w:t>
      </w:r>
    </w:p>
    <w:p>
      <w:pPr>
        <w:pStyle w:val="Compact"/>
        <w:numPr>
          <w:numId w:val="1277"/>
          <w:ilvl w:val="0"/>
        </w:numPr>
      </w:pPr>
      <w:r>
        <w:t xml:space="preserve">Daňová kontrola je zahájena doručením oznámení o zahájení daňové kontroly, ve kterém je vymezen předmět a rozsah daňové kontroly.</w:t>
      </w:r>
    </w:p>
    <w:p>
      <w:pPr>
        <w:pStyle w:val="Compact"/>
        <w:numPr>
          <w:numId w:val="1277"/>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91"/>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92"/>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93"/>
          <w:ilvl w:val="1"/>
        </w:numPr>
      </w:pPr>
      <w:r>
        <w:t xml:space="preserve">Daňový subjekt je v rámci vyjádření k dosavadnímu výsledku kontrolního zjištění oprávněn zejména</w:t>
      </w:r>
    </w:p>
    <w:p>
      <w:pPr>
        <w:pStyle w:val="Compact"/>
        <w:numPr>
          <w:numId w:val="1295"/>
          <w:ilvl w:val="2"/>
        </w:numPr>
      </w:pPr>
      <w:r>
        <w:t xml:space="preserve">vznést výhradu k dosavadnímu výsledku kontrolního zjištění,</w:t>
      </w:r>
    </w:p>
    <w:p>
      <w:pPr>
        <w:pStyle w:val="Compact"/>
        <w:numPr>
          <w:numId w:val="1296"/>
          <w:ilvl w:val="2"/>
        </w:numPr>
      </w:pPr>
      <w:r>
        <w:t xml:space="preserve">podat návrh na doplnění dosavadního výsledku kontrolního zjištění.</w:t>
      </w:r>
    </w:p>
    <w:p>
      <w:pPr>
        <w:pStyle w:val="Compact"/>
        <w:numPr>
          <w:numId w:val="1297"/>
          <w:ilvl w:val="1"/>
        </w:numPr>
      </w:pPr>
      <w:r>
        <w:t xml:space="preserve">Daňová kontrola je ukončena doručením oznámení o ukončení daňové kontroly, k němuž je přiložena zpráva o daňové kontrole podepsaná úřední osobou.</w:t>
      </w:r>
    </w:p>
    <w:p>
      <w:pPr>
        <w:pStyle w:val="Compact"/>
        <w:numPr>
          <w:numId w:val="1298"/>
          <w:ilvl w:val="1"/>
        </w:numPr>
      </w:pPr>
      <w:r>
        <w:t xml:space="preserve">Zpráva o daňové kontrole obsahuje</w:t>
      </w:r>
    </w:p>
    <w:p>
      <w:pPr>
        <w:pStyle w:val="Compact"/>
        <w:numPr>
          <w:numId w:val="1300"/>
          <w:ilvl w:val="2"/>
        </w:numPr>
      </w:pPr>
      <w:r>
        <w:t xml:space="preserve">odkaz na oznámení o zahájení daňové kontroly, popřípadě oznámení o změně rozsahu daňové kontroly, a</w:t>
      </w:r>
    </w:p>
    <w:p>
      <w:pPr>
        <w:pStyle w:val="Compact"/>
        <w:numPr>
          <w:numId w:val="1301"/>
          <w:ilvl w:val="2"/>
        </w:numPr>
      </w:pPr>
      <w:r>
        <w:t xml:space="preserve">konečný výsledek kontrolního zjištění, včetně</w:t>
      </w:r>
    </w:p>
    <w:p>
      <w:pPr>
        <w:pStyle w:val="Compact"/>
        <w:numPr>
          <w:numId w:val="1302"/>
          <w:ilvl w:val="2"/>
        </w:numPr>
      </w:pPr>
      <w:r>
        <w:t xml:space="preserve">hodnocení zjištěných důkazů,</w:t>
      </w:r>
    </w:p>
    <w:p>
      <w:pPr>
        <w:pStyle w:val="Compact"/>
        <w:numPr>
          <w:numId w:val="1303"/>
          <w:ilvl w:val="2"/>
        </w:numPr>
      </w:pPr>
      <w:r>
        <w:t xml:space="preserve">stanoviska správce daně k vyjádření daňového subjektu k výsledku dosavadního kontrolního zjištění.</w:t>
      </w:r>
    </w:p>
    <w:p>
      <w:pPr>
        <w:pStyle w:val="Compact"/>
        <w:numPr>
          <w:numId w:val="1304"/>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305"/>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77"/>
          <w:ilvl w:val="0"/>
        </w:numPr>
      </w:pPr>
      <w:r>
        <w:t xml:space="preserve">Postup k odstranění pochybností (§ 89-90 DŘ)</w:t>
      </w:r>
    </w:p>
    <w:p>
      <w:pPr>
        <w:pStyle w:val="Compact"/>
        <w:numPr>
          <w:numId w:val="1306"/>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307"/>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308"/>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309"/>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310"/>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311"/>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312"/>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313"/>
          <w:ilvl w:val="1"/>
        </w:numPr>
      </w:pPr>
      <w:r>
        <w:t xml:space="preserve">Neposkytne-li daňový subjekt potřebnou součinnost k odstranění pochybností, může správce daně stanovit daň podle pomůcek.</w:t>
      </w:r>
    </w:p>
    <w:p>
      <w:pPr>
        <w:pStyle w:val="Compact"/>
        <w:numPr>
          <w:numId w:val="1314"/>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32" w:name="dokazování-v-daňovém-řízení"/>
      <w:bookmarkEnd w:id="132"/>
      <w:r>
        <w:t xml:space="preserve">21. Dokazování v daňovém řízení</w:t>
      </w:r>
    </w:p>
    <w:p>
      <w:pPr>
        <w:pStyle w:val="Heading3"/>
      </w:pPr>
      <w:bookmarkStart w:id="133" w:name="obsah"/>
      <w:bookmarkEnd w:id="133"/>
      <w:r>
        <w:t xml:space="preserve">Obsah</w:t>
      </w:r>
    </w:p>
    <w:p>
      <w:pPr>
        <w:pStyle w:val="Compact"/>
        <w:numPr>
          <w:numId w:val="1315"/>
          <w:ilvl w:val="0"/>
        </w:numPr>
      </w:pPr>
      <w:r>
        <w:t xml:space="preserve">Procesní otázky:</w:t>
      </w:r>
    </w:p>
    <w:p>
      <w:pPr>
        <w:pStyle w:val="Compact"/>
        <w:numPr>
          <w:numId w:val="1315"/>
          <w:ilvl w:val="0"/>
        </w:numPr>
      </w:pPr>
      <w:r>
        <w:t xml:space="preserve">Důkazní břemeno</w:t>
      </w:r>
    </w:p>
    <w:p>
      <w:pPr>
        <w:pStyle w:val="Compact"/>
        <w:numPr>
          <w:numId w:val="1315"/>
          <w:ilvl w:val="0"/>
        </w:numPr>
      </w:pPr>
      <w:r>
        <w:t xml:space="preserve">Dokazování</w:t>
      </w:r>
    </w:p>
    <w:p>
      <w:pPr>
        <w:pStyle w:val="Compact"/>
        <w:numPr>
          <w:numId w:val="1315"/>
          <w:ilvl w:val="0"/>
        </w:numPr>
      </w:pPr>
      <w:r>
        <w:t xml:space="preserve">Stanovení daně podle pomůcek</w:t>
      </w:r>
    </w:p>
    <w:p>
      <w:pPr>
        <w:pStyle w:val="Compact"/>
        <w:numPr>
          <w:numId w:val="1315"/>
          <w:ilvl w:val="0"/>
        </w:numPr>
      </w:pPr>
      <w:r>
        <w:t xml:space="preserve">Dokazování ve vybraných případech (reklama, zprostředkování, manažerské služby)</w:t>
      </w:r>
    </w:p>
    <w:p>
      <w:pPr>
        <w:pStyle w:val="Compact"/>
        <w:numPr>
          <w:numId w:val="1315"/>
          <w:ilvl w:val="0"/>
        </w:numPr>
      </w:pPr>
      <w:r>
        <w:t xml:space="preserve">Judikatura soudů a její význam pro daňovou praxi</w:t>
      </w:r>
    </w:p>
    <w:p>
      <w:pPr>
        <w:pStyle w:val="Heading3"/>
      </w:pPr>
      <w:bookmarkStart w:id="134" w:name="dokazování"/>
      <w:bookmarkEnd w:id="134"/>
      <w:r>
        <w:t xml:space="preserve">Dokazování</w:t>
      </w:r>
    </w:p>
    <w:p>
      <w:pPr>
        <w:pStyle w:val="Compact"/>
        <w:numPr>
          <w:numId w:val="1316"/>
          <w:ilvl w:val="0"/>
        </w:numPr>
      </w:pPr>
      <w:r>
        <w:t xml:space="preserve">Dokazování I.</w:t>
      </w:r>
    </w:p>
    <w:p>
      <w:pPr>
        <w:pStyle w:val="Compact"/>
        <w:numPr>
          <w:numId w:val="1316"/>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316"/>
          <w:ilvl w:val="0"/>
        </w:numPr>
      </w:pPr>
      <w:r>
        <w:t xml:space="preserve">Správce daně dbá, aby skutečnosti rozhodné pro správné zjištění a stanovení daně byly zjištěny co nejúplněji, a není v tom vázán jen návrhy daňových subjektů.</w:t>
      </w:r>
    </w:p>
    <w:p>
      <w:pPr>
        <w:numPr>
          <w:numId w:val="1316"/>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316"/>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316"/>
          <w:ilvl w:val="0"/>
        </w:numPr>
      </w:pPr>
      <w:r>
        <w:t xml:space="preserve">Správce daně prokazuje</w:t>
      </w:r>
    </w:p>
    <w:p>
      <w:pPr>
        <w:pStyle w:val="Compact"/>
        <w:numPr>
          <w:numId w:val="1317"/>
          <w:ilvl w:val="1"/>
        </w:numPr>
      </w:pPr>
      <w:r>
        <w:t xml:space="preserve">oznámení vlastních písemností,</w:t>
      </w:r>
    </w:p>
    <w:p>
      <w:pPr>
        <w:pStyle w:val="Compact"/>
        <w:numPr>
          <w:numId w:val="1318"/>
          <w:ilvl w:val="1"/>
        </w:numPr>
      </w:pPr>
      <w:r>
        <w:t xml:space="preserve">skutečnosti rozhodné pro užití právní domněnky nebo právní fikce,</w:t>
      </w:r>
    </w:p>
    <w:p>
      <w:pPr>
        <w:pStyle w:val="Compact"/>
        <w:numPr>
          <w:numId w:val="1319"/>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320"/>
          <w:ilvl w:val="1"/>
        </w:numPr>
      </w:pPr>
      <w:r>
        <w:t xml:space="preserve">skutečnosti rozhodné pro posouzení skutečného obsahu právního úkonu nebo jiné skutečnosti (v ZSDP nebylo),</w:t>
      </w:r>
    </w:p>
    <w:p>
      <w:pPr>
        <w:pStyle w:val="Compact"/>
        <w:numPr>
          <w:numId w:val="1321"/>
          <w:ilvl w:val="1"/>
        </w:numPr>
      </w:pPr>
      <w:r>
        <w:t xml:space="preserve">skutečnosti rozhodné pro uplatnění následku za porušení povinnosti při správě daní.</w:t>
      </w:r>
    </w:p>
    <w:p>
      <w:pPr>
        <w:pStyle w:val="Compact"/>
        <w:numPr>
          <w:numId w:val="1322"/>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323"/>
          <w:ilvl w:val="1"/>
        </w:numPr>
      </w:pPr>
      <w:r>
        <w:t xml:space="preserve">zneužití práva</w:t>
      </w:r>
    </w:p>
    <w:p>
      <w:pPr>
        <w:pStyle w:val="Compact"/>
        <w:numPr>
          <w:numId w:val="1316"/>
          <w:ilvl w:val="0"/>
        </w:numPr>
      </w:pPr>
      <w:r>
        <w:t xml:space="preserve">Dokazování II.</w:t>
      </w:r>
    </w:p>
    <w:p>
      <w:pPr>
        <w:pStyle w:val="Compact"/>
        <w:numPr>
          <w:numId w:val="1316"/>
          <w:ilvl w:val="0"/>
        </w:numPr>
      </w:pPr>
      <w:r>
        <w:t xml:space="preserve">DS x SD</w:t>
      </w:r>
    </w:p>
    <w:p>
      <w:pPr>
        <w:pStyle w:val="Compact"/>
        <w:numPr>
          <w:numId w:val="1325"/>
          <w:ilvl w:val="2"/>
        </w:numPr>
      </w:pPr>
      <w:r>
        <w:t xml:space="preserve">Povinnost DS k tvrzení (např. podat DP)</w:t>
      </w:r>
    </w:p>
    <w:p>
      <w:pPr>
        <w:pStyle w:val="Compact"/>
        <w:numPr>
          <w:numId w:val="1326"/>
          <w:ilvl w:val="2"/>
        </w:numPr>
      </w:pPr>
      <w:r>
        <w:t xml:space="preserve">Výzva SD k prokázání</w:t>
      </w:r>
    </w:p>
    <w:p>
      <w:pPr>
        <w:pStyle w:val="Compact"/>
        <w:numPr>
          <w:numId w:val="1327"/>
          <w:ilvl w:val="2"/>
        </w:numPr>
      </w:pPr>
      <w:r>
        <w:t xml:space="preserve">Povinnost DS důkazní (doložit tvrzení)</w:t>
      </w:r>
    </w:p>
    <w:p>
      <w:pPr>
        <w:pStyle w:val="Compact"/>
        <w:numPr>
          <w:numId w:val="1328"/>
          <w:ilvl w:val="2"/>
        </w:numPr>
      </w:pPr>
      <w:r>
        <w:t xml:space="preserve">Povinnost SD prokázat, proč má pochybnosti</w:t>
      </w:r>
    </w:p>
    <w:p>
      <w:pPr>
        <w:pStyle w:val="Compact"/>
        <w:numPr>
          <w:numId w:val="1329"/>
          <w:ilvl w:val="2"/>
        </w:numPr>
      </w:pPr>
      <w:r>
        <w:t xml:space="preserve">Povinnost DS pochybnosti vyvrátit</w:t>
      </w:r>
    </w:p>
    <w:p>
      <w:pPr>
        <w:pStyle w:val="Compact"/>
        <w:numPr>
          <w:numId w:val="1316"/>
          <w:ilvl w:val="0"/>
        </w:numPr>
      </w:pPr>
      <w:r>
        <w:t xml:space="preserve">Dokazování III.</w:t>
      </w:r>
    </w:p>
    <w:p>
      <w:pPr>
        <w:numPr>
          <w:numId w:val="1316"/>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316"/>
          <w:ilvl w:val="0"/>
        </w:numPr>
      </w:pPr>
      <w:r>
        <w:t xml:space="preserve">Dokazování IV. důkazní prostředky</w:t>
      </w:r>
    </w:p>
    <w:p>
      <w:pPr>
        <w:pStyle w:val="Compact"/>
        <w:numPr>
          <w:numId w:val="1316"/>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316"/>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316"/>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316"/>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316"/>
          <w:ilvl w:val="0"/>
        </w:numPr>
      </w:pPr>
      <w:r>
        <w:t xml:space="preserve">Dokazování V.</w:t>
      </w:r>
    </w:p>
    <w:p>
      <w:pPr>
        <w:pStyle w:val="Compact"/>
        <w:numPr>
          <w:numId w:val="1316"/>
          <w:ilvl w:val="0"/>
        </w:numPr>
      </w:pPr>
      <w:r>
        <w:t xml:space="preserve">§ 8 odst. 3 DŘ</w:t>
      </w:r>
    </w:p>
    <w:p>
      <w:pPr>
        <w:pStyle w:val="Compact"/>
        <w:numPr>
          <w:numId w:val="1330"/>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316"/>
          <w:ilvl w:val="0"/>
        </w:numPr>
      </w:pPr>
      <w:r>
        <w:t xml:space="preserve">srovnej s:</w:t>
      </w:r>
    </w:p>
    <w:p>
      <w:pPr>
        <w:pStyle w:val="Compact"/>
        <w:numPr>
          <w:numId w:val="1316"/>
          <w:ilvl w:val="0"/>
        </w:numPr>
      </w:pPr>
      <w:r>
        <w:t xml:space="preserve">§2 odst. 7 ZSDP x</w:t>
      </w:r>
    </w:p>
    <w:p>
      <w:pPr>
        <w:pStyle w:val="Compact"/>
        <w:numPr>
          <w:numId w:val="1331"/>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316"/>
          <w:ilvl w:val="0"/>
        </w:numPr>
      </w:pPr>
      <w:r>
        <w:t xml:space="preserve">(nutnost nové judikatury, též zneužití práva §8/4 DŘ)</w:t>
      </w:r>
    </w:p>
    <w:p>
      <w:pPr>
        <w:pStyle w:val="Compact"/>
        <w:numPr>
          <w:numId w:val="1316"/>
          <w:ilvl w:val="0"/>
        </w:numPr>
      </w:pPr>
      <w:r>
        <w:t xml:space="preserve">Dokazování VI.</w:t>
      </w:r>
    </w:p>
    <w:p>
      <w:pPr>
        <w:pStyle w:val="Compact"/>
        <w:numPr>
          <w:numId w:val="1316"/>
          <w:ilvl w:val="0"/>
        </w:numPr>
      </w:pPr>
      <w:r>
        <w:t xml:space="preserve">Hodnocení důkazních prostředků:</w:t>
      </w:r>
    </w:p>
    <w:p>
      <w:pPr>
        <w:pStyle w:val="Compact"/>
        <w:numPr>
          <w:numId w:val="1332"/>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316"/>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316"/>
          <w:ilvl w:val="0"/>
        </w:numPr>
      </w:pPr>
      <w:r>
        <w:t xml:space="preserve">Dokazování VII.</w:t>
      </w:r>
    </w:p>
    <w:p>
      <w:pPr>
        <w:pStyle w:val="Compact"/>
        <w:numPr>
          <w:numId w:val="1316"/>
          <w:ilvl w:val="0"/>
        </w:numPr>
      </w:pPr>
      <w:r>
        <w:t xml:space="preserve">Neunesení důkazního břemene:</w:t>
      </w:r>
    </w:p>
    <w:p>
      <w:pPr>
        <w:numPr>
          <w:numId w:val="1316"/>
          <w:ilvl w:val="0"/>
        </w:numPr>
      </w:pPr>
      <w:r>
        <w:t xml:space="preserve">možnost pomůcek</w:t>
      </w:r>
    </w:p>
    <w:p>
      <w:pPr>
        <w:pStyle w:val="Compact"/>
        <w:numPr>
          <w:numId w:val="1316"/>
          <w:ilvl w:val="0"/>
        </w:numPr>
      </w:pPr>
      <w:r>
        <w:t xml:space="preserve">Nahlížení do spisu</w:t>
      </w:r>
    </w:p>
    <w:p>
      <w:pPr>
        <w:pStyle w:val="Compact"/>
        <w:numPr>
          <w:numId w:val="1316"/>
          <w:ilvl w:val="0"/>
        </w:numPr>
      </w:pPr>
      <w:r>
        <w:t xml:space="preserve">Veřejná a „tajná“ vyhledávací část spisu</w:t>
      </w:r>
    </w:p>
    <w:p>
      <w:pPr>
        <w:numPr>
          <w:numId w:val="1316"/>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316"/>
          <w:ilvl w:val="0"/>
        </w:numPr>
      </w:pPr>
      <w:r>
        <w:t xml:space="preserve">Nahlížení do spisu II.</w:t>
      </w:r>
    </w:p>
    <w:p>
      <w:pPr>
        <w:pStyle w:val="Compact"/>
        <w:numPr>
          <w:numId w:val="1316"/>
          <w:ilvl w:val="0"/>
        </w:numPr>
      </w:pPr>
      <w:r>
        <w:t xml:space="preserve">Obrana pro neumožnění nahlédnutí - sporná:</w:t>
      </w:r>
    </w:p>
    <w:p>
      <w:pPr>
        <w:pStyle w:val="Compact"/>
        <w:numPr>
          <w:numId w:val="1316"/>
          <w:ilvl w:val="0"/>
        </w:numPr>
      </w:pPr>
      <w:r>
        <w:t xml:space="preserve">Stížnost § 261 DŘ</w:t>
      </w:r>
    </w:p>
    <w:p>
      <w:pPr>
        <w:pStyle w:val="Compact"/>
        <w:numPr>
          <w:numId w:val="1316"/>
          <w:ilvl w:val="0"/>
        </w:numPr>
      </w:pPr>
      <w:r>
        <w:t xml:space="preserve">Odvolání § 101 DŘ</w:t>
      </w:r>
    </w:p>
    <w:p>
      <w:pPr>
        <w:numPr>
          <w:numId w:val="1316"/>
          <w:ilvl w:val="0"/>
        </w:numPr>
      </w:pPr>
      <w:r>
        <w:t xml:space="preserve">Soudní obrana</w:t>
      </w:r>
    </w:p>
    <w:p>
      <w:pPr>
        <w:pStyle w:val="Compact"/>
        <w:numPr>
          <w:numId w:val="1316"/>
          <w:ilvl w:val="0"/>
        </w:numPr>
      </w:pPr>
      <w:r>
        <w:t xml:space="preserve">Svědci</w:t>
      </w:r>
    </w:p>
    <w:p>
      <w:pPr>
        <w:pStyle w:val="Compact"/>
        <w:numPr>
          <w:numId w:val="1316"/>
          <w:ilvl w:val="0"/>
        </w:numPr>
      </w:pPr>
      <w:r>
        <w:t xml:space="preserve">nutnost vyrozumění DS a umožnění účasti na ní,</w:t>
      </w:r>
    </w:p>
    <w:p>
      <w:pPr>
        <w:pStyle w:val="Compact"/>
        <w:numPr>
          <w:numId w:val="1316"/>
          <w:ilvl w:val="0"/>
        </w:numPr>
      </w:pPr>
      <w:r>
        <w:t xml:space="preserve">označení svědka a věci, ve které bude vypovídat,</w:t>
      </w:r>
    </w:p>
    <w:p>
      <w:pPr>
        <w:numPr>
          <w:numId w:val="1316"/>
          <w:ilvl w:val="0"/>
        </w:numPr>
      </w:pPr>
      <w:r>
        <w:t xml:space="preserve">vyrozumění není nutné, pokud hrozí nebezpečí z prodlení nebo zmaření účelu výpovědi</w:t>
      </w:r>
    </w:p>
    <w:p>
      <w:pPr>
        <w:pStyle w:val="Compact"/>
        <w:numPr>
          <w:numId w:val="1316"/>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316"/>
          <w:ilvl w:val="0"/>
        </w:numPr>
      </w:pPr>
      <w:r>
        <w:t xml:space="preserve">Výpověď může odepřít ten, kdo by tím způsobil nebezpečí trestního stíhání sobě nebo osobám mu blízkým.</w:t>
      </w:r>
    </w:p>
    <w:p>
      <w:pPr>
        <w:numPr>
          <w:numId w:val="1316"/>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316"/>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316"/>
          <w:ilvl w:val="0"/>
        </w:numPr>
      </w:pPr>
      <w:r>
        <w:t xml:space="preserve">Svědek má nárok na náhradu nákladů.</w:t>
      </w:r>
    </w:p>
    <w:p>
      <w:pPr>
        <w:pStyle w:val="Compact"/>
        <w:numPr>
          <w:numId w:val="1316"/>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316"/>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35" w:name="pomůcky"/>
      <w:bookmarkEnd w:id="135"/>
      <w:r>
        <w:t xml:space="preserve">Pomůcky</w:t>
      </w:r>
    </w:p>
    <w:p>
      <w:pPr>
        <w:pStyle w:val="Compact"/>
        <w:numPr>
          <w:numId w:val="1333"/>
          <w:ilvl w:val="0"/>
        </w:numPr>
      </w:pPr>
      <w:r>
        <w:t xml:space="preserve">Pomůcky – kdy se použijí?</w:t>
      </w:r>
    </w:p>
    <w:p>
      <w:pPr>
        <w:pStyle w:val="Compact"/>
        <w:numPr>
          <w:numId w:val="1333"/>
          <w:ilvl w:val="0"/>
        </w:numPr>
      </w:pPr>
      <w:r>
        <w:t xml:space="preserve">§ 87 – Nevyhovění výzvě SD k zahájení kontroly (Daňová kontrola, Daňová kontrola a Postup k odstranění pochybností jsou dva druhy Kontrolních postupů)</w:t>
      </w:r>
      <w:r>
        <w:rPr>
          <w:rStyle w:val="FootnoteReference"/>
        </w:rPr>
        <w:footnoteReference w:id="136"/>
      </w:r>
    </w:p>
    <w:p>
      <w:pPr>
        <w:pStyle w:val="Compact"/>
        <w:numPr>
          <w:numId w:val="1333"/>
          <w:ilvl w:val="0"/>
        </w:numPr>
      </w:pPr>
      <w:r>
        <w:t xml:space="preserve">§ 90 - Neposkytnutí součinnosti u POP (Postup k odstranění pochybností)</w:t>
      </w:r>
    </w:p>
    <w:p>
      <w:pPr>
        <w:pStyle w:val="Compact"/>
        <w:numPr>
          <w:numId w:val="1333"/>
          <w:ilvl w:val="0"/>
        </w:numPr>
      </w:pPr>
      <w:r>
        <w:t xml:space="preserve">§ 98 – Nemožnost stanovit daň dokazováním</w:t>
      </w:r>
    </w:p>
    <w:p>
      <w:pPr>
        <w:pStyle w:val="Compact"/>
        <w:numPr>
          <w:numId w:val="1333"/>
          <w:ilvl w:val="0"/>
        </w:numPr>
      </w:pPr>
      <w:r>
        <w:t xml:space="preserve">§ 145 – Nepodání DP nebo dodateč. DP ani po výzvě SD</w:t>
      </w:r>
    </w:p>
    <w:p>
      <w:pPr>
        <w:pStyle w:val="Compact"/>
        <w:numPr>
          <w:numId w:val="1333"/>
          <w:ilvl w:val="0"/>
        </w:numPr>
      </w:pPr>
      <w:r>
        <w:t xml:space="preserve">§ 167 – Zjištění výše zajišť. částky u zajišťovacího příkazu</w:t>
      </w:r>
    </w:p>
    <w:p>
      <w:pPr>
        <w:numPr>
          <w:numId w:val="1333"/>
          <w:ilvl w:val="0"/>
        </w:numPr>
      </w:pPr>
      <w:r>
        <w:t xml:space="preserve">§ 244 – Zjistí-li insolvenční správce, že nemá podklady</w:t>
      </w:r>
    </w:p>
    <w:p>
      <w:pPr>
        <w:pStyle w:val="Compact"/>
        <w:numPr>
          <w:numId w:val="1333"/>
          <w:ilvl w:val="0"/>
        </w:numPr>
      </w:pPr>
      <w:r>
        <w:t xml:space="preserve">Pomůcky - pravidla</w:t>
      </w:r>
    </w:p>
    <w:p>
      <w:pPr>
        <w:pStyle w:val="Compact"/>
        <w:numPr>
          <w:numId w:val="1333"/>
          <w:ilvl w:val="0"/>
        </w:numPr>
      </w:pPr>
      <w:r>
        <w:t xml:space="preserve">pomůcky správce daně buď má nebo si je obstará</w:t>
      </w:r>
    </w:p>
    <w:p>
      <w:pPr>
        <w:pStyle w:val="Compact"/>
        <w:numPr>
          <w:numId w:val="1333"/>
          <w:ilvl w:val="0"/>
        </w:numPr>
      </w:pPr>
      <w:r>
        <w:t xml:space="preserve">při použití pomůcek není nutná součinnost s DS</w:t>
      </w:r>
    </w:p>
    <w:p>
      <w:pPr>
        <w:pStyle w:val="Compact"/>
        <w:numPr>
          <w:numId w:val="1333"/>
          <w:ilvl w:val="0"/>
        </w:numPr>
      </w:pPr>
      <w:r>
        <w:t xml:space="preserve">uplatnění pomůcek se uvede ve výroku rozhodnutí</w:t>
      </w:r>
    </w:p>
    <w:p>
      <w:pPr>
        <w:numPr>
          <w:numId w:val="1333"/>
          <w:ilvl w:val="0"/>
        </w:numPr>
      </w:pPr>
      <w:r>
        <w:t xml:space="preserve">nutno přihlédnout k výhodám pro DS, i když jím nebyly uplatněny</w:t>
      </w:r>
    </w:p>
    <w:p>
      <w:pPr>
        <w:pStyle w:val="Compact"/>
        <w:numPr>
          <w:numId w:val="1333"/>
          <w:ilvl w:val="0"/>
        </w:numPr>
      </w:pPr>
      <w:r>
        <w:t xml:space="preserve">Pomůcky – podmnínky pro použití</w:t>
      </w:r>
    </w:p>
    <w:p>
      <w:pPr>
        <w:pStyle w:val="Compact"/>
        <w:numPr>
          <w:numId w:val="1333"/>
          <w:ilvl w:val="0"/>
        </w:numPr>
      </w:pPr>
      <w:r>
        <w:t xml:space="preserve">Stanovit daň za použití pomůcek lze za splnění dvou kumulativních podmínek:</w:t>
      </w:r>
    </w:p>
    <w:p>
      <w:pPr>
        <w:pStyle w:val="Compact"/>
        <w:numPr>
          <w:numId w:val="1334"/>
          <w:ilvl w:val="1"/>
        </w:numPr>
      </w:pPr>
      <w:r>
        <w:t xml:space="preserve">Daňový subjekt nesplní při dokazování některou ze svých zákonných povinností</w:t>
      </w:r>
    </w:p>
    <w:p>
      <w:pPr>
        <w:pStyle w:val="Compact"/>
        <w:numPr>
          <w:numId w:val="1335"/>
          <w:ilvl w:val="1"/>
        </w:numPr>
      </w:pPr>
      <w:r>
        <w:t xml:space="preserve">Současně není možno stanovit daňovou povinnost dokazováním.</w:t>
      </w:r>
    </w:p>
    <w:p>
      <w:pPr>
        <w:pStyle w:val="Compact"/>
        <w:numPr>
          <w:numId w:val="1333"/>
          <w:ilvl w:val="0"/>
        </w:numPr>
      </w:pPr>
      <w:r>
        <w:t xml:space="preserve">Pomůcky - výčet</w:t>
      </w:r>
    </w:p>
    <w:p>
      <w:pPr>
        <w:pStyle w:val="Compact"/>
        <w:numPr>
          <w:numId w:val="1333"/>
          <w:ilvl w:val="0"/>
        </w:numPr>
      </w:pPr>
      <w:r>
        <w:t xml:space="preserve">Co může být pomůckou?</w:t>
      </w:r>
    </w:p>
    <w:p>
      <w:pPr>
        <w:pStyle w:val="Compact"/>
        <w:numPr>
          <w:numId w:val="1337"/>
          <w:ilvl w:val="2"/>
        </w:numPr>
      </w:pPr>
      <w:r>
        <w:t xml:space="preserve">důkazní prostředky, které nebyly správcem daně zpochybněny,</w:t>
      </w:r>
    </w:p>
    <w:p>
      <w:pPr>
        <w:pStyle w:val="Compact"/>
        <w:numPr>
          <w:numId w:val="1338"/>
          <w:ilvl w:val="2"/>
        </w:numPr>
      </w:pPr>
      <w:r>
        <w:t xml:space="preserve">podaná vysvětlení,</w:t>
      </w:r>
    </w:p>
    <w:p>
      <w:pPr>
        <w:pStyle w:val="Compact"/>
        <w:numPr>
          <w:numId w:val="1339"/>
          <w:ilvl w:val="2"/>
        </w:numPr>
      </w:pPr>
      <w:r>
        <w:t xml:space="preserve">porovnání srovnatelných daňových subjektů a jejich daňových povinností,</w:t>
      </w:r>
    </w:p>
    <w:p>
      <w:pPr>
        <w:pStyle w:val="Compact"/>
        <w:numPr>
          <w:numId w:val="1340"/>
          <w:ilvl w:val="2"/>
        </w:numPr>
      </w:pPr>
      <w:r>
        <w:t xml:space="preserve">vlastní poznatky správce daně získané při správě daní.</w:t>
      </w:r>
    </w:p>
    <w:p>
      <w:pPr>
        <w:pStyle w:val="Compact"/>
        <w:numPr>
          <w:numId w:val="1333"/>
          <w:ilvl w:val="0"/>
        </w:numPr>
      </w:pPr>
      <w:r>
        <w:t xml:space="preserve">Pomůcky – kde je najdeme?</w:t>
      </w:r>
    </w:p>
    <w:p>
      <w:pPr>
        <w:pStyle w:val="Compact"/>
        <w:numPr>
          <w:numId w:val="1333"/>
          <w:ilvl w:val="0"/>
        </w:numPr>
      </w:pPr>
      <w:r>
        <w:t xml:space="preserve">Součástí vyhledávací části spisu jsou:</w:t>
      </w:r>
    </w:p>
    <w:p>
      <w:pPr>
        <w:numPr>
          <w:numId w:val="1333"/>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333"/>
          <w:ilvl w:val="0"/>
        </w:numPr>
      </w:pPr>
      <w:r>
        <w:t xml:space="preserve">Pomůcky – jejich zpřístupnění</w:t>
      </w:r>
    </w:p>
    <w:p>
      <w:pPr>
        <w:pStyle w:val="Compact"/>
        <w:numPr>
          <w:numId w:val="1333"/>
          <w:ilvl w:val="0"/>
        </w:numPr>
      </w:pPr>
      <w:r>
        <w:t xml:space="preserve">nevztahuje se na ně §65/2 o nutnosti je z vyhledávací části spisu ponechat nejdéle do provedení hodnocení důkazů</w:t>
      </w:r>
    </w:p>
    <w:p>
      <w:pPr>
        <w:numPr>
          <w:numId w:val="1333"/>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333"/>
          <w:ilvl w:val="0"/>
        </w:numPr>
      </w:pPr>
      <w:r>
        <w:t xml:space="preserve">Pomůcky - odvolání</w:t>
      </w:r>
    </w:p>
    <w:p>
      <w:pPr>
        <w:numPr>
          <w:numId w:val="1333"/>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333"/>
          <w:ilvl w:val="0"/>
        </w:numPr>
      </w:pPr>
      <w:r>
        <w:t xml:space="preserve">Pomůcky – sjednání daně</w:t>
      </w:r>
    </w:p>
    <w:p>
      <w:pPr>
        <w:pStyle w:val="Compact"/>
        <w:numPr>
          <w:numId w:val="1333"/>
          <w:ilvl w:val="0"/>
        </w:numPr>
      </w:pPr>
      <w:r>
        <w:t xml:space="preserve">Sjednání daně přichází v úvahu, jestiže:</w:t>
      </w:r>
    </w:p>
    <w:p>
      <w:pPr>
        <w:pStyle w:val="Compact"/>
        <w:numPr>
          <w:numId w:val="1341"/>
          <w:ilvl w:val="1"/>
        </w:numPr>
      </w:pPr>
      <w:r>
        <w:t xml:space="preserve">daň nelze stanovit dokazováním a zároveň</w:t>
      </w:r>
    </w:p>
    <w:p>
      <w:pPr>
        <w:pStyle w:val="Compact"/>
        <w:numPr>
          <w:numId w:val="1341"/>
          <w:ilvl w:val="1"/>
        </w:numPr>
      </w:pPr>
      <w:r>
        <w:t xml:space="preserve">daň nelze dostatečně spolehlivě stanovit ani podle pomůcek, které má správce daně k dispozici (ne tedy, které si opatří)</w:t>
      </w:r>
    </w:p>
    <w:p>
      <w:pPr>
        <w:pStyle w:val="Compact"/>
        <w:numPr>
          <w:numId w:val="1333"/>
          <w:ilvl w:val="0"/>
        </w:numPr>
      </w:pPr>
      <w:r>
        <w:t xml:space="preserve">Sjednání daně se zaprotokoluje</w:t>
      </w:r>
    </w:p>
    <w:p>
      <w:pPr>
        <w:pStyle w:val="Compact"/>
        <w:numPr>
          <w:numId w:val="1333"/>
          <w:ilvl w:val="0"/>
        </w:numPr>
      </w:pPr>
      <w:r>
        <w:t xml:space="preserve">výše sjednané daně se uvede v rozhodnutí, které má náležitosti rozhodnutí o stanovení daně a které je součástí tohoto protokolu;</w:t>
      </w:r>
    </w:p>
    <w:p>
      <w:pPr>
        <w:numPr>
          <w:numId w:val="1333"/>
          <w:ilvl w:val="0"/>
        </w:numPr>
      </w:pPr>
      <w:r>
        <w:t xml:space="preserve">proti tomuto rozhodnutí nelze uplatnit opravné prostředky.</w:t>
      </w:r>
    </w:p>
    <w:p>
      <w:pPr>
        <w:pStyle w:val="Compact"/>
        <w:numPr>
          <w:numId w:val="1333"/>
          <w:ilvl w:val="0"/>
        </w:numPr>
      </w:pPr>
      <w:r>
        <w:t xml:space="preserve">Pomůcky – možné směry obrany</w:t>
      </w:r>
    </w:p>
    <w:p>
      <w:pPr>
        <w:pStyle w:val="Compact"/>
        <w:numPr>
          <w:numId w:val="1333"/>
          <w:ilvl w:val="0"/>
        </w:numPr>
      </w:pPr>
      <w:r>
        <w:t xml:space="preserve">Daň se dala stanovit dokazováním - snaha o vyvrácení tvrzení správce daně, že daň bylo nutno stanovit podle pomůcek.</w:t>
      </w:r>
    </w:p>
    <w:p>
      <w:pPr>
        <w:pStyle w:val="Compact"/>
        <w:numPr>
          <w:numId w:val="1333"/>
          <w:ilvl w:val="0"/>
        </w:numPr>
      </w:pPr>
      <w:r>
        <w:t xml:space="preserve">Správce daně neunesl své důkazní břemeno</w:t>
      </w:r>
    </w:p>
    <w:p>
      <w:pPr>
        <w:pStyle w:val="Compact"/>
        <w:numPr>
          <w:numId w:val="1333"/>
          <w:ilvl w:val="0"/>
        </w:numPr>
      </w:pPr>
      <w:r>
        <w:t xml:space="preserve">(např. neprokáže, že doručil výzvu k odstranění pochybností, platební výměr apod.)</w:t>
      </w:r>
    </w:p>
    <w:p>
      <w:pPr>
        <w:pStyle w:val="Compact"/>
        <w:numPr>
          <w:numId w:val="1333"/>
          <w:ilvl w:val="0"/>
        </w:numPr>
      </w:pPr>
      <w:r>
        <w:t xml:space="preserve">Porušení práv daňového subjektu</w:t>
      </w:r>
    </w:p>
    <w:p>
      <w:pPr>
        <w:pStyle w:val="Compact"/>
        <w:numPr>
          <w:numId w:val="1342"/>
          <w:ilvl w:val="1"/>
        </w:numPr>
      </w:pPr>
      <w:r>
        <w:t xml:space="preserve">nenechal daňový subjekt nahlédnout do spisu</w:t>
      </w:r>
    </w:p>
    <w:p>
      <w:pPr>
        <w:pStyle w:val="Compact"/>
        <w:numPr>
          <w:numId w:val="1342"/>
          <w:ilvl w:val="1"/>
        </w:numPr>
      </w:pPr>
      <w:r>
        <w:t xml:space="preserve">nevyslechl navrhované svědky</w:t>
      </w:r>
    </w:p>
    <w:p>
      <w:pPr>
        <w:pStyle w:val="Compact"/>
        <w:numPr>
          <w:numId w:val="1342"/>
          <w:ilvl w:val="1"/>
        </w:numPr>
      </w:pPr>
      <w:r>
        <w:t xml:space="preserve">neprojednal s ním zprávu o kontrole</w:t>
      </w:r>
    </w:p>
    <w:p>
      <w:pPr>
        <w:pStyle w:val="Compact"/>
        <w:numPr>
          <w:numId w:val="1333"/>
          <w:ilvl w:val="0"/>
        </w:numPr>
      </w:pPr>
      <w:r>
        <w:t xml:space="preserve">Pomůcky – možné směry obrany II.</w:t>
      </w:r>
    </w:p>
    <w:p>
      <w:pPr>
        <w:pStyle w:val="Compact"/>
        <w:numPr>
          <w:numId w:val="1333"/>
          <w:ilvl w:val="0"/>
        </w:numPr>
      </w:pPr>
      <w:r>
        <w:t xml:space="preserve">Procesní problémy správce daně:</w:t>
      </w:r>
    </w:p>
    <w:p>
      <w:pPr>
        <w:pStyle w:val="Compact"/>
        <w:numPr>
          <w:numId w:val="1343"/>
          <w:ilvl w:val="1"/>
        </w:numPr>
      </w:pPr>
      <w:r>
        <w:t xml:space="preserve">rozhodnutí bez všech náležitostí,</w:t>
      </w:r>
    </w:p>
    <w:p>
      <w:pPr>
        <w:pStyle w:val="Compact"/>
        <w:numPr>
          <w:numId w:val="1343"/>
          <w:ilvl w:val="1"/>
        </w:numPr>
      </w:pPr>
      <w:r>
        <w:t xml:space="preserve">nepřezkoumatelnost rozhodnutí finančních orgánů pro nedostatek odůvodnění rozhodnutí</w:t>
      </w:r>
    </w:p>
    <w:p>
      <w:pPr>
        <w:numPr>
          <w:numId w:val="1333"/>
          <w:ilvl w:val="0"/>
        </w:numPr>
      </w:pPr>
      <w:r>
        <w:t xml:space="preserve">polemika s výší pomůcek - nepřiměřenost jejich výše, nestanovení daně dostatečně spolehlivě, nepřihlédnutí k výhodám svědčící pro daňový subjekt</w:t>
      </w:r>
    </w:p>
    <w:p>
      <w:pPr>
        <w:numPr>
          <w:numId w:val="1333"/>
          <w:ilvl w:val="0"/>
        </w:numPr>
      </w:pPr>
      <w:r>
        <w:t xml:space="preserve">Pomůcky - judikatura</w:t>
      </w:r>
    </w:p>
    <w:p>
      <w:pPr>
        <w:pStyle w:val="Compact"/>
        <w:numPr>
          <w:numId w:val="1333"/>
          <w:ilvl w:val="0"/>
        </w:numPr>
      </w:pPr>
      <w:r>
        <w:t xml:space="preserve">Pomůcky – judikatura – nahlížení do pomůcek</w:t>
      </w:r>
    </w:p>
    <w:p>
      <w:pPr>
        <w:pStyle w:val="Compact"/>
        <w:numPr>
          <w:numId w:val="1344"/>
          <w:ilvl w:val="1"/>
        </w:numPr>
      </w:pPr>
      <w:r>
        <w:t xml:space="preserve">ÚS 359/05 z 28. března 2006</w:t>
      </w:r>
    </w:p>
    <w:p>
      <w:pPr>
        <w:pStyle w:val="Compact"/>
        <w:numPr>
          <w:numId w:val="1345"/>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333"/>
          <w:ilvl w:val="0"/>
        </w:numPr>
      </w:pPr>
      <w:r>
        <w:t xml:space="preserve">Pomůcky – judikatura – nahlížení do pomůcek</w:t>
      </w:r>
    </w:p>
    <w:p>
      <w:pPr>
        <w:pStyle w:val="Compact"/>
        <w:numPr>
          <w:numId w:val="1346"/>
          <w:ilvl w:val="1"/>
        </w:numPr>
      </w:pPr>
      <w:r>
        <w:t xml:space="preserve">ÚS 359/05 – pokrač.:</w:t>
      </w:r>
    </w:p>
    <w:p>
      <w:pPr>
        <w:pStyle w:val="Compact"/>
        <w:numPr>
          <w:numId w:val="1347"/>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333"/>
          <w:ilvl w:val="0"/>
        </w:numPr>
      </w:pPr>
      <w:r>
        <w:t xml:space="preserve">Pomůcky – judikatura – výhody pro DS</w:t>
      </w:r>
    </w:p>
    <w:p>
      <w:pPr>
        <w:pStyle w:val="Compact"/>
        <w:numPr>
          <w:numId w:val="1348"/>
          <w:ilvl w:val="1"/>
        </w:numPr>
      </w:pPr>
      <w:r>
        <w:t xml:space="preserve">ÚS 179/01 z 31. 8. 2001</w:t>
      </w:r>
    </w:p>
    <w:p>
      <w:pPr>
        <w:pStyle w:val="Compact"/>
        <w:numPr>
          <w:numId w:val="1349"/>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333"/>
          <w:ilvl w:val="0"/>
        </w:numPr>
      </w:pPr>
      <w:r>
        <w:t xml:space="preserve">Pomůcky – judikatura – výhody pro DS</w:t>
      </w:r>
    </w:p>
    <w:p>
      <w:pPr>
        <w:pStyle w:val="Compact"/>
        <w:numPr>
          <w:numId w:val="1350"/>
          <w:ilvl w:val="1"/>
        </w:numPr>
      </w:pPr>
      <w:r>
        <w:t xml:space="preserve">ÚS 360/05 z 20. 11. 2006</w:t>
      </w:r>
    </w:p>
    <w:p>
      <w:pPr>
        <w:pStyle w:val="Compact"/>
        <w:numPr>
          <w:numId w:val="1351"/>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333"/>
          <w:ilvl w:val="0"/>
        </w:numPr>
      </w:pPr>
      <w:r>
        <w:t xml:space="preserve">Pomůcky – judikatura – pomůcky chtěl marně DS</w:t>
      </w:r>
    </w:p>
    <w:p>
      <w:pPr>
        <w:pStyle w:val="Compact"/>
        <w:numPr>
          <w:numId w:val="1333"/>
          <w:ilvl w:val="0"/>
        </w:numPr>
      </w:pPr>
      <w:r>
        <w:t xml:space="preserve">NSS 7 Afs 21/2012 – 44 z 27. 9. 2012</w:t>
      </w:r>
    </w:p>
    <w:p>
      <w:pPr>
        <w:pStyle w:val="Compact"/>
        <w:numPr>
          <w:numId w:val="1352"/>
          <w:ilvl w:val="1"/>
        </w:numPr>
      </w:pPr>
      <w:r>
        <w:t xml:space="preserve">Stěžovatelce byla doměřena daň (dokazováním) 77 868 Kč, protože nedokázala prokázat výdaje</w:t>
      </w:r>
    </w:p>
    <w:p>
      <w:pPr>
        <w:pStyle w:val="Compact"/>
        <w:numPr>
          <w:numId w:val="1352"/>
          <w:ilvl w:val="1"/>
        </w:numPr>
      </w:pPr>
      <w:r>
        <w:t xml:space="preserve">Stěžovatelka požadovala doměření podle pomůcek, protože když existovalo prodané zboží, je nemyslitelné, aby na něj nebyly žádné výdaje</w:t>
      </w:r>
    </w:p>
    <w:p>
      <w:pPr>
        <w:numPr>
          <w:numId w:val="1333"/>
          <w:ilvl w:val="0"/>
        </w:numPr>
      </w:pPr>
      <w:r>
        <w:t xml:space="preserve">SD ani KS nevyhověl</w:t>
      </w:r>
    </w:p>
    <w:p>
      <w:pPr>
        <w:pStyle w:val="Compact"/>
        <w:numPr>
          <w:numId w:val="1333"/>
          <w:ilvl w:val="0"/>
        </w:numPr>
      </w:pPr>
      <w:r>
        <w:t xml:space="preserve">Pomůcky – judikatura – pomůcky chtěl marně DS</w:t>
      </w:r>
    </w:p>
    <w:p>
      <w:pPr>
        <w:pStyle w:val="Compact"/>
        <w:numPr>
          <w:numId w:val="1333"/>
          <w:ilvl w:val="0"/>
        </w:numPr>
      </w:pPr>
      <w:r>
        <w:t xml:space="preserve">NSS 7 Afs 21/2012 – 44 pokrač.:</w:t>
      </w:r>
    </w:p>
    <w:p>
      <w:pPr>
        <w:pStyle w:val="Compact"/>
        <w:numPr>
          <w:numId w:val="1353"/>
          <w:ilvl w:val="1"/>
        </w:numPr>
      </w:pPr>
      <w:r>
        <w:t xml:space="preserve">Názor NSS:</w:t>
      </w:r>
    </w:p>
    <w:p>
      <w:pPr>
        <w:pStyle w:val="Compact"/>
        <w:numPr>
          <w:numId w:val="1353"/>
          <w:ilvl w:val="1"/>
        </w:numPr>
      </w:pPr>
      <w:r>
        <w:t xml:space="preserve">SD neuznal 95 % výdajů, nebyly věrohodně stanoveny ani příjmy</w:t>
      </w:r>
    </w:p>
    <w:p>
      <w:pPr>
        <w:pStyle w:val="Compact"/>
        <w:numPr>
          <w:numId w:val="1353"/>
          <w:ilvl w:val="1"/>
        </w:numPr>
      </w:pPr>
      <w:r>
        <w:t xml:space="preserve">Daň nebylo možno stanovit dokazováním, mělo být použito pomůcek</w:t>
      </w:r>
    </w:p>
    <w:p>
      <w:pPr>
        <w:pStyle w:val="Compact"/>
        <w:numPr>
          <w:numId w:val="1353"/>
          <w:ilvl w:val="1"/>
        </w:numPr>
      </w:pPr>
      <w:r>
        <w:t xml:space="preserve">Nelze zcela opomenout výdaje DS, pomůcky by byly pro ni výhodnější, proto SD pochybil, když je nepoužil</w:t>
      </w:r>
    </w:p>
    <w:p>
      <w:pPr>
        <w:pStyle w:val="Compact"/>
        <w:numPr>
          <w:numId w:val="1333"/>
          <w:ilvl w:val="0"/>
        </w:numPr>
      </w:pPr>
      <w:r>
        <w:t xml:space="preserve">Pomůcky – judikatura – DPH nutnost pomůcek na vstup i výstup</w:t>
      </w:r>
    </w:p>
    <w:p>
      <w:pPr>
        <w:pStyle w:val="Compact"/>
        <w:numPr>
          <w:numId w:val="1333"/>
          <w:ilvl w:val="0"/>
        </w:numPr>
      </w:pPr>
      <w:r>
        <w:t xml:space="preserve">1 Afs 19/2004 – 67 ze dne 3. 11. 2004 (Sbírka NSS 12/2006 č. 991/2006):</w:t>
      </w:r>
    </w:p>
    <w:p>
      <w:pPr>
        <w:pStyle w:val="Compact"/>
        <w:numPr>
          <w:numId w:val="1354"/>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333"/>
          <w:ilvl w:val="0"/>
        </w:numPr>
      </w:pPr>
      <w:r>
        <w:t xml:space="preserve">Pomůcky – judikatura – částečné dokazování</w:t>
      </w:r>
    </w:p>
    <w:p>
      <w:pPr>
        <w:pStyle w:val="Compact"/>
        <w:numPr>
          <w:numId w:val="1333"/>
          <w:ilvl w:val="0"/>
        </w:numPr>
      </w:pPr>
      <w:r>
        <w:t xml:space="preserve">2 Afs 25/2003 – 87 ze dne 25. května 2004</w:t>
      </w:r>
    </w:p>
    <w:p>
      <w:pPr>
        <w:pStyle w:val="Compact"/>
        <w:numPr>
          <w:numId w:val="1355"/>
          <w:ilvl w:val="1"/>
        </w:numPr>
      </w:pPr>
      <w:r>
        <w:t xml:space="preserve">Správce daně nemůže hovořit o vyměření daň podle pomůcek tam, kde ve skutečnosti stanovil daň dokazováním, nemožnost stanovit daň částečně dokazováním a částečné pomůckami</w:t>
      </w:r>
    </w:p>
    <w:p>
      <w:pPr>
        <w:numPr>
          <w:numId w:val="1333"/>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333"/>
          <w:ilvl w:val="0"/>
        </w:numPr>
      </w:pPr>
      <w:r>
        <w:t xml:space="preserve">Pomůcky – malý rozsah chyb neopravňuje k přechodu na pomůcky</w:t>
      </w:r>
    </w:p>
    <w:p>
      <w:pPr>
        <w:pStyle w:val="Compact"/>
        <w:numPr>
          <w:numId w:val="1333"/>
          <w:ilvl w:val="0"/>
        </w:numPr>
      </w:pPr>
      <w:r>
        <w:t xml:space="preserve">NSS 2 Afs 132/2005 – 71 z 27. 7. 2006</w:t>
      </w:r>
    </w:p>
    <w:p>
      <w:pPr>
        <w:pStyle w:val="Compact"/>
        <w:numPr>
          <w:numId w:val="1356"/>
          <w:ilvl w:val="1"/>
        </w:numPr>
      </w:pPr>
      <w:r>
        <w:t xml:space="preserve">„Nesplnění povinností daňovým subjektem je důvodem pro stanovení daně podle pomůcek jen za situace, kdy je v důsledku toho vyloučeno stanovení daně dokazováním.</w:t>
      </w:r>
    </w:p>
    <w:p>
      <w:pPr>
        <w:pStyle w:val="Compact"/>
        <w:numPr>
          <w:numId w:val="1356"/>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333"/>
          <w:ilvl w:val="0"/>
        </w:numPr>
      </w:pPr>
      <w:r>
        <w:t xml:space="preserve">Pomůcky – judikatura – oprávněnost použití</w:t>
      </w:r>
    </w:p>
    <w:p>
      <w:pPr>
        <w:pStyle w:val="Compact"/>
        <w:numPr>
          <w:numId w:val="1333"/>
          <w:ilvl w:val="0"/>
        </w:numPr>
      </w:pPr>
      <w:r>
        <w:t xml:space="preserve">NSS 5 Afs 129/2006 z 27. 7. 2007</w:t>
      </w:r>
    </w:p>
    <w:p>
      <w:pPr>
        <w:pStyle w:val="Compact"/>
        <w:numPr>
          <w:numId w:val="1357"/>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333"/>
          <w:ilvl w:val="0"/>
        </w:numPr>
      </w:pPr>
      <w:r>
        <w:t xml:space="preserve">Pomůcky – judikatura – odcizené účetnictví</w:t>
      </w:r>
    </w:p>
    <w:p>
      <w:pPr>
        <w:pStyle w:val="Compact"/>
        <w:numPr>
          <w:numId w:val="1333"/>
          <w:ilvl w:val="0"/>
        </w:numPr>
      </w:pPr>
      <w:r>
        <w:t xml:space="preserve">NSS 1 Afs 94/2006-60 ze dne 31. 1. 2007</w:t>
      </w:r>
    </w:p>
    <w:p>
      <w:pPr>
        <w:pStyle w:val="Compact"/>
        <w:numPr>
          <w:numId w:val="1358"/>
          <w:ilvl w:val="1"/>
        </w:numPr>
      </w:pPr>
      <w:r>
        <w:t xml:space="preserve">Žalobce se ocitl v důkazní nouzi, neboť účetní doklady mu byly odcizeny.</w:t>
      </w:r>
    </w:p>
    <w:p>
      <w:pPr>
        <w:pStyle w:val="Compact"/>
        <w:numPr>
          <w:numId w:val="1358"/>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58"/>
          <w:ilvl w:val="1"/>
        </w:numPr>
      </w:pPr>
      <w:r>
        <w:t xml:space="preserve">Lze si představit, že i v takové situaci budou existovat jiné důkazy, jimiž daňový subjekt spolehlivě prokáže jím tvrzenou daň.</w:t>
      </w:r>
    </w:p>
    <w:p>
      <w:pPr>
        <w:pStyle w:val="Compact"/>
        <w:numPr>
          <w:numId w:val="1333"/>
          <w:ilvl w:val="0"/>
        </w:numPr>
      </w:pPr>
      <w:r>
        <w:t xml:space="preserve">Dokazování ve vybraných případech</w:t>
      </w:r>
    </w:p>
    <w:p>
      <w:pPr>
        <w:pStyle w:val="Compact"/>
        <w:numPr>
          <w:numId w:val="1333"/>
          <w:ilvl w:val="0"/>
        </w:numPr>
      </w:pPr>
      <w:r>
        <w:t xml:space="preserve">Zprostředkování, reklama, manažerské služby</w:t>
      </w:r>
    </w:p>
    <w:p>
      <w:pPr>
        <w:pStyle w:val="Compact"/>
        <w:numPr>
          <w:numId w:val="1333"/>
          <w:ilvl w:val="0"/>
        </w:numPr>
      </w:pPr>
      <w:r>
        <w:t xml:space="preserve">Základní problémy:</w:t>
      </w:r>
    </w:p>
    <w:p>
      <w:pPr>
        <w:pStyle w:val="Compact"/>
        <w:numPr>
          <w:numId w:val="1333"/>
          <w:ilvl w:val="0"/>
        </w:numPr>
      </w:pPr>
      <w:r>
        <w:t xml:space="preserve">Fakturování fiktivních služeb, které nebyly poskytnuty</w:t>
      </w:r>
    </w:p>
    <w:p>
      <w:pPr>
        <w:pStyle w:val="Compact"/>
        <w:numPr>
          <w:numId w:val="1333"/>
          <w:ilvl w:val="0"/>
        </w:numPr>
      </w:pPr>
      <w:r>
        <w:t xml:space="preserve">Falešné doklady</w:t>
      </w:r>
    </w:p>
    <w:p>
      <w:pPr>
        <w:pStyle w:val="Compact"/>
        <w:numPr>
          <w:numId w:val="1333"/>
          <w:ilvl w:val="0"/>
        </w:numPr>
      </w:pPr>
      <w:r>
        <w:t xml:space="preserve">Nereálné ceny za služby, řetězové navyšování cen – cena „obvyklá“</w:t>
      </w:r>
    </w:p>
    <w:p>
      <w:pPr>
        <w:pStyle w:val="Compact"/>
        <w:numPr>
          <w:numId w:val="1333"/>
          <w:ilvl w:val="0"/>
        </w:numPr>
      </w:pPr>
      <w:r>
        <w:t xml:space="preserve">Nekontaktní a zapomnětliví svědci</w:t>
      </w:r>
    </w:p>
    <w:p>
      <w:pPr>
        <w:numPr>
          <w:numId w:val="1333"/>
          <w:ilvl w:val="0"/>
        </w:numPr>
      </w:pPr>
      <w:r>
        <w:t xml:space="preserve">Chybějící dokumentace k prováděným činnostem</w:t>
      </w:r>
    </w:p>
    <w:p>
      <w:pPr>
        <w:pStyle w:val="Compact"/>
        <w:numPr>
          <w:numId w:val="1333"/>
          <w:ilvl w:val="0"/>
        </w:numPr>
      </w:pPr>
      <w:r>
        <w:t xml:space="preserve">Reklama</w:t>
      </w:r>
    </w:p>
    <w:p>
      <w:pPr>
        <w:numPr>
          <w:numId w:val="1333"/>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333"/>
          <w:ilvl w:val="0"/>
        </w:numPr>
      </w:pPr>
      <w:r>
        <w:t xml:space="preserve">Reklama</w:t>
      </w:r>
    </w:p>
    <w:p>
      <w:pPr>
        <w:pStyle w:val="Compact"/>
        <w:numPr>
          <w:numId w:val="1333"/>
          <w:ilvl w:val="0"/>
        </w:numPr>
      </w:pPr>
      <w:r>
        <w:t xml:space="preserve">Problémy:</w:t>
      </w:r>
    </w:p>
    <w:p>
      <w:pPr>
        <w:pStyle w:val="Compact"/>
        <w:numPr>
          <w:numId w:val="1360"/>
          <w:ilvl w:val="2"/>
        </w:numPr>
      </w:pPr>
      <w:r>
        <w:t xml:space="preserve">prokázat, že jde o výdaj na reklamu a nikoli na reprezentaci,</w:t>
      </w:r>
    </w:p>
    <w:p>
      <w:pPr>
        <w:pStyle w:val="Compact"/>
        <w:numPr>
          <w:numId w:val="1361"/>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62"/>
          <w:ilvl w:val="2"/>
        </w:numPr>
      </w:pPr>
      <w:r>
        <w:t xml:space="preserve">můžeme se setkat i s opačným problémem, tedy se snahou vykázat reklamu jako „charitativní“ dar s možností uplatnit jej jako odečitatelnou položku od základu daně.</w:t>
      </w:r>
    </w:p>
    <w:p>
      <w:pPr>
        <w:pStyle w:val="Compact"/>
        <w:numPr>
          <w:numId w:val="1363"/>
          <w:ilvl w:val="2"/>
        </w:numPr>
      </w:pPr>
      <w:r>
        <w:t xml:space="preserve">plnění, které daňový subjekt poskytuje, bývá posouzeno jako dar a nikoli jako součást ceny (jiného) prodávaného zboží či služby,</w:t>
      </w:r>
    </w:p>
    <w:p>
      <w:pPr>
        <w:pStyle w:val="Compact"/>
        <w:numPr>
          <w:numId w:val="1364"/>
          <w:ilvl w:val="2"/>
        </w:numPr>
      </w:pPr>
      <w:r>
        <w:t xml:space="preserve">plnění spočívající obvykle v uspořádání nějaké akce (i bez poskytovaných dárků) nebývá uznáno jako reklama, ale označeno za výdaj na reprezentaci,</w:t>
      </w:r>
    </w:p>
    <w:p>
      <w:pPr>
        <w:pStyle w:val="Compact"/>
        <w:numPr>
          <w:numId w:val="1365"/>
          <w:ilvl w:val="2"/>
        </w:numPr>
      </w:pPr>
      <w:r>
        <w:t xml:space="preserve">předmětné plnění sice definici reprezentace nenaplňuje, ale příčinná souvislost příslušné akce s daňovými výnosy je nedostatečná.</w:t>
      </w:r>
    </w:p>
    <w:p>
      <w:pPr>
        <w:pStyle w:val="Compact"/>
        <w:numPr>
          <w:numId w:val="1333"/>
          <w:ilvl w:val="0"/>
        </w:numPr>
      </w:pPr>
      <w:r>
        <w:t xml:space="preserve">Reklama</w:t>
      </w:r>
    </w:p>
    <w:p>
      <w:pPr>
        <w:pStyle w:val="Compact"/>
        <w:numPr>
          <w:numId w:val="1333"/>
          <w:ilvl w:val="0"/>
        </w:numPr>
      </w:pPr>
      <w:r>
        <w:t xml:space="preserve">Příklad</w:t>
      </w:r>
    </w:p>
    <w:p>
      <w:pPr>
        <w:pStyle w:val="Compact"/>
        <w:numPr>
          <w:numId w:val="1366"/>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333"/>
          <w:ilvl w:val="0"/>
        </w:numPr>
      </w:pPr>
      <w:r>
        <w:t xml:space="preserve">Reklama - judikatura</w:t>
      </w:r>
    </w:p>
    <w:p>
      <w:pPr>
        <w:pStyle w:val="Compact"/>
        <w:numPr>
          <w:numId w:val="1333"/>
          <w:ilvl w:val="0"/>
        </w:numPr>
      </w:pPr>
      <w:r>
        <w:t xml:space="preserve">Prokázání uskutečnění reklamy (NSS 7 Afs 112/2008 – 64 ze dne 11. 12. 2008)</w:t>
      </w:r>
    </w:p>
    <w:p>
      <w:pPr>
        <w:pStyle w:val="Compact"/>
        <w:numPr>
          <w:numId w:val="1367"/>
          <w:ilvl w:val="1"/>
        </w:numPr>
      </w:pPr>
      <w:r>
        <w:t xml:space="preserve">DS předložil formálně bezvadné doklady, fotodokumentaci o tom, že reklamní činnost proběhla, navrhl svědky a další důkazy.</w:t>
      </w:r>
    </w:p>
    <w:p>
      <w:pPr>
        <w:pStyle w:val="Compact"/>
        <w:numPr>
          <w:numId w:val="1367"/>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333"/>
          <w:ilvl w:val="0"/>
        </w:numPr>
      </w:pPr>
      <w:r>
        <w:t xml:space="preserve">Reklama - judikatura</w:t>
      </w:r>
    </w:p>
    <w:p>
      <w:pPr>
        <w:pStyle w:val="Compact"/>
        <w:numPr>
          <w:numId w:val="1333"/>
          <w:ilvl w:val="0"/>
        </w:numPr>
      </w:pPr>
      <w:r>
        <w:t xml:space="preserve">7 Afs 112/2008 – pokrač.</w:t>
      </w:r>
    </w:p>
    <w:p>
      <w:pPr>
        <w:pStyle w:val="Compact"/>
        <w:numPr>
          <w:numId w:val="1368"/>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68"/>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333"/>
          <w:ilvl w:val="0"/>
        </w:numPr>
      </w:pPr>
      <w:r>
        <w:t xml:space="preserve">Reklama - judikatura</w:t>
      </w:r>
    </w:p>
    <w:p>
      <w:pPr>
        <w:pStyle w:val="Compact"/>
        <w:numPr>
          <w:numId w:val="1333"/>
          <w:ilvl w:val="0"/>
        </w:numPr>
      </w:pPr>
      <w:r>
        <w:t xml:space="preserve">Reklama nebo zakryté financování sportovních aktivit? (NSS 7 Afs 10/2007-55 z 1. 11. 2007)</w:t>
      </w:r>
    </w:p>
    <w:p>
      <w:pPr>
        <w:pStyle w:val="Compact"/>
        <w:numPr>
          <w:numId w:val="1369"/>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69"/>
          <w:ilvl w:val="1"/>
        </w:numPr>
      </w:pPr>
      <w:r>
        <w:t xml:space="preserve">reklama nebyla v odpovídající šíři prokázána (např. fotodokumentace reklamy nebyla datovaná a zjistilo se, že by mohla odpovídat spíše jiné sezóně).</w:t>
      </w:r>
    </w:p>
    <w:p>
      <w:pPr>
        <w:pStyle w:val="Compact"/>
        <w:numPr>
          <w:numId w:val="1333"/>
          <w:ilvl w:val="0"/>
        </w:numPr>
      </w:pPr>
      <w:r>
        <w:t xml:space="preserve">Reklama - judikatura</w:t>
      </w:r>
    </w:p>
    <w:p>
      <w:pPr>
        <w:pStyle w:val="Compact"/>
        <w:numPr>
          <w:numId w:val="1333"/>
          <w:ilvl w:val="0"/>
        </w:numPr>
      </w:pPr>
      <w:r>
        <w:t xml:space="preserve">7 Afs 10/2007-55 pokrač.:</w:t>
      </w:r>
    </w:p>
    <w:p>
      <w:pPr>
        <w:pStyle w:val="Compact"/>
        <w:numPr>
          <w:numId w:val="1370"/>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333"/>
          <w:ilvl w:val="0"/>
        </w:numPr>
      </w:pPr>
      <w:r>
        <w:t xml:space="preserve">Reklama - judikatura</w:t>
      </w:r>
    </w:p>
    <w:p>
      <w:pPr>
        <w:pStyle w:val="Compact"/>
        <w:numPr>
          <w:numId w:val="1333"/>
          <w:ilvl w:val="0"/>
        </w:numPr>
      </w:pPr>
      <w:r>
        <w:t xml:space="preserve">Neprokázaný mediální servis (NSS 9 Afs 27/2010 – 130 z 30. 11. 2010)</w:t>
      </w:r>
    </w:p>
    <w:p>
      <w:pPr>
        <w:pStyle w:val="Compact"/>
        <w:numPr>
          <w:numId w:val="1371"/>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333"/>
          <w:ilvl w:val="0"/>
        </w:numPr>
      </w:pPr>
      <w:r>
        <w:t xml:space="preserve">Reklama - judikatura</w:t>
      </w:r>
    </w:p>
    <w:p>
      <w:pPr>
        <w:pStyle w:val="Compact"/>
        <w:numPr>
          <w:numId w:val="1333"/>
          <w:ilvl w:val="0"/>
        </w:numPr>
      </w:pPr>
      <w:r>
        <w:t xml:space="preserve">9 Afs 27/2010 pokrač.:</w:t>
      </w:r>
    </w:p>
    <w:p>
      <w:pPr>
        <w:pStyle w:val="Compact"/>
        <w:numPr>
          <w:numId w:val="1372"/>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72"/>
          <w:ilvl w:val="1"/>
        </w:numPr>
      </w:pPr>
      <w:r>
        <w:t xml:space="preserve">V daních však platí presumpce viny a odběratel musí mít příslušné důkazy k dispozici.</w:t>
      </w:r>
    </w:p>
    <w:p>
      <w:pPr>
        <w:pStyle w:val="Compact"/>
        <w:numPr>
          <w:numId w:val="1333"/>
          <w:ilvl w:val="0"/>
        </w:numPr>
      </w:pPr>
      <w:r>
        <w:t xml:space="preserve">Reklama - judikatura</w:t>
      </w:r>
    </w:p>
    <w:p>
      <w:pPr>
        <w:pStyle w:val="Compact"/>
        <w:numPr>
          <w:numId w:val="1333"/>
          <w:ilvl w:val="0"/>
        </w:numPr>
      </w:pPr>
      <w:r>
        <w:t xml:space="preserve">Socha, parní čistič a vstupenky na hrad v daňových nákladech (podle rozsudku Nejvyššího správního soudu 2 Afs 200/2005 – 86 ze dne 26. září 2006)</w:t>
      </w:r>
    </w:p>
    <w:p>
      <w:pPr>
        <w:pStyle w:val="Compact"/>
        <w:numPr>
          <w:numId w:val="1373"/>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333"/>
          <w:ilvl w:val="0"/>
        </w:numPr>
      </w:pPr>
      <w:r>
        <w:t xml:space="preserve">Reklama - judikatura</w:t>
      </w:r>
    </w:p>
    <w:p>
      <w:pPr>
        <w:pStyle w:val="Compact"/>
        <w:numPr>
          <w:numId w:val="1333"/>
          <w:ilvl w:val="0"/>
        </w:numPr>
      </w:pPr>
      <w:r>
        <w:t xml:space="preserve">Věrnostní program a nárok na odpočet DPH (podle rozsudku Evropského soudního dvora C-48/97 (Kuwait Petroleum))</w:t>
      </w:r>
    </w:p>
    <w:p>
      <w:pPr>
        <w:pStyle w:val="Compact"/>
        <w:numPr>
          <w:numId w:val="1374"/>
          <w:ilvl w:val="1"/>
        </w:numPr>
      </w:pPr>
      <w:r>
        <w:t xml:space="preserve">Dodavatel pohonných hmot – společnost Kuwait Petroleum poskytoval tento subjekt svým zákazníkům známky na „sběratelskou kartu“ za každých odebraných 12 litrů benzínu.</w:t>
      </w:r>
    </w:p>
    <w:p>
      <w:pPr>
        <w:pStyle w:val="Compact"/>
        <w:numPr>
          <w:numId w:val="1374"/>
          <w:ilvl w:val="1"/>
        </w:numPr>
      </w:pPr>
      <w:r>
        <w:t xml:space="preserve">Po nasbírání určitého počtu známek bylo možno „sběratelské karty“ vyměnit za určité zboží (dárek).</w:t>
      </w:r>
    </w:p>
    <w:p>
      <w:pPr>
        <w:pStyle w:val="Compact"/>
        <w:numPr>
          <w:numId w:val="1374"/>
          <w:ilvl w:val="1"/>
        </w:numPr>
      </w:pPr>
      <w:r>
        <w:t xml:space="preserve">Za příslušný dárek již zákazník nic nedoplácel.</w:t>
      </w:r>
    </w:p>
    <w:p>
      <w:pPr>
        <w:pStyle w:val="Compact"/>
        <w:numPr>
          <w:numId w:val="1374"/>
          <w:ilvl w:val="1"/>
        </w:numPr>
      </w:pPr>
      <w:r>
        <w:t xml:space="preserve">Pokud se týká ceny pohonných hmot, ať už si zákazník vzal známku do sběratelské karty či nevzal, za pohonné hmoty platil stejnou částku.</w:t>
      </w:r>
    </w:p>
    <w:p>
      <w:pPr>
        <w:pStyle w:val="Compact"/>
        <w:numPr>
          <w:numId w:val="1333"/>
          <w:ilvl w:val="0"/>
        </w:numPr>
      </w:pPr>
      <w:r>
        <w:t xml:space="preserve">Reklama - judikatura</w:t>
      </w:r>
    </w:p>
    <w:p>
      <w:pPr>
        <w:pStyle w:val="Compact"/>
        <w:numPr>
          <w:numId w:val="1333"/>
          <w:ilvl w:val="0"/>
        </w:numPr>
      </w:pPr>
      <w:r>
        <w:t xml:space="preserve">C-48/97 – pokrač.:</w:t>
      </w:r>
    </w:p>
    <w:p>
      <w:pPr>
        <w:pStyle w:val="Compact"/>
        <w:numPr>
          <w:numId w:val="1375"/>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75"/>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75"/>
          <w:ilvl w:val="1"/>
        </w:numPr>
      </w:pPr>
      <w:r>
        <w:t xml:space="preserve">Poskytnutí dárků z katalogu tak bylo posouzeno jako samostatné zdanitelné plnění s povinností odvést DPH na výstupu.</w:t>
      </w:r>
    </w:p>
    <w:p>
      <w:pPr>
        <w:pStyle w:val="Compact"/>
        <w:numPr>
          <w:numId w:val="1333"/>
          <w:ilvl w:val="0"/>
        </w:numPr>
      </w:pPr>
      <w:r>
        <w:t xml:space="preserve">Reklama - judikatura</w:t>
      </w:r>
    </w:p>
    <w:p>
      <w:pPr>
        <w:pStyle w:val="Compact"/>
        <w:numPr>
          <w:numId w:val="1333"/>
          <w:ilvl w:val="0"/>
        </w:numPr>
      </w:pPr>
      <w:r>
        <w:t xml:space="preserve">Nárok na odpočet DPH z ohňostroje (podle rozsudku Nejvyššího správního soudu 5 Afs 152/2004 – 55 ze dne 4. srpna 2005)</w:t>
      </w:r>
    </w:p>
    <w:p>
      <w:pPr>
        <w:pStyle w:val="Compact"/>
        <w:numPr>
          <w:numId w:val="1376"/>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76"/>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76"/>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333"/>
          <w:ilvl w:val="0"/>
        </w:numPr>
      </w:pPr>
      <w:r>
        <w:t xml:space="preserve">Reklama - judikatura</w:t>
      </w:r>
    </w:p>
    <w:p>
      <w:pPr>
        <w:pStyle w:val="Compact"/>
        <w:numPr>
          <w:numId w:val="1333"/>
          <w:ilvl w:val="0"/>
        </w:numPr>
      </w:pPr>
      <w:r>
        <w:t xml:space="preserve">Dálniční známky zdarma MS v Praze čj. 5 Ca 67/2008-77 z 25. srpna 2010</w:t>
      </w:r>
    </w:p>
    <w:p>
      <w:pPr>
        <w:pStyle w:val="Compact"/>
        <w:numPr>
          <w:numId w:val="1377"/>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333"/>
          <w:ilvl w:val="0"/>
        </w:numPr>
      </w:pPr>
      <w:r>
        <w:t xml:space="preserve">Reklama - judikatura</w:t>
      </w:r>
    </w:p>
    <w:p>
      <w:pPr>
        <w:pStyle w:val="Compact"/>
        <w:numPr>
          <w:numId w:val="1333"/>
          <w:ilvl w:val="0"/>
        </w:numPr>
      </w:pPr>
      <w:r>
        <w:t xml:space="preserve">Přeprava, vstupné a občerstvení účastníků „prodejních“ zájezdů NSS čj. 2 Afs 6/2004 – 67 z 27. 10. 2004)</w:t>
      </w:r>
    </w:p>
    <w:p>
      <w:pPr>
        <w:pStyle w:val="Compact"/>
        <w:numPr>
          <w:numId w:val="1378"/>
          <w:ilvl w:val="1"/>
        </w:numPr>
      </w:pPr>
      <w:r>
        <w:t xml:space="preserve">výdaje za stravování účastníků, vstupné na prohlídku pivovaru, náklady za výlet lodí, výlety parním vlakem a za přepravu autobusem,</w:t>
      </w:r>
    </w:p>
    <w:p>
      <w:pPr>
        <w:pStyle w:val="Compact"/>
        <w:numPr>
          <w:numId w:val="1378"/>
          <w:ilvl w:val="1"/>
        </w:numPr>
      </w:pPr>
      <w:r>
        <w:t xml:space="preserve">hlavní činnost žalobkyně spočívá v nákupu zboží za účelem jeho dalšího prodeje, který je realizován prostřednictvím prodejních zájezdů.</w:t>
      </w:r>
    </w:p>
    <w:p>
      <w:pPr>
        <w:pStyle w:val="Compact"/>
        <w:numPr>
          <w:numId w:val="1378"/>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333"/>
          <w:ilvl w:val="0"/>
        </w:numPr>
      </w:pPr>
      <w:r>
        <w:t xml:space="preserve">Reklama - judikatura</w:t>
      </w:r>
    </w:p>
    <w:p>
      <w:pPr>
        <w:pStyle w:val="Compact"/>
        <w:numPr>
          <w:numId w:val="1333"/>
          <w:ilvl w:val="0"/>
        </w:numPr>
      </w:pPr>
      <w:r>
        <w:t xml:space="preserve">2 Afs 6/2004 pokrač.:</w:t>
      </w:r>
    </w:p>
    <w:p>
      <w:pPr>
        <w:pStyle w:val="Compact"/>
        <w:numPr>
          <w:numId w:val="1379"/>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79"/>
          <w:ilvl w:val="1"/>
        </w:numPr>
      </w:pPr>
      <w:r>
        <w:t xml:space="preserve">a historických památek v Letohradě. Účastnický poplatek zájezdu činil 140 Kč.</w:t>
      </w:r>
    </w:p>
    <w:p>
      <w:pPr>
        <w:pStyle w:val="Compact"/>
        <w:numPr>
          <w:numId w:val="1379"/>
          <w:ilvl w:val="1"/>
        </w:numPr>
      </w:pPr>
      <w:r>
        <w:t xml:space="preserve">NO nebyl uznán</w:t>
      </w:r>
    </w:p>
    <w:p>
      <w:pPr>
        <w:pStyle w:val="Compact"/>
        <w:numPr>
          <w:numId w:val="1333"/>
          <w:ilvl w:val="0"/>
        </w:numPr>
      </w:pPr>
      <w:r>
        <w:t xml:space="preserve">Dokazování ve vybraných případech</w:t>
      </w:r>
    </w:p>
    <w:p>
      <w:pPr>
        <w:pStyle w:val="Compact"/>
        <w:numPr>
          <w:numId w:val="1333"/>
          <w:ilvl w:val="0"/>
        </w:numPr>
      </w:pPr>
      <w:r>
        <w:t xml:space="preserve">I zde platí základní schéma dokazování:</w:t>
      </w:r>
    </w:p>
    <w:p>
      <w:pPr>
        <w:pStyle w:val="Compact"/>
        <w:numPr>
          <w:numId w:val="1381"/>
          <w:ilvl w:val="2"/>
        </w:numPr>
      </w:pPr>
      <w:r>
        <w:t xml:space="preserve">Povinnost DS k tvrzení (např. podat DP)</w:t>
      </w:r>
    </w:p>
    <w:p>
      <w:pPr>
        <w:pStyle w:val="Compact"/>
        <w:numPr>
          <w:numId w:val="1382"/>
          <w:ilvl w:val="2"/>
        </w:numPr>
      </w:pPr>
      <w:r>
        <w:t xml:space="preserve">Výzva SD k prokázání</w:t>
      </w:r>
    </w:p>
    <w:p>
      <w:pPr>
        <w:pStyle w:val="Compact"/>
        <w:numPr>
          <w:numId w:val="1383"/>
          <w:ilvl w:val="2"/>
        </w:numPr>
      </w:pPr>
      <w:r>
        <w:t xml:space="preserve">Povinnost DS důkazní (doložit tvrzení)</w:t>
      </w:r>
    </w:p>
    <w:p>
      <w:pPr>
        <w:pStyle w:val="Compact"/>
        <w:numPr>
          <w:numId w:val="1384"/>
          <w:ilvl w:val="2"/>
        </w:numPr>
      </w:pPr>
      <w:r>
        <w:t xml:space="preserve">Povinnost SD prokázat, proč má pochybnosti</w:t>
      </w:r>
    </w:p>
    <w:p>
      <w:pPr>
        <w:pStyle w:val="Compact"/>
        <w:numPr>
          <w:numId w:val="1385"/>
          <w:ilvl w:val="2"/>
        </w:numPr>
      </w:pPr>
      <w:r>
        <w:t xml:space="preserve">Povinnost DS pochybnosti vyvrátit</w:t>
      </w:r>
    </w:p>
    <w:p>
      <w:pPr>
        <w:pStyle w:val="Heading2"/>
      </w:pPr>
      <w:bookmarkStart w:id="137" w:name="opravné-a-dozorčí-prostředky-v-daňovém-řízení"/>
      <w:bookmarkEnd w:id="137"/>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38"/>
      </w:r>
      <w:r>
        <w:t xml:space="preserve"> </w:t>
      </w:r>
      <w:r>
        <w:t xml:space="preserve">v daňovém řízení -</w:t>
      </w:r>
      <w:r>
        <w:t xml:space="preserve"> </w:t>
      </w:r>
      <w:r>
        <w:rPr>
          <w:b/>
        </w:rPr>
        <w:t xml:space="preserve">daňový řád</w:t>
      </w:r>
      <w:r>
        <w:t xml:space="preserve">.</w:t>
      </w:r>
    </w:p>
    <w:p>
      <w:pPr>
        <w:pStyle w:val="Compact"/>
        <w:numPr>
          <w:numId w:val="1386"/>
          <w:ilvl w:val="0"/>
        </w:numPr>
      </w:pPr>
      <w:r>
        <w:t xml:space="preserve">Paragrafy 108 až §124a.</w:t>
      </w:r>
    </w:p>
    <w:p>
      <w:pPr>
        <w:pStyle w:val="Heading3"/>
      </w:pPr>
      <w:bookmarkStart w:id="139" w:name="použití-opravných-a-dozorčích-prostředků"/>
      <w:bookmarkEnd w:id="139"/>
      <w:r>
        <w:t xml:space="preserve">Použití opravných a dozorčích prostředků</w:t>
      </w:r>
    </w:p>
    <w:p>
      <w:pPr>
        <w:pStyle w:val="Compact"/>
        <w:numPr>
          <w:numId w:val="1387"/>
          <w:ilvl w:val="0"/>
        </w:numPr>
      </w:pPr>
      <w:r>
        <w:t xml:space="preserve">Rozhodnutí vydané při správě daní lze přezkoumat na základě:</w:t>
      </w:r>
    </w:p>
    <w:p>
      <w:pPr>
        <w:pStyle w:val="Compact"/>
        <w:numPr>
          <w:numId w:val="1388"/>
          <w:ilvl w:val="1"/>
        </w:numPr>
      </w:pPr>
      <w:r>
        <w:t xml:space="preserve">řádného opravného prostředku, kterým je odvolání nebo rozklad,</w:t>
      </w:r>
    </w:p>
    <w:p>
      <w:pPr>
        <w:pStyle w:val="Compact"/>
        <w:numPr>
          <w:numId w:val="1389"/>
          <w:ilvl w:val="1"/>
        </w:numPr>
      </w:pPr>
      <w:r>
        <w:t xml:space="preserve">mimořádného opravného prostředku, kterým je návrh na povolení obnovy řízení, nebo</w:t>
      </w:r>
    </w:p>
    <w:p>
      <w:pPr>
        <w:pStyle w:val="Compact"/>
        <w:numPr>
          <w:numId w:val="1390"/>
          <w:ilvl w:val="1"/>
        </w:numPr>
      </w:pPr>
      <w:r>
        <w:t xml:space="preserve">dozorčího prostředku, kterým je nařízení obnovy řízení a nařízení přezkoumání rozhodnutí.</w:t>
      </w:r>
    </w:p>
    <w:p>
      <w:pPr>
        <w:numPr>
          <w:numId w:val="1387"/>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87"/>
          <w:ilvl w:val="0"/>
        </w:numPr>
      </w:pPr>
      <w:r>
        <w:t xml:space="preserve">Opravné a dozorčí prostředky v daňovém řízení</w:t>
      </w:r>
    </w:p>
    <w:p>
      <w:pPr>
        <w:pStyle w:val="Compact"/>
        <w:numPr>
          <w:numId w:val="1387"/>
          <w:ilvl w:val="0"/>
        </w:numPr>
      </w:pPr>
      <w:r>
        <w:t xml:space="preserve">Řádný opravný prostředek</w:t>
      </w:r>
    </w:p>
    <w:p>
      <w:pPr>
        <w:pStyle w:val="Compact"/>
        <w:numPr>
          <w:numId w:val="1387"/>
          <w:ilvl w:val="0"/>
        </w:numPr>
      </w:pPr>
      <w:r>
        <w:t xml:space="preserve">odvolání</w:t>
      </w:r>
    </w:p>
    <w:p>
      <w:pPr>
        <w:pStyle w:val="Compact"/>
        <w:numPr>
          <w:numId w:val="1387"/>
          <w:ilvl w:val="0"/>
        </w:numPr>
      </w:pPr>
      <w:r>
        <w:t xml:space="preserve">Rozklad</w:t>
      </w:r>
    </w:p>
    <w:p>
      <w:pPr>
        <w:pStyle w:val="Compact"/>
        <w:numPr>
          <w:numId w:val="1387"/>
          <w:ilvl w:val="0"/>
        </w:numPr>
      </w:pPr>
      <w:r>
        <w:t xml:space="preserve">Mimořádný opravný prostředek</w:t>
      </w:r>
    </w:p>
    <w:p>
      <w:pPr>
        <w:pStyle w:val="Compact"/>
        <w:numPr>
          <w:numId w:val="1387"/>
          <w:ilvl w:val="0"/>
        </w:numPr>
      </w:pPr>
      <w:r>
        <w:t xml:space="preserve">návrh na povolení obnovy řízení - pokud podá sám stěžovatel</w:t>
      </w:r>
    </w:p>
    <w:p>
      <w:pPr>
        <w:pStyle w:val="Compact"/>
        <w:numPr>
          <w:numId w:val="1387"/>
          <w:ilvl w:val="0"/>
        </w:numPr>
      </w:pPr>
      <w:r>
        <w:t xml:space="preserve">Dozorčí prostředek</w:t>
      </w:r>
    </w:p>
    <w:p>
      <w:pPr>
        <w:pStyle w:val="Compact"/>
        <w:numPr>
          <w:numId w:val="1387"/>
          <w:ilvl w:val="0"/>
        </w:numPr>
      </w:pPr>
      <w:r>
        <w:t xml:space="preserve">nařízení obnovy - z moci úřední</w:t>
      </w:r>
    </w:p>
    <w:p>
      <w:pPr>
        <w:numPr>
          <w:numId w:val="1387"/>
          <w:ilvl w:val="0"/>
        </w:numPr>
      </w:pPr>
      <w:r>
        <w:t xml:space="preserve">nařízení přezkoumání</w:t>
      </w:r>
    </w:p>
    <w:p>
      <w:pPr>
        <w:pStyle w:val="Compact"/>
        <w:numPr>
          <w:numId w:val="1387"/>
          <w:ilvl w:val="0"/>
        </w:numPr>
      </w:pPr>
      <w:r>
        <w:rPr>
          <w:b/>
        </w:rPr>
        <w:t xml:space="preserve">Odvolání (§ 109-116 DŘ)</w:t>
      </w:r>
    </w:p>
    <w:p>
      <w:pPr>
        <w:pStyle w:val="Compact"/>
        <w:numPr>
          <w:numId w:val="1387"/>
          <w:ilvl w:val="0"/>
        </w:numPr>
      </w:pPr>
      <w:r>
        <w:t xml:space="preserve">Obecná ustanovení o odvolání</w:t>
      </w:r>
    </w:p>
    <w:p>
      <w:pPr>
        <w:pStyle w:val="Compact"/>
        <w:numPr>
          <w:numId w:val="1391"/>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91"/>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91"/>
          <w:ilvl w:val="1"/>
        </w:numPr>
      </w:pPr>
      <w:r>
        <w:t xml:space="preserve">Odvolání se podává u správce daně, jehož rozhodnutí je odvoláním napadeno.</w:t>
      </w:r>
    </w:p>
    <w:p>
      <w:pPr>
        <w:pStyle w:val="Compact"/>
        <w:numPr>
          <w:numId w:val="1391"/>
          <w:ilvl w:val="1"/>
        </w:numPr>
      </w:pPr>
      <w:r>
        <w:t xml:space="preserve">Odvolání lze podat do 30 dnů ode dne doručení rozhodnutí, proti němuž odvolání směřuje, a to i před doručením tohoto rozhodnutí.</w:t>
      </w:r>
    </w:p>
    <w:p>
      <w:pPr>
        <w:pStyle w:val="Compact"/>
        <w:numPr>
          <w:numId w:val="1391"/>
          <w:ilvl w:val="1"/>
        </w:numPr>
      </w:pPr>
      <w:r>
        <w:t xml:space="preserve">Pokud je nesprávné poučení podle §102 - do 30 dní od doručení správného rozhodnutí, maximálně do 3 měsíců od původního rozhodnutí.</w:t>
      </w:r>
    </w:p>
    <w:p>
      <w:pPr>
        <w:pStyle w:val="Compact"/>
        <w:numPr>
          <w:numId w:val="1391"/>
          <w:ilvl w:val="1"/>
        </w:numPr>
      </w:pPr>
      <w:r>
        <w:t xml:space="preserve">Pokud je v poučení nesprávně určeno, že odvolání je přípustné - řízení o odvolání se zastaví, pokud bylo podáno.</w:t>
      </w:r>
    </w:p>
    <w:p>
      <w:pPr>
        <w:pStyle w:val="Compact"/>
        <w:numPr>
          <w:numId w:val="1391"/>
          <w:ilvl w:val="1"/>
        </w:numPr>
      </w:pPr>
      <w:r>
        <w:t xml:space="preserve">Pokud je v poučení nesprávně určen odkladný účinek, i když ho zákon nepřiznává - nastává odkladný účinek.</w:t>
      </w:r>
    </w:p>
    <w:p>
      <w:pPr>
        <w:pStyle w:val="Compact"/>
        <w:numPr>
          <w:numId w:val="1391"/>
          <w:ilvl w:val="1"/>
        </w:numPr>
      </w:pPr>
      <w:r>
        <w:t xml:space="preserve">Odvolání nemá odkladný účinek, pokud zákon nestanoví jinak.</w:t>
      </w:r>
    </w:p>
    <w:p>
      <w:pPr>
        <w:pStyle w:val="Compact"/>
        <w:numPr>
          <w:numId w:val="1387"/>
          <w:ilvl w:val="0"/>
        </w:numPr>
      </w:pPr>
      <w:r>
        <w:t xml:space="preserve">Náležitosti odvolání</w:t>
      </w:r>
    </w:p>
    <w:p>
      <w:pPr>
        <w:pStyle w:val="Compact"/>
        <w:numPr>
          <w:numId w:val="1392"/>
          <w:ilvl w:val="1"/>
        </w:numPr>
      </w:pPr>
      <w:r>
        <w:t xml:space="preserve">Odvolání lze vzít zpět.</w:t>
      </w:r>
    </w:p>
    <w:p>
      <w:pPr>
        <w:pStyle w:val="Compact"/>
        <w:numPr>
          <w:numId w:val="1392"/>
          <w:ilvl w:val="1"/>
        </w:numPr>
      </w:pPr>
      <w:r>
        <w:t xml:space="preserve">Dokud neuplyne lhůta pro odvolání je možné ho měnit, doplňovat, nebo vzít zpět.</w:t>
      </w:r>
    </w:p>
    <w:p>
      <w:pPr>
        <w:pStyle w:val="Compact"/>
        <w:numPr>
          <w:numId w:val="1392"/>
          <w:ilvl w:val="1"/>
        </w:numPr>
      </w:pPr>
      <w:r>
        <w:t xml:space="preserve">Zpětvzetím je odvolací řízení zastaveno - původní rozhodnutí nabývá právní moci.</w:t>
      </w:r>
    </w:p>
    <w:p>
      <w:pPr>
        <w:pStyle w:val="Compact"/>
        <w:numPr>
          <w:numId w:val="1392"/>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92"/>
          <w:ilvl w:val="1"/>
        </w:numPr>
      </w:pPr>
      <w:r>
        <w:t xml:space="preserve">Odvolání musí mít následující náležitosti:</w:t>
      </w:r>
    </w:p>
    <w:p>
      <w:pPr>
        <w:pStyle w:val="Compact"/>
        <w:numPr>
          <w:numId w:val="1392"/>
          <w:ilvl w:val="1"/>
        </w:numPr>
      </w:pPr>
      <w:r>
        <w:t xml:space="preserve">označení správního orgánu, který napadané rozhodnutí vydal</w:t>
      </w:r>
    </w:p>
    <w:p>
      <w:pPr>
        <w:pStyle w:val="Compact"/>
        <w:numPr>
          <w:numId w:val="1392"/>
          <w:ilvl w:val="1"/>
        </w:numPr>
      </w:pPr>
      <w:r>
        <w:t xml:space="preserve">označení odvolatele,</w:t>
      </w:r>
    </w:p>
    <w:p>
      <w:pPr>
        <w:pStyle w:val="Compact"/>
        <w:numPr>
          <w:numId w:val="1392"/>
          <w:ilvl w:val="1"/>
        </w:numPr>
      </w:pPr>
      <w:r>
        <w:t xml:space="preserve">identifikace rozhodnutí,</w:t>
      </w:r>
    </w:p>
    <w:p>
      <w:pPr>
        <w:pStyle w:val="Compact"/>
        <w:numPr>
          <w:numId w:val="1392"/>
          <w:ilvl w:val="1"/>
        </w:numPr>
      </w:pPr>
      <w:r>
        <w:t xml:space="preserve">uvedení důvodů, v nichž jsou spatřovány nesprávnosti nebo nezákonnosti napadeného rozhodnutí,</w:t>
      </w:r>
    </w:p>
    <w:p>
      <w:pPr>
        <w:pStyle w:val="Compact"/>
        <w:numPr>
          <w:numId w:val="1392"/>
          <w:ilvl w:val="1"/>
        </w:numPr>
      </w:pPr>
      <w:r>
        <w:t xml:space="preserve">označení důkazů,</w:t>
      </w:r>
    </w:p>
    <w:p>
      <w:pPr>
        <w:pStyle w:val="Compact"/>
        <w:numPr>
          <w:numId w:val="1392"/>
          <w:ilvl w:val="1"/>
        </w:numPr>
      </w:pPr>
      <w:r>
        <w:t xml:space="preserve">návrh na změnu, nebo zrušení rozhodnutí.</w:t>
      </w:r>
    </w:p>
    <w:p>
      <w:pPr>
        <w:pStyle w:val="Compact"/>
        <w:numPr>
          <w:numId w:val="1392"/>
          <w:ilvl w:val="1"/>
        </w:numPr>
      </w:pPr>
      <w:r>
        <w:t xml:space="preserve">Pokud odvolání obsahuje vady - vyzve ho správce daně k nápravě v minimální lhůtě 15 dní, pokud nejsou vady opraveny - řízení se zastaví.</w:t>
      </w:r>
    </w:p>
    <w:p>
      <w:pPr>
        <w:pStyle w:val="Compact"/>
        <w:numPr>
          <w:numId w:val="1387"/>
          <w:ilvl w:val="0"/>
        </w:numPr>
      </w:pPr>
      <w:r>
        <w:t xml:space="preserve">Postup správce daně prvního stupně</w:t>
      </w:r>
    </w:p>
    <w:p>
      <w:pPr>
        <w:pStyle w:val="Compact"/>
        <w:numPr>
          <w:numId w:val="1393"/>
          <w:ilvl w:val="1"/>
        </w:numPr>
      </w:pPr>
      <w:r>
        <w:t xml:space="preserve">Může rozhodnout o odvolání sám pokud - mu plně vyhoví a toto rozhodnutí není v rozporu s vyjádřením příjemců,</w:t>
      </w:r>
    </w:p>
    <w:p>
      <w:pPr>
        <w:pStyle w:val="Compact"/>
        <w:numPr>
          <w:numId w:val="1393"/>
          <w:ilvl w:val="1"/>
        </w:numPr>
      </w:pPr>
      <w:r>
        <w:t xml:space="preserve">Může rozhodnout pokud mu vyhoví částečně,</w:t>
      </w:r>
    </w:p>
    <w:p>
      <w:pPr>
        <w:pStyle w:val="Compact"/>
        <w:numPr>
          <w:numId w:val="1393"/>
          <w:ilvl w:val="1"/>
        </w:numPr>
      </w:pPr>
      <w:r>
        <w:t xml:space="preserve">Může řízení zastavit, pokud je odvolání nepřípustné, nebo bylo podáno po lhůtě.</w:t>
      </w:r>
    </w:p>
    <w:p>
      <w:pPr>
        <w:pStyle w:val="Compact"/>
        <w:numPr>
          <w:numId w:val="1387"/>
          <w:ilvl w:val="0"/>
        </w:numPr>
      </w:pPr>
      <w:r>
        <w:t xml:space="preserve">Postup odvolacího orgánu</w:t>
      </w:r>
    </w:p>
    <w:p>
      <w:pPr>
        <w:pStyle w:val="Compact"/>
        <w:numPr>
          <w:numId w:val="1394"/>
          <w:ilvl w:val="1"/>
        </w:numPr>
      </w:pPr>
      <w:r>
        <w:t xml:space="preserve">Pokud o něm nemůže rozhodnout správce v prvním stupni.</w:t>
      </w:r>
    </w:p>
    <w:p>
      <w:pPr>
        <w:pStyle w:val="Compact"/>
        <w:numPr>
          <w:numId w:val="1394"/>
          <w:ilvl w:val="1"/>
        </w:numPr>
      </w:pPr>
      <w:r>
        <w:t xml:space="preserve">Odvolacím orgánem je orgán nejblíže nadřazený správci daně, který rozhodnutí vydal.</w:t>
      </w:r>
    </w:p>
    <w:p>
      <w:pPr>
        <w:pStyle w:val="Compact"/>
        <w:numPr>
          <w:numId w:val="1394"/>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94"/>
          <w:ilvl w:val="1"/>
        </w:numPr>
      </w:pPr>
      <w:r>
        <w:t xml:space="preserve">Rovněž může provádět vlastní šetření a doplňovat.</w:t>
      </w:r>
    </w:p>
    <w:p>
      <w:pPr>
        <w:pStyle w:val="Compact"/>
        <w:numPr>
          <w:numId w:val="1394"/>
          <w:ilvl w:val="1"/>
        </w:numPr>
      </w:pPr>
      <w:r>
        <w:t xml:space="preserve">Musí s nimi odvolatele seznámit, umožnit mu se k nim vyjádřit a navrhnout vlastní.</w:t>
      </w:r>
    </w:p>
    <w:p>
      <w:pPr>
        <w:pStyle w:val="Compact"/>
        <w:numPr>
          <w:numId w:val="1394"/>
          <w:ilvl w:val="1"/>
        </w:numPr>
      </w:pPr>
      <w:r>
        <w:t xml:space="preserve">Lhůta maximálně 15 dní.</w:t>
      </w:r>
    </w:p>
    <w:p>
      <w:pPr>
        <w:pStyle w:val="Compact"/>
        <w:numPr>
          <w:numId w:val="1394"/>
          <w:ilvl w:val="1"/>
        </w:numPr>
      </w:pPr>
      <w:r>
        <w:t xml:space="preserve">Může prověřit použití pomůcek pro stanovení výše daně, pokud proti nim odvolání směřuje.</w:t>
      </w:r>
    </w:p>
    <w:p>
      <w:pPr>
        <w:pStyle w:val="Compact"/>
        <w:numPr>
          <w:numId w:val="1394"/>
          <w:ilvl w:val="1"/>
        </w:numPr>
      </w:pPr>
      <w:r>
        <w:t xml:space="preserve">Rozhodnutí:</w:t>
      </w:r>
    </w:p>
    <w:p>
      <w:pPr>
        <w:pStyle w:val="Compact"/>
        <w:numPr>
          <w:numId w:val="1394"/>
          <w:ilvl w:val="1"/>
        </w:numPr>
      </w:pPr>
      <w:r>
        <w:t xml:space="preserve">napadené rozhodnutí změní,</w:t>
      </w:r>
    </w:p>
    <w:p>
      <w:pPr>
        <w:pStyle w:val="Compact"/>
        <w:numPr>
          <w:numId w:val="1394"/>
          <w:ilvl w:val="1"/>
        </w:numPr>
      </w:pPr>
      <w:r>
        <w:t xml:space="preserve">napadené rozhodnutí zruší a zastaví řízení,</w:t>
      </w:r>
    </w:p>
    <w:p>
      <w:pPr>
        <w:pStyle w:val="Compact"/>
        <w:numPr>
          <w:numId w:val="1394"/>
          <w:ilvl w:val="1"/>
        </w:numPr>
      </w:pPr>
      <w:r>
        <w:t xml:space="preserve">odvolání zamítne a napadené rozhodnutí potvrdí,</w:t>
      </w:r>
    </w:p>
    <w:p>
      <w:pPr>
        <w:pStyle w:val="Compact"/>
        <w:numPr>
          <w:numId w:val="1394"/>
          <w:ilvl w:val="1"/>
        </w:numPr>
      </w:pPr>
      <w:r>
        <w:t xml:space="preserve">pokud zjistí, že mohl rozhodnout správce daně v prvním stupni, může mu odvolání vrátit s právním názorem.</w:t>
      </w:r>
    </w:p>
    <w:p>
      <w:pPr>
        <w:pStyle w:val="Compact"/>
        <w:numPr>
          <w:numId w:val="1394"/>
          <w:ilvl w:val="1"/>
        </w:numPr>
      </w:pPr>
      <w:r>
        <w:t xml:space="preserve">Nelze se proti tomuto rozhodnutí dále odvolat - lze pouze použít mimořádné opravné prostředky.</w:t>
      </w:r>
    </w:p>
    <w:p>
      <w:pPr>
        <w:pStyle w:val="Compact"/>
        <w:numPr>
          <w:numId w:val="1387"/>
          <w:ilvl w:val="0"/>
        </w:numPr>
      </w:pPr>
      <w:r>
        <w:t xml:space="preserve">Obnova řízení (§117-120 DŘ)</w:t>
      </w:r>
    </w:p>
    <w:p>
      <w:pPr>
        <w:pStyle w:val="Compact"/>
        <w:numPr>
          <w:numId w:val="1387"/>
          <w:ilvl w:val="0"/>
        </w:numPr>
      </w:pPr>
      <w:r>
        <w:t xml:space="preserve">Povolení obnovy řízení</w:t>
      </w:r>
    </w:p>
    <w:p>
      <w:pPr>
        <w:pStyle w:val="Compact"/>
        <w:numPr>
          <w:numId w:val="1395"/>
          <w:ilvl w:val="1"/>
        </w:numPr>
      </w:pPr>
      <w:r>
        <w:t xml:space="preserve">Řízení ukončené pravomocným rozhodnutím správce daně se obnoví na návrh příjemce rozhodnutí, nebo z moci úřední, jestliže:</w:t>
      </w:r>
    </w:p>
    <w:p>
      <w:pPr>
        <w:pStyle w:val="Compact"/>
        <w:numPr>
          <w:numId w:val="1395"/>
          <w:ilvl w:val="1"/>
        </w:numPr>
      </w:pPr>
      <w:r>
        <w:t xml:space="preserve">vyšly najevo nové skutečnosti, nebo důkazy,</w:t>
      </w:r>
    </w:p>
    <w:p>
      <w:pPr>
        <w:pStyle w:val="Compact"/>
        <w:numPr>
          <w:numId w:val="1395"/>
          <w:ilvl w:val="1"/>
        </w:numPr>
      </w:pPr>
      <w:r>
        <w:t xml:space="preserve">za jiných zákonem stanovených podmínek - například bylo rozhodnuto kvůli padělaným dokladům, nebo bylo rozhodnutí dosaženo pomocí trestného činu.</w:t>
      </w:r>
    </w:p>
    <w:p>
      <w:pPr>
        <w:pStyle w:val="Compact"/>
        <w:numPr>
          <w:numId w:val="1395"/>
          <w:ilvl w:val="1"/>
        </w:numPr>
      </w:pPr>
      <w:r>
        <w:t xml:space="preserve">Návrh se podává u správce daně, který o věci rozhodl v prvním stupni.</w:t>
      </w:r>
    </w:p>
    <w:p>
      <w:pPr>
        <w:pStyle w:val="Compact"/>
        <w:numPr>
          <w:numId w:val="1395"/>
          <w:ilvl w:val="1"/>
        </w:numPr>
      </w:pPr>
      <w:r>
        <w:t xml:space="preserve">Existuje subjektivní lhůta 6 měsíců ode dne, kdy se navrhovatel měl dozvědět o skutečnostech, objektivní lhůta je 3 roky.</w:t>
      </w:r>
    </w:p>
    <w:p>
      <w:pPr>
        <w:pStyle w:val="Compact"/>
        <w:numPr>
          <w:numId w:val="1395"/>
          <w:ilvl w:val="1"/>
        </w:numPr>
      </w:pPr>
      <w:r>
        <w:t xml:space="preserve">Návrh musí obsahovat okolnosti svědčící o jeho důvodnosti a dodržení lhůty.</w:t>
      </w:r>
    </w:p>
    <w:p>
      <w:pPr>
        <w:pStyle w:val="Compact"/>
        <w:numPr>
          <w:numId w:val="1395"/>
          <w:ilvl w:val="1"/>
        </w:numPr>
      </w:pPr>
      <w:r>
        <w:t xml:space="preserve">Obnovu řízení povolí nebo nařídí správce daně, který ve věci rozhodl v posledním stupni, a neshledá-li důvod povolení obnovy, návrh zamítne.</w:t>
      </w:r>
    </w:p>
    <w:p>
      <w:pPr>
        <w:pStyle w:val="Compact"/>
        <w:numPr>
          <w:numId w:val="1395"/>
          <w:ilvl w:val="1"/>
        </w:numPr>
      </w:pPr>
      <w:r>
        <w:t xml:space="preserve">Řízení probíhá u správce daně v prvním stupni, zahajuje se rozhodnutím, má odkladné účinky a pokud bude vydáno nové rozhodnutí se původní rozhodnutí ruší.</w:t>
      </w:r>
    </w:p>
    <w:p>
      <w:pPr>
        <w:numPr>
          <w:numId w:val="1387"/>
          <w:ilvl w:val="0"/>
        </w:numPr>
      </w:pPr>
      <w:r>
        <w:t xml:space="preserve">Nařízení obnovy řízení (dozorčí prostředek)</w:t>
      </w:r>
    </w:p>
    <w:p>
      <w:pPr>
        <w:pStyle w:val="Compact"/>
        <w:numPr>
          <w:numId w:val="1387"/>
          <w:ilvl w:val="0"/>
        </w:numPr>
      </w:pPr>
      <w:r>
        <w:t xml:space="preserve">Přezkumné řízení (§ 121-123)</w:t>
      </w:r>
    </w:p>
    <w:p>
      <w:pPr>
        <w:pStyle w:val="Compact"/>
        <w:numPr>
          <w:numId w:val="1387"/>
          <w:ilvl w:val="0"/>
        </w:numPr>
      </w:pPr>
      <w:r>
        <w:t xml:space="preserve">Nařízení přezkoumání rozhodnutí (dozorčí prostředek)</w:t>
      </w:r>
    </w:p>
    <w:p>
      <w:pPr>
        <w:pStyle w:val="Compact"/>
        <w:numPr>
          <w:numId w:val="1396"/>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96"/>
          <w:ilvl w:val="1"/>
        </w:numPr>
      </w:pPr>
      <w:r>
        <w:t xml:space="preserve">Podnět může podat kterýkoliv správce daně, u správce daně, který rozhodl v řízení v posledním stupni.</w:t>
      </w:r>
    </w:p>
    <w:p>
      <w:pPr>
        <w:pStyle w:val="Compact"/>
        <w:numPr>
          <w:numId w:val="1387"/>
          <w:ilvl w:val="0"/>
        </w:numPr>
      </w:pPr>
      <w:r>
        <w:t xml:space="preserve">Postup při přezkumném řízení</w:t>
      </w:r>
    </w:p>
    <w:p>
      <w:pPr>
        <w:pStyle w:val="Compact"/>
        <w:numPr>
          <w:numId w:val="1397"/>
          <w:ilvl w:val="1"/>
        </w:numPr>
      </w:pPr>
      <w:r>
        <w:t xml:space="preserve">Přezkoumání rozhodnutí nařídí správce daně nejblíže nadřízený správci daně, který ve věci rozhodl v posledním stupni.</w:t>
      </w:r>
    </w:p>
    <w:p>
      <w:pPr>
        <w:pStyle w:val="Compact"/>
        <w:numPr>
          <w:numId w:val="1397"/>
          <w:ilvl w:val="1"/>
        </w:numPr>
      </w:pPr>
      <w:r>
        <w:t xml:space="preserve">Maximálně ve lhůtě 3 let.</w:t>
      </w:r>
    </w:p>
    <w:p>
      <w:pPr>
        <w:pStyle w:val="Compact"/>
        <w:numPr>
          <w:numId w:val="1397"/>
          <w:ilvl w:val="1"/>
        </w:numPr>
      </w:pPr>
      <w:r>
        <w:t xml:space="preserve">Přezkumné řízení provede správce daně, který ve věci rozhodl v posledním stupni.</w:t>
      </w:r>
    </w:p>
    <w:p>
      <w:pPr>
        <w:pStyle w:val="Compact"/>
        <w:numPr>
          <w:numId w:val="1397"/>
          <w:ilvl w:val="1"/>
        </w:numPr>
      </w:pPr>
      <w:r>
        <w:t xml:space="preserve">Řízení je zahájeno vydáním rozhodnutí o nařízení přezkoumání rozhodnutí.</w:t>
      </w:r>
    </w:p>
    <w:p>
      <w:pPr>
        <w:pStyle w:val="Compact"/>
        <w:numPr>
          <w:numId w:val="1397"/>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97"/>
          <w:ilvl w:val="1"/>
        </w:numPr>
      </w:pPr>
      <w:r>
        <w:t xml:space="preserve">Má odkladný účinek.</w:t>
      </w:r>
    </w:p>
    <w:p>
      <w:pPr>
        <w:pStyle w:val="Heading3"/>
      </w:pPr>
      <w:bookmarkStart w:id="140" w:name="vztah-ke-správnímu-soudnictví"/>
      <w:bookmarkEnd w:id="140"/>
      <w:r>
        <w:t xml:space="preserve">Vztah ke správnímu soudnictví</w:t>
      </w:r>
    </w:p>
    <w:p>
      <w:pPr>
        <w:pStyle w:val="Compact"/>
        <w:numPr>
          <w:numId w:val="1398"/>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98"/>
          <w:ilvl w:val="0"/>
        </w:numPr>
      </w:pPr>
      <w:r>
        <w:t xml:space="preserve">V rámci přezkumného řízení směřujícího k uspokojení navrhovatele ve správním soudnictví nelze změnit rozhodnutí v neprospěch navrhovatele.</w:t>
      </w:r>
    </w:p>
    <w:p>
      <w:pPr>
        <w:pStyle w:val="Heading2"/>
      </w:pPr>
      <w:bookmarkStart w:id="141" w:name="ochrana-daňového-subjektu-ve-správním-soudnictví-žaloby-a-opravné-prostředky"/>
      <w:bookmarkEnd w:id="141"/>
      <w:r>
        <w:t xml:space="preserve">23. Ochrana daňového subjektu ve správním soudnictví – žaloby a opravné prostředky</w:t>
      </w:r>
    </w:p>
    <w:p>
      <w:pPr>
        <w:pStyle w:val="Heading3"/>
      </w:pPr>
      <w:bookmarkStart w:id="142" w:name="podklady"/>
      <w:bookmarkEnd w:id="142"/>
      <w:r>
        <w:t xml:space="preserve">Podklady</w:t>
      </w:r>
    </w:p>
    <w:p>
      <w:pPr>
        <w:pStyle w:val="Compact"/>
        <w:numPr>
          <w:numId w:val="1399"/>
          <w:ilvl w:val="0"/>
        </w:numPr>
      </w:pPr>
      <w:r>
        <w:t xml:space="preserve">Ústavní zákon č. 1/1993 Sb., Ústava České republiky</w:t>
      </w:r>
    </w:p>
    <w:p>
      <w:pPr>
        <w:pStyle w:val="Compact"/>
        <w:numPr>
          <w:numId w:val="1399"/>
          <w:ilvl w:val="0"/>
        </w:numPr>
      </w:pPr>
      <w:r>
        <w:t xml:space="preserve">Usnesení č. 2/1993 předsednictva ČNR o vyhlášení Listiny základních práv a svobod jako součásti ústavního pořádku ČR</w:t>
      </w:r>
    </w:p>
    <w:p>
      <w:pPr>
        <w:pStyle w:val="Compact"/>
        <w:numPr>
          <w:numId w:val="1399"/>
          <w:ilvl w:val="0"/>
        </w:numPr>
      </w:pPr>
      <w:r>
        <w:t xml:space="preserve">Zákon č. 99/1963 Sb., občanský soudní řád</w:t>
      </w:r>
    </w:p>
    <w:p>
      <w:pPr>
        <w:pStyle w:val="Compact"/>
        <w:numPr>
          <w:numId w:val="1399"/>
          <w:ilvl w:val="0"/>
        </w:numPr>
      </w:pPr>
      <w:r>
        <w:t xml:space="preserve">Zákon č. 150/2002 Sb., soudní řád správní</w:t>
      </w:r>
    </w:p>
    <w:p>
      <w:pPr>
        <w:pStyle w:val="Compact"/>
        <w:numPr>
          <w:numId w:val="1399"/>
          <w:ilvl w:val="0"/>
        </w:numPr>
      </w:pPr>
      <w:r>
        <w:t xml:space="preserve">Vyhláška 177/1996 Sb. – advokátní tarif</w:t>
      </w:r>
    </w:p>
    <w:p>
      <w:pPr>
        <w:pStyle w:val="Compact"/>
        <w:numPr>
          <w:numId w:val="1399"/>
          <w:ilvl w:val="0"/>
        </w:numPr>
      </w:pPr>
      <w:r>
        <w:t xml:space="preserve">Zákon č. 549/1991 Sb., o správních poplatcích</w:t>
      </w:r>
    </w:p>
    <w:p>
      <w:pPr>
        <w:pStyle w:val="Heading3"/>
      </w:pPr>
      <w:bookmarkStart w:id="143" w:name="opravné-a-dozorčí-prostředky"/>
      <w:bookmarkEnd w:id="143"/>
      <w:r>
        <w:t xml:space="preserve">Opravné a dozorčí prostředky</w:t>
      </w:r>
    </w:p>
    <w:p>
      <w:pPr>
        <w:pStyle w:val="Compact"/>
        <w:numPr>
          <w:numId w:val="1400"/>
          <w:ilvl w:val="0"/>
        </w:numPr>
      </w:pPr>
      <w:r>
        <w:t xml:space="preserve">Správní řízení má</w:t>
      </w:r>
      <w:r>
        <w:rPr>
          <w:rStyle w:val="FootnoteReference"/>
        </w:rPr>
        <w:footnoteReference w:id="144"/>
      </w:r>
      <w:r>
        <w:t xml:space="preserve">:</w:t>
      </w:r>
    </w:p>
    <w:p>
      <w:pPr>
        <w:pStyle w:val="Compact"/>
        <w:numPr>
          <w:numId w:val="1400"/>
          <w:ilvl w:val="0"/>
        </w:numPr>
      </w:pPr>
      <w:r>
        <w:t xml:space="preserve">opravné a</w:t>
      </w:r>
    </w:p>
    <w:p>
      <w:pPr>
        <w:numPr>
          <w:numId w:val="1400"/>
          <w:ilvl w:val="0"/>
        </w:numPr>
      </w:pPr>
      <w:r>
        <w:t xml:space="preserve">dozorčí prostředky.</w:t>
      </w:r>
    </w:p>
    <w:p>
      <w:pPr>
        <w:pStyle w:val="Compact"/>
        <w:numPr>
          <w:numId w:val="1400"/>
          <w:ilvl w:val="0"/>
        </w:numPr>
      </w:pPr>
      <w:r>
        <w:t xml:space="preserve">Důležité je, že před podáním žaloby musí být vyčerpány všechny opravné prostředky, dozorčí prostředky však použity být nemusí.</w:t>
      </w:r>
    </w:p>
    <w:p>
      <w:pPr>
        <w:numPr>
          <w:numId w:val="1400"/>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400"/>
          <w:ilvl w:val="0"/>
        </w:numPr>
      </w:pPr>
      <w:r>
        <w:t xml:space="preserve">Existující opravné prostředky ve správním řízení:</w:t>
      </w:r>
    </w:p>
    <w:p>
      <w:pPr>
        <w:pStyle w:val="Compact"/>
        <w:numPr>
          <w:numId w:val="1400"/>
          <w:ilvl w:val="0"/>
        </w:numPr>
      </w:pPr>
      <w:r>
        <w:t xml:space="preserve">odvolání - napadení rozhodnutí správního orgánu - standardně rozhoduje nadřízený orgán,</w:t>
      </w:r>
    </w:p>
    <w:p>
      <w:pPr>
        <w:pStyle w:val="Compact"/>
        <w:numPr>
          <w:numId w:val="1400"/>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400"/>
          <w:ilvl w:val="0"/>
        </w:numPr>
      </w:pPr>
      <w:r>
        <w:t xml:space="preserve">odpor - forma odvolání proti uložení písemného příkazu.</w:t>
      </w:r>
    </w:p>
    <w:p>
      <w:pPr>
        <w:pStyle w:val="Compact"/>
        <w:numPr>
          <w:numId w:val="1400"/>
          <w:ilvl w:val="0"/>
        </w:numPr>
      </w:pPr>
      <w:r>
        <w:t xml:space="preserve">Existující mimořádné opravné prostředky ve správním řízení:</w:t>
      </w:r>
    </w:p>
    <w:p>
      <w:pPr>
        <w:pStyle w:val="Compact"/>
        <w:numPr>
          <w:numId w:val="1400"/>
          <w:ilvl w:val="0"/>
        </w:numPr>
      </w:pPr>
      <w:r>
        <w:t xml:space="preserve">obnova řízení - před správním orgánem - například pokud vyšly najevo dříve neznáme skutečnosti nebo důkazy,</w:t>
      </w:r>
    </w:p>
    <w:p>
      <w:pPr>
        <w:numPr>
          <w:numId w:val="1400"/>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45" w:name="obsah-kapitoly"/>
      <w:bookmarkEnd w:id="145"/>
      <w:r>
        <w:t xml:space="preserve">Obsah kapitoly</w:t>
      </w:r>
    </w:p>
    <w:p>
      <w:pPr>
        <w:pStyle w:val="Compact"/>
        <w:numPr>
          <w:numId w:val="1401"/>
          <w:ilvl w:val="0"/>
        </w:numPr>
      </w:pPr>
      <w:r>
        <w:t xml:space="preserve">Důvody existence správního soudnictví</w:t>
      </w:r>
    </w:p>
    <w:p>
      <w:pPr>
        <w:pStyle w:val="Compact"/>
        <w:numPr>
          <w:numId w:val="1401"/>
          <w:ilvl w:val="0"/>
        </w:numPr>
      </w:pPr>
      <w:r>
        <w:t xml:space="preserve">Správní soudnictví v ČR</w:t>
      </w:r>
    </w:p>
    <w:p>
      <w:pPr>
        <w:pStyle w:val="Compact"/>
        <w:numPr>
          <w:numId w:val="1401"/>
          <w:ilvl w:val="0"/>
        </w:numPr>
      </w:pPr>
      <w:r>
        <w:t xml:space="preserve">Druhy žalob</w:t>
      </w:r>
    </w:p>
    <w:p>
      <w:pPr>
        <w:pStyle w:val="Compact"/>
        <w:numPr>
          <w:numId w:val="1401"/>
          <w:ilvl w:val="0"/>
        </w:numPr>
      </w:pPr>
      <w:r>
        <w:t xml:space="preserve">Žaloba proti rozhodnutí správního orgánu</w:t>
      </w:r>
    </w:p>
    <w:p>
      <w:pPr>
        <w:pStyle w:val="Compact"/>
        <w:numPr>
          <w:numId w:val="1401"/>
          <w:ilvl w:val="0"/>
        </w:numPr>
      </w:pPr>
      <w:r>
        <w:t xml:space="preserve">Nečinnostní žaloba</w:t>
      </w:r>
    </w:p>
    <w:p>
      <w:pPr>
        <w:pStyle w:val="Compact"/>
        <w:numPr>
          <w:numId w:val="1401"/>
          <w:ilvl w:val="0"/>
        </w:numPr>
      </w:pPr>
      <w:r>
        <w:t xml:space="preserve">Zásahová žaloba</w:t>
      </w:r>
    </w:p>
    <w:p>
      <w:pPr>
        <w:pStyle w:val="Compact"/>
        <w:numPr>
          <w:numId w:val="1401"/>
          <w:ilvl w:val="0"/>
        </w:numPr>
      </w:pPr>
      <w:r>
        <w:t xml:space="preserve">Přezkum opatření obecné povahy</w:t>
      </w:r>
    </w:p>
    <w:p>
      <w:pPr>
        <w:pStyle w:val="Compact"/>
        <w:numPr>
          <w:numId w:val="1401"/>
          <w:ilvl w:val="0"/>
        </w:numPr>
      </w:pPr>
      <w:r>
        <w:t xml:space="preserve">Opravné prostředky ve správním soudnictví – kasační stížnost, obnova řízení</w:t>
      </w:r>
    </w:p>
    <w:p>
      <w:pPr>
        <w:pStyle w:val="Compact"/>
        <w:numPr>
          <w:numId w:val="1401"/>
          <w:ilvl w:val="0"/>
        </w:numPr>
      </w:pPr>
      <w:r>
        <w:t xml:space="preserve">Náklady na soudní řízení</w:t>
      </w:r>
    </w:p>
    <w:p>
      <w:pPr>
        <w:pStyle w:val="Heading3"/>
      </w:pPr>
      <w:bookmarkStart w:id="146" w:name="důvody-existence-správního-soudnictví"/>
      <w:bookmarkEnd w:id="146"/>
      <w:r>
        <w:t xml:space="preserve">Důvody existence správního soudnictví</w:t>
      </w:r>
    </w:p>
    <w:p>
      <w:pPr>
        <w:pStyle w:val="Compact"/>
        <w:numPr>
          <w:numId w:val="1402"/>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402"/>
          <w:ilvl w:val="0"/>
        </w:numPr>
      </w:pPr>
      <w:r>
        <w:t xml:space="preserve">(obvykle občan nebo právnická osoba na straně jedné a orgán státu nebo obce či samosprávného kraje na straně druhé).</w:t>
      </w:r>
    </w:p>
    <w:p>
      <w:pPr>
        <w:numPr>
          <w:numId w:val="1402"/>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402"/>
          <w:ilvl w:val="0"/>
        </w:numPr>
      </w:pPr>
      <w:r>
        <w:t xml:space="preserve">Veřejné právo – např. stavební, daňové, celní, živnostenská oprávnění, dopravní předpisy, různé poplatky, sociální oblast, životní prostředí, ochrana památek, právo na informace apod.</w:t>
      </w:r>
    </w:p>
    <w:p>
      <w:pPr>
        <w:numPr>
          <w:numId w:val="1402"/>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47" w:name="správní-soudnictví-v-čr"/>
      <w:bookmarkEnd w:id="147"/>
      <w:r>
        <w:t xml:space="preserve">Správní soudnictví v Čr</w:t>
      </w:r>
    </w:p>
    <w:p>
      <w:pPr>
        <w:pStyle w:val="Compact"/>
        <w:numPr>
          <w:numId w:val="1404"/>
          <w:ilvl w:val="1"/>
        </w:numPr>
      </w:pPr>
      <w:r>
        <w:t xml:space="preserve">ŽALOBA PROTI ROZHODNUTÍ SPRÁVNÍHO ORGÁNU</w:t>
      </w:r>
    </w:p>
    <w:p>
      <w:pPr>
        <w:pStyle w:val="Compact"/>
        <w:numPr>
          <w:numId w:val="1405"/>
          <w:ilvl w:val="1"/>
        </w:numPr>
      </w:pPr>
      <w:r>
        <w:t xml:space="preserve">ŽALOBA PROTI NEČINNOSTI</w:t>
      </w:r>
    </w:p>
    <w:p>
      <w:pPr>
        <w:pStyle w:val="Compact"/>
        <w:numPr>
          <w:numId w:val="1406"/>
          <w:ilvl w:val="1"/>
        </w:numPr>
      </w:pPr>
      <w:r>
        <w:t xml:space="preserve">ŽALOBA PROTI NEZÁKONNÉMU ZÁSAHU</w:t>
      </w:r>
    </w:p>
    <w:p>
      <w:pPr>
        <w:pStyle w:val="Compact"/>
        <w:numPr>
          <w:numId w:val="1407"/>
          <w:ilvl w:val="1"/>
        </w:numPr>
      </w:pPr>
      <w:r>
        <w:t xml:space="preserve">SOUDNICTVÍ VE VĚCECH VOLEBNÍCH A VE VĚCECH MÍSTNÍHO A KRAJSKÉHO REFERENDA</w:t>
      </w:r>
    </w:p>
    <w:p>
      <w:pPr>
        <w:pStyle w:val="Compact"/>
        <w:numPr>
          <w:numId w:val="1408"/>
          <w:ilvl w:val="1"/>
        </w:numPr>
      </w:pPr>
      <w:r>
        <w:t xml:space="preserve">ŘÍZENÍ VE VĚCECH POLITICKÝCH STRAN A POLITICKÝCH HNUTÍ</w:t>
      </w:r>
    </w:p>
    <w:p>
      <w:pPr>
        <w:pStyle w:val="Compact"/>
        <w:numPr>
          <w:numId w:val="1409"/>
          <w:ilvl w:val="1"/>
        </w:numPr>
      </w:pPr>
      <w:r>
        <w:t xml:space="preserve">ŘÍZENÍ O ZRUŠENÍ OPATŘENÍ OBECNÉ POVAHY NEBO JEHO ČÁSTI</w:t>
      </w:r>
    </w:p>
    <w:p>
      <w:pPr>
        <w:pStyle w:val="Compact"/>
        <w:numPr>
          <w:numId w:val="1410"/>
          <w:ilvl w:val="1"/>
        </w:numPr>
      </w:pPr>
      <w:r>
        <w:t xml:space="preserve">KOMPETENČNÍ ŽALOBY</w:t>
      </w:r>
    </w:p>
    <w:p>
      <w:pPr>
        <w:pStyle w:val="Compact"/>
        <w:numPr>
          <w:numId w:val="1411"/>
          <w:ilvl w:val="1"/>
        </w:numPr>
      </w:pPr>
      <w:r>
        <w:t xml:space="preserve">OPRAVNÉ PROSTŘEDKY PROTI ROZHODNUTÍM SPRÁVNÍCH SOUDŮ</w:t>
      </w:r>
    </w:p>
    <w:p>
      <w:pPr>
        <w:pStyle w:val="Compact"/>
        <w:numPr>
          <w:numId w:val="1412"/>
          <w:ilvl w:val="1"/>
        </w:numPr>
      </w:pPr>
      <w:r>
        <w:t xml:space="preserve">ROZHODOVÁNÍ SPRÁVNÍHO ORGÁNU O VĚCECH SOUKROMÉHO PRÁVA</w:t>
      </w:r>
    </w:p>
    <w:p>
      <w:pPr>
        <w:pStyle w:val="Compact"/>
        <w:numPr>
          <w:numId w:val="1413"/>
          <w:ilvl w:val="1"/>
        </w:numPr>
      </w:pPr>
      <w:r>
        <w:t xml:space="preserve">KONFLIKT KOMPETENCÍ MEZI MOCÍ VÝKONNOU A MOCÍ SOUDNÍ</w:t>
      </w:r>
    </w:p>
    <w:p>
      <w:pPr>
        <w:pStyle w:val="Compact"/>
        <w:numPr>
          <w:numId w:val="1403"/>
          <w:ilvl w:val="0"/>
        </w:numPr>
      </w:pPr>
      <w:r>
        <w:t xml:space="preserve">V dnešní podobně od roku 2003 (do té doby neexistoval Nejvyšší správní soud)</w:t>
      </w:r>
    </w:p>
    <w:p>
      <w:pPr>
        <w:pStyle w:val="Compact"/>
        <w:numPr>
          <w:numId w:val="1403"/>
          <w:ilvl w:val="0"/>
        </w:numPr>
      </w:pPr>
      <w:r>
        <w:t xml:space="preserve">do r. 2003 pouze krajské soudy a Ústavní soud</w:t>
      </w:r>
    </w:p>
    <w:p>
      <w:pPr>
        <w:pStyle w:val="Heading3"/>
      </w:pPr>
      <w:bookmarkStart w:id="148" w:name="druhy-žalob"/>
      <w:bookmarkEnd w:id="148"/>
      <w:r>
        <w:t xml:space="preserve">Druhy žalob</w:t>
      </w:r>
    </w:p>
    <w:p>
      <w:pPr>
        <w:pStyle w:val="Compact"/>
        <w:numPr>
          <w:numId w:val="1414"/>
          <w:ilvl w:val="0"/>
        </w:numPr>
      </w:pPr>
      <w:r>
        <w:t xml:space="preserve">Ve správním soudnictví poskytují krajské soudy (jako soudy správní)</w:t>
      </w:r>
      <w:r>
        <w:rPr>
          <w:rStyle w:val="FootnoteReference"/>
        </w:rPr>
        <w:footnoteReference w:id="149"/>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414"/>
          <w:ilvl w:val="0"/>
        </w:numPr>
      </w:pPr>
      <w:r>
        <w:t xml:space="preserve">Žaloba proti rozhodnutí správního orgánu</w:t>
      </w:r>
    </w:p>
    <w:p>
      <w:pPr>
        <w:pStyle w:val="Compact"/>
        <w:numPr>
          <w:numId w:val="1414"/>
          <w:ilvl w:val="0"/>
        </w:numPr>
      </w:pPr>
      <w:r>
        <w:t xml:space="preserve">Žaloba na odstranění nečinnosti</w:t>
      </w:r>
    </w:p>
    <w:p>
      <w:pPr>
        <w:pStyle w:val="Compact"/>
        <w:numPr>
          <w:numId w:val="1414"/>
          <w:ilvl w:val="0"/>
        </w:numPr>
      </w:pPr>
      <w:r>
        <w:t xml:space="preserve">Žaloba proti nezákonnému zásahu</w:t>
      </w:r>
    </w:p>
    <w:p>
      <w:pPr>
        <w:pStyle w:val="Compact"/>
        <w:numPr>
          <w:numId w:val="1414"/>
          <w:ilvl w:val="0"/>
        </w:numPr>
      </w:pPr>
      <w:r>
        <w:t xml:space="preserve">Řízení o zrušení opatření obecné povahy</w:t>
      </w:r>
    </w:p>
    <w:p>
      <w:pPr>
        <w:pStyle w:val="Heading3"/>
      </w:pPr>
      <w:bookmarkStart w:id="150" w:name="žaloba-proti-rozhodnutí-správního-orgánu"/>
      <w:bookmarkEnd w:id="150"/>
      <w:r>
        <w:t xml:space="preserve">Žaloba proti rozhodnutí správního orgánu</w:t>
      </w:r>
    </w:p>
    <w:p>
      <w:pPr>
        <w:pStyle w:val="FirstParagraph"/>
      </w:pPr>
      <w:r>
        <w:rPr>
          <w:b/>
        </w:rPr>
        <w:t xml:space="preserve">Kdo žalobu podává?</w:t>
      </w:r>
    </w:p>
    <w:p>
      <w:pPr>
        <w:pStyle w:val="Compact"/>
        <w:numPr>
          <w:numId w:val="1415"/>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416"/>
          <w:ilvl w:val="0"/>
        </w:numPr>
      </w:pPr>
      <w:r>
        <w:t xml:space="preserve">Chceme obvykle buď zrušení rozhodnutí, popřípadě vyslovení jeho nicotnosti.</w:t>
      </w:r>
    </w:p>
    <w:p>
      <w:pPr>
        <w:numPr>
          <w:numId w:val="1416"/>
          <w:ilvl w:val="0"/>
        </w:numPr>
      </w:pPr>
      <w:r>
        <w:t xml:space="preserve">Zvláštním případem žaloby může být snaha o upuštění od trestu za správní delikt nebo jeho snížení v mezích dovolených zákonem.</w:t>
      </w:r>
    </w:p>
    <w:p>
      <w:pPr>
        <w:pStyle w:val="Compact"/>
        <w:numPr>
          <w:numId w:val="1416"/>
          <w:ilvl w:val="0"/>
        </w:numPr>
      </w:pPr>
      <w:r>
        <w:t xml:space="preserve">Příklad:</w:t>
      </w:r>
    </w:p>
    <w:p>
      <w:pPr>
        <w:numPr>
          <w:numId w:val="1416"/>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417"/>
          <w:ilvl w:val="0"/>
        </w:numPr>
      </w:pPr>
      <w:r>
        <w:t xml:space="preserve">Žalovaným je správní orgán, který věc rozhodl v posledním stupni.</w:t>
      </w:r>
    </w:p>
    <w:p>
      <w:pPr>
        <w:pStyle w:val="Compact"/>
        <w:numPr>
          <w:numId w:val="1417"/>
          <w:ilvl w:val="0"/>
        </w:numPr>
      </w:pPr>
      <w:r>
        <w:t xml:space="preserve">Příklad:</w:t>
      </w:r>
    </w:p>
    <w:p>
      <w:pPr>
        <w:pStyle w:val="Compact"/>
        <w:numPr>
          <w:numId w:val="1418"/>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419"/>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419"/>
          <w:ilvl w:val="0"/>
        </w:numPr>
      </w:pPr>
      <w:r>
        <w:t xml:space="preserve">Příklad:</w:t>
      </w:r>
    </w:p>
    <w:p>
      <w:pPr>
        <w:pStyle w:val="Compact"/>
        <w:numPr>
          <w:numId w:val="1420"/>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421"/>
          <w:ilvl w:val="0"/>
        </w:numPr>
      </w:pPr>
      <w:r>
        <w:rPr>
          <w:b/>
        </w:rPr>
        <w:t xml:space="preserve">Ne vždy je podání žaloby možné. Žaloba není přípustná tehdy, jestliže např.:</w:t>
      </w:r>
    </w:p>
    <w:p>
      <w:pPr>
        <w:pStyle w:val="Compact"/>
        <w:numPr>
          <w:numId w:val="1422"/>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423"/>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423"/>
          <w:ilvl w:val="1"/>
        </w:numPr>
      </w:pPr>
      <w:r>
        <w:t xml:space="preserve">Žaloba je nepřípustná, protože nebyly vyčerpány řádné opravné prostředky.</w:t>
      </w:r>
    </w:p>
    <w:p>
      <w:pPr>
        <w:pStyle w:val="Compact"/>
        <w:numPr>
          <w:numId w:val="1423"/>
          <w:ilvl w:val="1"/>
        </w:numPr>
      </w:pPr>
      <w:r>
        <w:t xml:space="preserve">Příklad</w:t>
      </w:r>
    </w:p>
    <w:p>
      <w:pPr>
        <w:pStyle w:val="Compact"/>
        <w:numPr>
          <w:numId w:val="1423"/>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424"/>
          <w:ilvl w:val="1"/>
        </w:numPr>
      </w:pPr>
      <w:r>
        <w:rPr>
          <w:b/>
        </w:rPr>
        <w:t xml:space="preserve">Je-li jediným jejím důvodem tvrzená nicotnost napadeného rozhodnutí, nedomáhal-li se žalobce vyslovení této nicotnosti v řízení před správním orgánem</w:t>
      </w:r>
    </w:p>
    <w:p>
      <w:pPr>
        <w:pStyle w:val="Compact"/>
        <w:numPr>
          <w:numId w:val="1425"/>
          <w:ilvl w:val="1"/>
        </w:numPr>
      </w:pPr>
      <w:r>
        <w:t xml:space="preserve">Příklad</w:t>
      </w:r>
    </w:p>
    <w:p>
      <w:pPr>
        <w:pStyle w:val="Compact"/>
        <w:numPr>
          <w:numId w:val="1425"/>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426"/>
          <w:ilvl w:val="1"/>
        </w:numPr>
      </w:pPr>
      <w:r>
        <w:rPr>
          <w:b/>
        </w:rPr>
        <w:t xml:space="preserve">Směřuje-li jen proti důvodům rozhodnutí</w:t>
      </w:r>
    </w:p>
    <w:p>
      <w:pPr>
        <w:pStyle w:val="Compact"/>
        <w:numPr>
          <w:numId w:val="1427"/>
          <w:ilvl w:val="1"/>
        </w:numPr>
      </w:pPr>
      <w:r>
        <w:t xml:space="preserve">Příklad</w:t>
      </w:r>
    </w:p>
    <w:p>
      <w:pPr>
        <w:pStyle w:val="Compact"/>
        <w:numPr>
          <w:numId w:val="1427"/>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428"/>
          <w:ilvl w:val="1"/>
        </w:numPr>
      </w:pPr>
      <w:r>
        <w:rPr>
          <w:b/>
        </w:rPr>
        <w:t xml:space="preserve">Domáhá-li se přezkoumání rozhodnutí, které je z přezkoumání podle tohoto nebo zvláštního zákona vyloučeno.</w:t>
      </w:r>
    </w:p>
    <w:p>
      <w:pPr>
        <w:pStyle w:val="Compact"/>
        <w:numPr>
          <w:numId w:val="1429"/>
          <w:ilvl w:val="1"/>
        </w:numPr>
      </w:pPr>
      <w:r>
        <w:t xml:space="preserve">Ze soudního přezkoumání jsou vyloučeny např. následující úkony správního orgánu:</w:t>
      </w:r>
    </w:p>
    <w:p>
      <w:pPr>
        <w:pStyle w:val="Compact"/>
        <w:numPr>
          <w:numId w:val="1430"/>
          <w:ilvl w:val="2"/>
        </w:numPr>
      </w:pPr>
      <w:r>
        <w:t xml:space="preserve">které nejsou rozhodnutími</w:t>
      </w:r>
    </w:p>
    <w:p>
      <w:pPr>
        <w:pStyle w:val="Compact"/>
        <w:numPr>
          <w:numId w:val="1431"/>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432"/>
          <w:ilvl w:val="2"/>
        </w:numPr>
      </w:pPr>
      <w:r>
        <w:t xml:space="preserve">předběžné povahy</w:t>
      </w:r>
    </w:p>
    <w:p>
      <w:pPr>
        <w:pStyle w:val="Compact"/>
        <w:numPr>
          <w:numId w:val="1433"/>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434"/>
          <w:ilvl w:val="0"/>
        </w:numPr>
      </w:pPr>
      <w:r>
        <w:t xml:space="preserve">Žalobu je nutno podat do dvou měsíců od doručení rozhodnutí, které žalobou napadáme.</w:t>
      </w:r>
    </w:p>
    <w:p>
      <w:pPr>
        <w:pStyle w:val="Compact"/>
        <w:numPr>
          <w:numId w:val="1434"/>
          <w:ilvl w:val="0"/>
        </w:numPr>
      </w:pPr>
      <w:r>
        <w:t xml:space="preserve">Lhůta je zachována, byla-li žaloba ve lhůtě podána u správního orgánu, proti jehož rozhodnutí směřuje.</w:t>
      </w:r>
    </w:p>
    <w:p>
      <w:pPr>
        <w:pStyle w:val="Compact"/>
        <w:numPr>
          <w:numId w:val="1434"/>
          <w:ilvl w:val="0"/>
        </w:numPr>
      </w:pPr>
      <w:r>
        <w:t xml:space="preserve">Zmeškání lhůty pro podání žaloby nelze prominout.</w:t>
      </w:r>
    </w:p>
    <w:p>
      <w:pPr>
        <w:pStyle w:val="FirstParagraph"/>
      </w:pPr>
      <w:r>
        <w:rPr>
          <w:b/>
        </w:rPr>
        <w:t xml:space="preserve">Odkladný účinek žaloby:</w:t>
      </w:r>
    </w:p>
    <w:p>
      <w:pPr>
        <w:pStyle w:val="Compact"/>
        <w:numPr>
          <w:numId w:val="1435"/>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435"/>
          <w:ilvl w:val="0"/>
        </w:numPr>
      </w:pPr>
      <w:r>
        <w:t xml:space="preserve">Příklad:</w:t>
      </w:r>
    </w:p>
    <w:p>
      <w:pPr>
        <w:pStyle w:val="Compact"/>
        <w:numPr>
          <w:numId w:val="1436"/>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437"/>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437"/>
          <w:ilvl w:val="0"/>
        </w:numPr>
      </w:pPr>
      <w:r>
        <w:t xml:space="preserve">Rozhodnutí bez zbytečného odkladu, nejdéle do 30 dnů</w:t>
      </w:r>
    </w:p>
    <w:p>
      <w:pPr>
        <w:numPr>
          <w:numId w:val="1437"/>
          <w:ilvl w:val="0"/>
        </w:numPr>
      </w:pPr>
      <w:r>
        <w:t xml:space="preserve">Lze i u ostatních žalob, nejen proti rozhodnutí spr. org., je tedy širší</w:t>
      </w:r>
    </w:p>
    <w:p>
      <w:pPr>
        <w:pStyle w:val="Compact"/>
        <w:numPr>
          <w:numId w:val="1437"/>
          <w:ilvl w:val="0"/>
        </w:numPr>
      </w:pPr>
      <w:r>
        <w:t xml:space="preserve">Příklad:</w:t>
      </w:r>
    </w:p>
    <w:p>
      <w:pPr>
        <w:pStyle w:val="Compact"/>
        <w:numPr>
          <w:numId w:val="1437"/>
          <w:ilvl w:val="0"/>
        </w:numPr>
      </w:pPr>
      <w:r>
        <w:t xml:space="preserve">Firma ZZZ, s.r.o., požádala o posečkání daně. Byla zamítnuta, stejně tak i odvolání.</w:t>
      </w:r>
    </w:p>
    <w:p>
      <w:pPr>
        <w:pStyle w:val="Compact"/>
        <w:numPr>
          <w:numId w:val="1438"/>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439"/>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439"/>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440"/>
          <w:ilvl w:val="0"/>
        </w:numPr>
      </w:pPr>
      <w:r>
        <w:t xml:space="preserve">Ne vždy musí dojít k osobnímu jednání u soudu. K jednání nedojde v následujících případech:</w:t>
      </w:r>
    </w:p>
    <w:p>
      <w:pPr>
        <w:pStyle w:val="Compact"/>
        <w:numPr>
          <w:numId w:val="1441"/>
          <w:ilvl w:val="1"/>
        </w:numPr>
      </w:pPr>
      <w:r>
        <w:t xml:space="preserve">Důvody nezávislé na tom, zda si zúčastněné strany jednání přejí či nikoli.</w:t>
      </w:r>
    </w:p>
    <w:p>
      <w:pPr>
        <w:pStyle w:val="Compact"/>
        <w:numPr>
          <w:numId w:val="1442"/>
          <w:ilvl w:val="1"/>
        </w:numPr>
      </w:pPr>
      <w:r>
        <w:t xml:space="preserve">Soud totiž zruší napadené rozhodnutí pro vady řízení bez jednání rozsudkem:</w:t>
      </w:r>
    </w:p>
    <w:p>
      <w:pPr>
        <w:pStyle w:val="Compact"/>
        <w:numPr>
          <w:numId w:val="1443"/>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444"/>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445"/>
          <w:ilvl w:val="2"/>
        </w:numPr>
      </w:pPr>
      <w:r>
        <w:t xml:space="preserve">(Například za základ pro napadené rozhodnutí byla vzata výpověď důležitého svědka, přičemž protokol o jeho výslechu ve spise chybí).</w:t>
      </w:r>
    </w:p>
    <w:p>
      <w:pPr>
        <w:pStyle w:val="Compact"/>
        <w:numPr>
          <w:numId w:val="1446"/>
          <w:ilvl w:val="2"/>
        </w:numPr>
      </w:pPr>
      <w:r>
        <w:t xml:space="preserve">pro podstatné porušení ustanovení o řízení před správním orgánem, mohlo-li mít za následek nezákonné rozhodnutí o věci samé.</w:t>
      </w:r>
    </w:p>
    <w:p>
      <w:pPr>
        <w:pStyle w:val="Compact"/>
        <w:numPr>
          <w:numId w:val="1447"/>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448"/>
          <w:ilvl w:val="1"/>
        </w:numPr>
      </w:pPr>
      <w:r>
        <w:t xml:space="preserve">Dohoda účastníků řízení, o tom, že bude rozhodováno bez jednání.</w:t>
      </w:r>
    </w:p>
    <w:p>
      <w:pPr>
        <w:pStyle w:val="Compact"/>
        <w:numPr>
          <w:numId w:val="1449"/>
          <w:ilvl w:val="1"/>
        </w:numPr>
      </w:pPr>
      <w:r>
        <w:t xml:space="preserve">Soud může rozhodnout o věci samé bez jednání, jestliže to účastníci shodně navrhli nebo s tím souhlasí.</w:t>
      </w:r>
    </w:p>
    <w:p>
      <w:pPr>
        <w:pStyle w:val="Compact"/>
        <w:numPr>
          <w:numId w:val="1449"/>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451"/>
          <w:ilvl w:val="1"/>
        </w:numPr>
      </w:pPr>
      <w:r>
        <w:t xml:space="preserve">Žaloba není důvodná – soud žalobu zamítne</w:t>
      </w:r>
    </w:p>
    <w:p>
      <w:pPr>
        <w:pStyle w:val="Compact"/>
        <w:numPr>
          <w:numId w:val="1452"/>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450"/>
          <w:ilvl w:val="0"/>
        </w:numPr>
      </w:pPr>
      <w:r>
        <w:t xml:space="preserve">Příklad:</w:t>
      </w:r>
    </w:p>
    <w:p>
      <w:pPr>
        <w:pStyle w:val="Compact"/>
        <w:numPr>
          <w:numId w:val="1450"/>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453"/>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450"/>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450"/>
          <w:ilvl w:val="0"/>
        </w:numPr>
      </w:pPr>
      <w:r>
        <w:t xml:space="preserve">Napadené rozhodnutí soud zruší:</w:t>
      </w:r>
    </w:p>
    <w:p>
      <w:pPr>
        <w:pStyle w:val="Compact"/>
        <w:numPr>
          <w:numId w:val="1454"/>
          <w:ilvl w:val="1"/>
        </w:numPr>
      </w:pPr>
      <w:r>
        <w:t xml:space="preserve">pro nezákonnost</w:t>
      </w:r>
    </w:p>
    <w:p>
      <w:pPr>
        <w:pStyle w:val="Compact"/>
        <w:numPr>
          <w:numId w:val="1455"/>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455"/>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456"/>
          <w:ilvl w:val="1"/>
        </w:numPr>
      </w:pPr>
      <w:r>
        <w:t xml:space="preserve">pro vady řízení</w:t>
      </w:r>
    </w:p>
    <w:p>
      <w:pPr>
        <w:pStyle w:val="Compact"/>
        <w:numPr>
          <w:numId w:val="1457"/>
          <w:ilvl w:val="1"/>
        </w:numPr>
      </w:pPr>
      <w:r>
        <w:t xml:space="preserve">Příklad:</w:t>
      </w:r>
    </w:p>
    <w:p>
      <w:pPr>
        <w:pStyle w:val="Compact"/>
        <w:numPr>
          <w:numId w:val="1457"/>
          <w:ilvl w:val="1"/>
        </w:numPr>
      </w:pPr>
      <w:r>
        <w:t xml:space="preserve">Vadou řízení může být např. situace, kdy správce daně vyslechl svědka, ale neumožnil daňovému subjektu být přítomen jeho výslechu.</w:t>
      </w:r>
    </w:p>
    <w:p>
      <w:pPr>
        <w:pStyle w:val="Compact"/>
        <w:numPr>
          <w:numId w:val="1450"/>
          <w:ilvl w:val="0"/>
        </w:numPr>
      </w:pPr>
      <w:r>
        <w:t xml:space="preserve">Zvláštním případem rozsudku bude situace, kdy soud rozhoduje o žalobě proti rozhodnutí, jímž správní orgán uložil trest za správní delikt.</w:t>
      </w:r>
    </w:p>
    <w:p>
      <w:pPr>
        <w:numPr>
          <w:numId w:val="1450"/>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450"/>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58"/>
          <w:ilvl w:val="1"/>
        </w:numPr>
      </w:pPr>
      <w:r>
        <w:t xml:space="preserve">upustit od něj</w:t>
      </w:r>
    </w:p>
    <w:p>
      <w:pPr>
        <w:pStyle w:val="Compact"/>
        <w:numPr>
          <w:numId w:val="1459"/>
          <w:ilvl w:val="1"/>
        </w:numPr>
      </w:pPr>
      <w:r>
        <w:t xml:space="preserve">nebo jej snížit v mezích zákonem dovolených.</w:t>
      </w:r>
    </w:p>
    <w:p>
      <w:pPr>
        <w:pStyle w:val="Compact"/>
        <w:numPr>
          <w:numId w:val="1450"/>
          <w:ilvl w:val="0"/>
        </w:numPr>
      </w:pPr>
      <w:r>
        <w:t xml:space="preserve">To jde pouze v případě, že:</w:t>
      </w:r>
    </w:p>
    <w:p>
      <w:pPr>
        <w:pStyle w:val="Compact"/>
        <w:numPr>
          <w:numId w:val="1460"/>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60"/>
          <w:ilvl w:val="1"/>
        </w:numPr>
      </w:pPr>
      <w:r>
        <w:t xml:space="preserve">a navrhl-li takový postup žalobce v žalobě.</w:t>
      </w:r>
    </w:p>
    <w:p>
      <w:pPr>
        <w:numPr>
          <w:numId w:val="1450"/>
          <w:ilvl w:val="0"/>
        </w:numPr>
      </w:pPr>
      <w:r>
        <w:t xml:space="preserve">Soud by tedy mohl v takových případech stanovit novou, konkrétní „odpovídající“ výši pokuty.</w:t>
      </w:r>
    </w:p>
    <w:p>
      <w:pPr>
        <w:pStyle w:val="Heading3"/>
      </w:pPr>
      <w:bookmarkStart w:id="151" w:name="žaloba-proti-nečinnosti"/>
      <w:bookmarkEnd w:id="151"/>
      <w:r>
        <w:t xml:space="preserve">Žaloba proti nečinnosti</w:t>
      </w:r>
    </w:p>
    <w:p>
      <w:pPr>
        <w:pStyle w:val="Compact"/>
        <w:numPr>
          <w:numId w:val="1461"/>
          <w:ilvl w:val="0"/>
        </w:numPr>
      </w:pPr>
      <w:r>
        <w:t xml:space="preserve">V praxi se setkáváme se situací, kdy máme pocit, že správní orgány naše řízení neúměrně protahují, že mohlo být již dávno skončeno.</w:t>
      </w:r>
    </w:p>
    <w:p>
      <w:pPr>
        <w:pStyle w:val="Compact"/>
        <w:numPr>
          <w:numId w:val="1461"/>
          <w:ilvl w:val="0"/>
        </w:numPr>
      </w:pPr>
      <w:r>
        <w:t xml:space="preserve">Příklad:</w:t>
      </w:r>
    </w:p>
    <w:p>
      <w:pPr>
        <w:pStyle w:val="Compact"/>
        <w:numPr>
          <w:numId w:val="1462"/>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61"/>
          <w:ilvl w:val="0"/>
        </w:numPr>
      </w:pPr>
      <w:r>
        <w:t xml:space="preserve">Čeho se můžeme žalobou domáhat</w:t>
      </w:r>
    </w:p>
    <w:p>
      <w:pPr>
        <w:pStyle w:val="Compact"/>
        <w:numPr>
          <w:numId w:val="1461"/>
          <w:ilvl w:val="0"/>
        </w:numPr>
      </w:pPr>
      <w:r>
        <w:t xml:space="preserve">Žalobou se můžeme domáhat, aby soud uložil správnímu orgánu povinnost vydat rozhodnutí ve věci samé nebo osvědčení.</w:t>
      </w:r>
    </w:p>
    <w:p>
      <w:pPr>
        <w:pStyle w:val="Compact"/>
        <w:numPr>
          <w:numId w:val="1461"/>
          <w:ilvl w:val="0"/>
        </w:numPr>
      </w:pPr>
      <w:r>
        <w:t xml:space="preserve">Pokud se bude protahovat řízení o odvolání, rozhodnutí o registraci apod., tedy situace, kdy příslušné řízení končí vydáním nějakého rozhodnutí či osvědčení, je žaloba možná.</w:t>
      </w:r>
    </w:p>
    <w:p>
      <w:pPr>
        <w:numPr>
          <w:numId w:val="1461"/>
          <w:ilvl w:val="0"/>
        </w:numPr>
      </w:pPr>
      <w:r>
        <w:rPr>
          <w:b/>
        </w:rPr>
        <w:t xml:space="preserve">Pokud nedochází nutně k vystavení rozhodnutí (postup k odstranění pochybností, daňová kontrola) – je nutno podat žalobu na nezákonný zásah.</w:t>
      </w:r>
    </w:p>
    <w:p>
      <w:pPr>
        <w:pStyle w:val="Compact"/>
        <w:numPr>
          <w:numId w:val="1461"/>
          <w:ilvl w:val="0"/>
        </w:numPr>
      </w:pPr>
      <w:r>
        <w:t xml:space="preserve">Opravné prostředky před podáním žaloby</w:t>
      </w:r>
    </w:p>
    <w:p>
      <w:pPr>
        <w:pStyle w:val="Compact"/>
        <w:numPr>
          <w:numId w:val="1461"/>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63"/>
          <w:ilvl w:val="1"/>
        </w:numPr>
      </w:pPr>
      <w:r>
        <w:t xml:space="preserve">Příklad:</w:t>
      </w:r>
    </w:p>
    <w:p>
      <w:pPr>
        <w:pStyle w:val="Compact"/>
        <w:numPr>
          <w:numId w:val="1463"/>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61"/>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61"/>
          <w:ilvl w:val="0"/>
        </w:numPr>
      </w:pPr>
      <w:r>
        <w:t xml:space="preserve">Příklad:</w:t>
      </w:r>
    </w:p>
    <w:p>
      <w:pPr>
        <w:pStyle w:val="Compact"/>
        <w:numPr>
          <w:numId w:val="1464"/>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61"/>
          <w:ilvl w:val="0"/>
        </w:numPr>
      </w:pPr>
      <w:r>
        <w:t xml:space="preserve">Koho a kde žalovat:</w:t>
      </w:r>
    </w:p>
    <w:p>
      <w:pPr>
        <w:numPr>
          <w:numId w:val="1461"/>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61"/>
          <w:ilvl w:val="0"/>
        </w:numPr>
      </w:pPr>
      <w:r>
        <w:t xml:space="preserve">Lhůta pro podání žaloby:</w:t>
      </w:r>
    </w:p>
    <w:p>
      <w:pPr>
        <w:pStyle w:val="Compact"/>
        <w:numPr>
          <w:numId w:val="1461"/>
          <w:ilvl w:val="0"/>
        </w:numPr>
      </w:pPr>
      <w:r>
        <w:t xml:space="preserve">SŘS stanovuje dvě možné lhůty:</w:t>
      </w:r>
    </w:p>
    <w:p>
      <w:pPr>
        <w:pStyle w:val="Compact"/>
        <w:numPr>
          <w:numId w:val="1466"/>
          <w:ilvl w:val="2"/>
        </w:numPr>
      </w:pPr>
      <w:r>
        <w:t xml:space="preserve">Pro rozhodnutí správního orgánu je stanovena zákonem konkrétní lhůta, kterou správní orgán nedodržel</w:t>
      </w:r>
    </w:p>
    <w:p>
      <w:pPr>
        <w:pStyle w:val="Compact"/>
        <w:numPr>
          <w:numId w:val="1465"/>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65"/>
          <w:ilvl w:val="1"/>
        </w:numPr>
      </w:pPr>
      <w:r>
        <w:t xml:space="preserve">Příklad:</w:t>
      </w:r>
    </w:p>
    <w:p>
      <w:pPr>
        <w:pStyle w:val="Compact"/>
        <w:numPr>
          <w:numId w:val="1467"/>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68"/>
          <w:ilvl w:val="2"/>
        </w:numPr>
      </w:pPr>
      <w:r>
        <w:t xml:space="preserve">Pro rozhodnutí správního orgánu není stanovena zákonem konkrétní lhůta</w:t>
      </w:r>
    </w:p>
    <w:p>
      <w:pPr>
        <w:pStyle w:val="Compact"/>
        <w:numPr>
          <w:numId w:val="1465"/>
          <w:ilvl w:val="1"/>
        </w:numPr>
      </w:pPr>
      <w:r>
        <w:t xml:space="preserve">SŘS pak umožňuje podat žalobu do jednoho roku ode dne, kdy byl žalobcem vůči správnímu orgánu nebo správním orgánem proti žalobci učiněn poslední úkon.</w:t>
      </w:r>
    </w:p>
    <w:p>
      <w:pPr>
        <w:pStyle w:val="Compact"/>
        <w:numPr>
          <w:numId w:val="1465"/>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65"/>
          <w:ilvl w:val="1"/>
        </w:numPr>
      </w:pPr>
      <w:r>
        <w:t xml:space="preserve">Možné jsou i žaloby v případech protahování vyřízení žádostí o prominutí daně, žádostí o posečkání daně a povolení splátek, apod.</w:t>
      </w:r>
    </w:p>
    <w:p>
      <w:pPr>
        <w:pStyle w:val="Compact"/>
        <w:numPr>
          <w:numId w:val="1461"/>
          <w:ilvl w:val="0"/>
        </w:numPr>
      </w:pPr>
      <w:r>
        <w:t xml:space="preserve">Výsledek soudu – rozsudek</w:t>
      </w:r>
    </w:p>
    <w:p>
      <w:pPr>
        <w:pStyle w:val="Compact"/>
        <w:numPr>
          <w:numId w:val="1461"/>
          <w:ilvl w:val="0"/>
        </w:numPr>
      </w:pPr>
      <w:r>
        <w:t xml:space="preserve">Soud rozhoduje na základě skutkového stavu zjištěného ke dni svého rozhodnutí.</w:t>
      </w:r>
    </w:p>
    <w:p>
      <w:pPr>
        <w:numPr>
          <w:numId w:val="1461"/>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61"/>
          <w:ilvl w:val="0"/>
        </w:numPr>
      </w:pPr>
      <w:r>
        <w:t xml:space="preserve">Soud zamítne žalobu, není-li důvodná.</w:t>
      </w:r>
    </w:p>
    <w:p>
      <w:pPr>
        <w:pStyle w:val="Compact"/>
        <w:numPr>
          <w:numId w:val="1461"/>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61"/>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52" w:name="žaloba-proti-nezákonnému-zásahu"/>
      <w:bookmarkEnd w:id="152"/>
      <w:r>
        <w:t xml:space="preserve">Žaloba proti nezákonnému zásahu</w:t>
      </w:r>
    </w:p>
    <w:p>
      <w:pPr>
        <w:pStyle w:val="Compact"/>
        <w:numPr>
          <w:numId w:val="1469"/>
          <w:ilvl w:val="0"/>
        </w:numPr>
      </w:pPr>
      <w:r>
        <w:t xml:space="preserve">V jakém případě žalobu podat</w:t>
      </w:r>
    </w:p>
    <w:p>
      <w:pPr>
        <w:pStyle w:val="Compact"/>
        <w:numPr>
          <w:numId w:val="1469"/>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69"/>
          <w:ilvl w:val="0"/>
        </w:numPr>
      </w:pPr>
      <w:r>
        <w:t xml:space="preserve">Můžeme se tedy pokusit žalovat např. nezákonně prováděnou kontrolu v případě, že na ni dle našeho názoru neměl správce daně nárok.</w:t>
      </w:r>
    </w:p>
    <w:p>
      <w:pPr>
        <w:pStyle w:val="Compact"/>
        <w:numPr>
          <w:numId w:val="1469"/>
          <w:ilvl w:val="0"/>
        </w:numPr>
      </w:pPr>
      <w:r>
        <w:t xml:space="preserve">Koho žalovat</w:t>
      </w:r>
    </w:p>
    <w:p>
      <w:pPr>
        <w:numPr>
          <w:numId w:val="1469"/>
          <w:ilvl w:val="0"/>
        </w:numPr>
      </w:pPr>
      <w:r>
        <w:t xml:space="preserve">Žalovaným je správní orgán, který podle žalobního tvrzení provedl zásah.</w:t>
      </w:r>
    </w:p>
    <w:p>
      <w:pPr>
        <w:pStyle w:val="Compact"/>
        <w:numPr>
          <w:numId w:val="1469"/>
          <w:ilvl w:val="0"/>
        </w:numPr>
      </w:pPr>
      <w:r>
        <w:t xml:space="preserve">Do kdy žalobu podat?</w:t>
      </w:r>
    </w:p>
    <w:p>
      <w:pPr>
        <w:numPr>
          <w:numId w:val="1469"/>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69"/>
          <w:ilvl w:val="0"/>
        </w:numPr>
      </w:pPr>
      <w:r>
        <w:t xml:space="preserve">Náležitosti žaloby</w:t>
      </w:r>
    </w:p>
    <w:p>
      <w:pPr>
        <w:pStyle w:val="Compact"/>
        <w:numPr>
          <w:numId w:val="1469"/>
          <w:ilvl w:val="0"/>
        </w:numPr>
      </w:pPr>
      <w:r>
        <w:t xml:space="preserve">Žaloba mimo obecných náležitostí podání musí obsahovat</w:t>
      </w:r>
    </w:p>
    <w:p>
      <w:pPr>
        <w:pStyle w:val="Compact"/>
        <w:numPr>
          <w:numId w:val="1471"/>
          <w:ilvl w:val="2"/>
        </w:numPr>
      </w:pPr>
      <w:r>
        <w:t xml:space="preserve">označení zásahu, proti němuž se žalobce ochrany domáhá,</w:t>
      </w:r>
    </w:p>
    <w:p>
      <w:pPr>
        <w:pStyle w:val="Compact"/>
        <w:numPr>
          <w:numId w:val="1472"/>
          <w:ilvl w:val="2"/>
        </w:numPr>
      </w:pPr>
      <w:r>
        <w:t xml:space="preserve">vylíčení rozhodujících skutečností,</w:t>
      </w:r>
    </w:p>
    <w:p>
      <w:pPr>
        <w:pStyle w:val="Compact"/>
        <w:numPr>
          <w:numId w:val="1473"/>
          <w:ilvl w:val="2"/>
        </w:numPr>
      </w:pPr>
      <w:r>
        <w:t xml:space="preserve">označení důkazů, jichž se žalobce dovolává,</w:t>
      </w:r>
    </w:p>
    <w:p>
      <w:pPr>
        <w:pStyle w:val="Compact"/>
        <w:numPr>
          <w:numId w:val="1474"/>
          <w:ilvl w:val="2"/>
        </w:numPr>
      </w:pPr>
      <w:r>
        <w:t xml:space="preserve">návrh výroku rozsudku.</w:t>
      </w:r>
    </w:p>
    <w:p>
      <w:pPr>
        <w:pStyle w:val="Compact"/>
        <w:numPr>
          <w:numId w:val="1469"/>
          <w:ilvl w:val="0"/>
        </w:numPr>
      </w:pPr>
      <w:r>
        <w:t xml:space="preserve">Výsledek soudu – rozsudek</w:t>
      </w:r>
    </w:p>
    <w:p>
      <w:pPr>
        <w:pStyle w:val="Compact"/>
        <w:numPr>
          <w:numId w:val="1469"/>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69"/>
          <w:ilvl w:val="0"/>
        </w:numPr>
      </w:pPr>
      <w:r>
        <w:t xml:space="preserve">Soud samozřejmě může žalobu zamítnout, není-li důvodná.</w:t>
      </w:r>
    </w:p>
    <w:p>
      <w:pPr>
        <w:pStyle w:val="Heading3"/>
      </w:pPr>
      <w:bookmarkStart w:id="153" w:name="řízení-ve-věcech-opatření-obecné-povahy"/>
      <w:bookmarkEnd w:id="153"/>
      <w:r>
        <w:t xml:space="preserve">Řízení ve věcech opatření obecné povahy</w:t>
      </w:r>
    </w:p>
    <w:p>
      <w:pPr>
        <w:pStyle w:val="Compact"/>
        <w:numPr>
          <w:numId w:val="1475"/>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75"/>
          <w:ilvl w:val="0"/>
        </w:numPr>
      </w:pPr>
      <w:r>
        <w:t xml:space="preserve">Opatření obecné povahy je, jinak řečeno, správním aktem s konkrétně určeným předmětem a obecně vymezeným okruhem adresátů (§ 101a, 101b, 101d s. ř. s.).</w:t>
      </w:r>
    </w:p>
    <w:p>
      <w:pPr>
        <w:pStyle w:val="Compact"/>
        <w:numPr>
          <w:numId w:val="1475"/>
          <w:ilvl w:val="0"/>
        </w:numPr>
      </w:pPr>
      <w:r>
        <w:t xml:space="preserve">Příklady opatření obecné povahy</w:t>
      </w:r>
    </w:p>
    <w:p>
      <w:pPr>
        <w:pStyle w:val="Compact"/>
        <w:numPr>
          <w:numId w:val="1475"/>
          <w:ilvl w:val="0"/>
        </w:numPr>
      </w:pPr>
      <w:r>
        <w:t xml:space="preserve">územní plán</w:t>
      </w:r>
    </w:p>
    <w:p>
      <w:pPr>
        <w:pStyle w:val="Compact"/>
        <w:numPr>
          <w:numId w:val="1475"/>
          <w:ilvl w:val="0"/>
        </w:numPr>
      </w:pPr>
      <w:r>
        <w:t xml:space="preserve">stanovení záplavového území</w:t>
      </w:r>
    </w:p>
    <w:p>
      <w:pPr>
        <w:pStyle w:val="Compact"/>
        <w:numPr>
          <w:numId w:val="1475"/>
          <w:ilvl w:val="0"/>
        </w:numPr>
      </w:pPr>
      <w:r>
        <w:t xml:space="preserve">stanovení ochranného pásma vodních zdrojů</w:t>
      </w:r>
    </w:p>
    <w:p>
      <w:pPr>
        <w:numPr>
          <w:numId w:val="1475"/>
          <w:ilvl w:val="0"/>
        </w:numPr>
      </w:pPr>
      <w:r>
        <w:t xml:space="preserve">stanovení místní nebo přechodné úpravy provozu na pozemních komunikacích dopravními značkami a dopravními zařízeními</w:t>
      </w:r>
    </w:p>
    <w:p>
      <w:pPr>
        <w:pStyle w:val="Compact"/>
        <w:numPr>
          <w:numId w:val="1475"/>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75"/>
          <w:ilvl w:val="0"/>
        </w:numPr>
      </w:pPr>
      <w:r>
        <w:t xml:space="preserve">soulad opatření obecné povahy se zákonem,</w:t>
      </w:r>
    </w:p>
    <w:p>
      <w:pPr>
        <w:pStyle w:val="Compact"/>
        <w:numPr>
          <w:numId w:val="1475"/>
          <w:ilvl w:val="0"/>
        </w:numPr>
      </w:pPr>
      <w:r>
        <w:t xml:space="preserve">zda ten, kdo je vydal, postupoval v mezích své působnosti a pravomoci,</w:t>
      </w:r>
    </w:p>
    <w:p>
      <w:pPr>
        <w:numPr>
          <w:numId w:val="1475"/>
          <w:ilvl w:val="0"/>
        </w:numPr>
      </w:pPr>
      <w:r>
        <w:t xml:space="preserve">zda opatření obecné povahy bylo vydáno zákonem stanoveným způsobem.</w:t>
      </w:r>
    </w:p>
    <w:p>
      <w:pPr>
        <w:pStyle w:val="Heading3"/>
      </w:pPr>
      <w:bookmarkStart w:id="154" w:name="opravné-prostředky-ve-správním-soudnictví-kasační-stížnost-obnova-řízení"/>
      <w:bookmarkEnd w:id="154"/>
      <w:r>
        <w:t xml:space="preserve">Opravné prostředky ve správním soudnictví – kasační stížnost, obnova řízení</w:t>
      </w:r>
    </w:p>
    <w:p>
      <w:pPr>
        <w:pStyle w:val="Compact"/>
        <w:numPr>
          <w:numId w:val="1476"/>
          <w:ilvl w:val="0"/>
        </w:numPr>
      </w:pPr>
      <w:r>
        <w:t xml:space="preserve">Kdo může žalobu podat - zastupování</w:t>
      </w:r>
    </w:p>
    <w:p>
      <w:pPr>
        <w:pStyle w:val="Compact"/>
        <w:numPr>
          <w:numId w:val="1476"/>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76"/>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76"/>
          <w:ilvl w:val="0"/>
        </w:numPr>
      </w:pPr>
      <w:r>
        <w:t xml:space="preserve">Důvody kasační stížnosti</w:t>
      </w:r>
    </w:p>
    <w:p>
      <w:pPr>
        <w:pStyle w:val="Compact"/>
        <w:numPr>
          <w:numId w:val="1476"/>
          <w:ilvl w:val="0"/>
        </w:numPr>
      </w:pPr>
      <w:r>
        <w:t xml:space="preserve">Kasační stížnost lze podat pouze z důvodu tvrzené:</w:t>
      </w:r>
    </w:p>
    <w:p>
      <w:pPr>
        <w:pStyle w:val="Compact"/>
        <w:numPr>
          <w:numId w:val="1478"/>
          <w:ilvl w:val="2"/>
        </w:numPr>
      </w:pPr>
      <w:r>
        <w:t xml:space="preserve">nezákonnosti spočívající v nesprávném posouzení právní otázky soudem v předcházejícím řízení,</w:t>
      </w:r>
    </w:p>
    <w:p>
      <w:pPr>
        <w:pStyle w:val="Compact"/>
        <w:numPr>
          <w:numId w:val="1479"/>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80"/>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81"/>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76"/>
          <w:ilvl w:val="0"/>
        </w:numPr>
      </w:pPr>
      <w:r>
        <w:t xml:space="preserve">Nepřípustnost stížnosti</w:t>
      </w:r>
    </w:p>
    <w:p>
      <w:pPr>
        <w:pStyle w:val="Compact"/>
        <w:numPr>
          <w:numId w:val="1476"/>
          <w:ilvl w:val="0"/>
        </w:numPr>
      </w:pPr>
      <w:r>
        <w:t xml:space="preserve">Kasační stížnost je nepřípustná, jestliže:</w:t>
      </w:r>
    </w:p>
    <w:p>
      <w:pPr>
        <w:pStyle w:val="Compact"/>
        <w:numPr>
          <w:numId w:val="1482"/>
          <w:ilvl w:val="1"/>
        </w:numPr>
      </w:pPr>
      <w:r>
        <w:t xml:space="preserve">směřuje jen proti výroku o nákladech řízení nebo proti důvodům rozhodnutí soudu, je nepřípustná,</w:t>
      </w:r>
    </w:p>
    <w:p>
      <w:pPr>
        <w:pStyle w:val="Compact"/>
        <w:numPr>
          <w:numId w:val="1482"/>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82"/>
          <w:ilvl w:val="1"/>
        </w:numPr>
      </w:pPr>
      <w:r>
        <w:t xml:space="preserve">proti rozhodnutí, jímž se pouze upravuje vedení řízení</w:t>
      </w:r>
    </w:p>
    <w:p>
      <w:pPr>
        <w:pStyle w:val="Compact"/>
        <w:numPr>
          <w:numId w:val="1482"/>
          <w:ilvl w:val="1"/>
        </w:numPr>
      </w:pPr>
      <w:r>
        <w:t xml:space="preserve">proti rozhodnutí, které je podle své povahy dočasné,</w:t>
      </w:r>
    </w:p>
    <w:p>
      <w:pPr>
        <w:pStyle w:val="Compact"/>
        <w:numPr>
          <w:numId w:val="1482"/>
          <w:ilvl w:val="1"/>
        </w:numPr>
      </w:pPr>
      <w:r>
        <w:t xml:space="preserve">opírá-li se jen o jiné důvody, než které jsou uvedeny v textu týkajících se důvodů pro kasační stížnost</w:t>
      </w:r>
    </w:p>
    <w:p>
      <w:pPr>
        <w:pStyle w:val="Compact"/>
        <w:numPr>
          <w:numId w:val="1482"/>
          <w:ilvl w:val="1"/>
        </w:numPr>
      </w:pPr>
      <w:r>
        <w:t xml:space="preserve">opírá-li se o důvody, které stěžovatel neuplatnil v řízení před soudem, jehož rozhodnutí má být přezkoumáno, ač tak učinit mohl.</w:t>
      </w:r>
    </w:p>
    <w:p>
      <w:pPr>
        <w:pStyle w:val="Compact"/>
        <w:numPr>
          <w:numId w:val="1476"/>
          <w:ilvl w:val="0"/>
        </w:numPr>
      </w:pPr>
      <w:r>
        <w:t xml:space="preserve">Kdy a kam podat kasační stížnost</w:t>
      </w:r>
    </w:p>
    <w:p>
      <w:pPr>
        <w:pStyle w:val="Compact"/>
        <w:numPr>
          <w:numId w:val="1476"/>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76"/>
          <w:ilvl w:val="0"/>
        </w:numPr>
      </w:pPr>
      <w:r>
        <w:t xml:space="preserve">Kasační stížnost musí být podána do dvou týdnů po doručení rozhodnutí, které napadáme.</w:t>
      </w:r>
    </w:p>
    <w:p>
      <w:pPr>
        <w:numPr>
          <w:numId w:val="1476"/>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76"/>
          <w:ilvl w:val="0"/>
        </w:numPr>
      </w:pPr>
      <w:r>
        <w:t xml:space="preserve">Náležitosti stížnosti</w:t>
      </w:r>
    </w:p>
    <w:p>
      <w:pPr>
        <w:pStyle w:val="Compact"/>
        <w:numPr>
          <w:numId w:val="1476"/>
          <w:ilvl w:val="0"/>
        </w:numPr>
      </w:pPr>
      <w:r>
        <w:t xml:space="preserve">Kromě obecných náležitostí podání musí kasační stížnost</w:t>
      </w:r>
    </w:p>
    <w:p>
      <w:pPr>
        <w:numPr>
          <w:numId w:val="1476"/>
          <w:ilvl w:val="0"/>
        </w:numPr>
      </w:pPr>
      <w:r>
        <w:t xml:space="preserve">obsahovat označení rozhodnutí, proti němuž směřuje, v jakém rozsahu a z jakých důvodů jej stěžovatel napadá, údaj o tom, kdy mu rozhodnutí bylo doručeno.</w:t>
      </w:r>
    </w:p>
    <w:p>
      <w:pPr>
        <w:pStyle w:val="Compact"/>
        <w:numPr>
          <w:numId w:val="1476"/>
          <w:ilvl w:val="0"/>
        </w:numPr>
      </w:pPr>
      <w:r>
        <w:t xml:space="preserve">Odkladný účinek</w:t>
      </w:r>
    </w:p>
    <w:p>
      <w:pPr>
        <w:numPr>
          <w:numId w:val="1476"/>
          <w:ilvl w:val="0"/>
        </w:numPr>
      </w:pPr>
      <w:r>
        <w:t xml:space="preserve">Kasační stížnost nemá odkladný účinek, Nejvyšší správní soud jej však může na návrh stěžovatele přiznat.</w:t>
      </w:r>
    </w:p>
    <w:p>
      <w:pPr>
        <w:pStyle w:val="Compact"/>
        <w:numPr>
          <w:numId w:val="1476"/>
          <w:ilvl w:val="0"/>
        </w:numPr>
      </w:pPr>
      <w:r>
        <w:t xml:space="preserve">Řízení před Nejvyšším správním soudem</w:t>
      </w:r>
    </w:p>
    <w:p>
      <w:pPr>
        <w:pStyle w:val="Compact"/>
        <w:numPr>
          <w:numId w:val="1476"/>
          <w:ilvl w:val="0"/>
        </w:numPr>
      </w:pPr>
      <w:r>
        <w:t xml:space="preserve">NSS rozhoduje v drtivé většině případů bez jednání</w:t>
      </w:r>
    </w:p>
    <w:p>
      <w:pPr>
        <w:pStyle w:val="Compact"/>
        <w:numPr>
          <w:numId w:val="1476"/>
          <w:ilvl w:val="0"/>
        </w:numPr>
      </w:pPr>
      <w:r>
        <w:t xml:space="preserve">NSS vázán rozsahem a důvody kasační stížnosti, nebude tedy vyhledávat argumenty v náš prospěch nad rámec, který jsme uvedli ve stížnosti. To však neplatí:</w:t>
      </w:r>
    </w:p>
    <w:p>
      <w:pPr>
        <w:pStyle w:val="Compact"/>
        <w:numPr>
          <w:numId w:val="1483"/>
          <w:ilvl w:val="1"/>
        </w:numPr>
      </w:pPr>
      <w:r>
        <w:t xml:space="preserve">v případech, je-li na napadeném výroku závislý výrok, který napaden nebyl,</w:t>
      </w:r>
    </w:p>
    <w:p>
      <w:pPr>
        <w:pStyle w:val="Compact"/>
        <w:numPr>
          <w:numId w:val="1483"/>
          <w:ilvl w:val="1"/>
        </w:numPr>
      </w:pPr>
      <w:r>
        <w:t xml:space="preserve">je-li rozhodnutí správního orgánu nicotné,</w:t>
      </w:r>
    </w:p>
    <w:p>
      <w:pPr>
        <w:pStyle w:val="Compact"/>
        <w:numPr>
          <w:numId w:val="1483"/>
          <w:ilvl w:val="1"/>
        </w:numPr>
      </w:pPr>
      <w:r>
        <w:t xml:space="preserve">bylo-li řízení před krajským soudem zmatečné,</w:t>
      </w:r>
    </w:p>
    <w:p>
      <w:pPr>
        <w:pStyle w:val="Compact"/>
        <w:numPr>
          <w:numId w:val="1483"/>
          <w:ilvl w:val="1"/>
        </w:numPr>
      </w:pPr>
      <w:r>
        <w:t xml:space="preserve">bylo řízení před krajským soudem zatíženo vadou, která mohla mít za následek nezákonné rozhodnutí o věci samé</w:t>
      </w:r>
    </w:p>
    <w:p>
      <w:pPr>
        <w:pStyle w:val="Compact"/>
        <w:numPr>
          <w:numId w:val="1483"/>
          <w:ilvl w:val="1"/>
        </w:numPr>
      </w:pPr>
      <w:r>
        <w:t xml:space="preserve">je-li napadené rozhodnutí nepřezkoumatelné,</w:t>
      </w:r>
    </w:p>
    <w:p>
      <w:pPr>
        <w:numPr>
          <w:numId w:val="1476"/>
          <w:ilvl w:val="0"/>
        </w:numPr>
      </w:pPr>
      <w:r>
        <w:t xml:space="preserve">Ke skutečnostem, které stěžovatel uplatnil poté, kdy bylo vydáno napadené rozhodnutí, Nejvyšší správní soud nepřihlíží.</w:t>
      </w:r>
    </w:p>
    <w:p>
      <w:pPr>
        <w:pStyle w:val="Compact"/>
        <w:numPr>
          <w:numId w:val="1476"/>
          <w:ilvl w:val="0"/>
        </w:numPr>
      </w:pPr>
      <w:r>
        <w:t xml:space="preserve">Rozsudek:</w:t>
      </w:r>
    </w:p>
    <w:p>
      <w:pPr>
        <w:pStyle w:val="Compact"/>
        <w:numPr>
          <w:numId w:val="1476"/>
          <w:ilvl w:val="0"/>
        </w:numPr>
      </w:pPr>
      <w:r>
        <w:t xml:space="preserve">Dospěje-li Nejvyšší správní soud k tomu, že kasační stížnost je důvodná, rozsudkem zruší rozhodnutí krajského soudu a věc mu vrátí k dalšímu řízení.</w:t>
      </w:r>
    </w:p>
    <w:p>
      <w:pPr>
        <w:pStyle w:val="Compact"/>
        <w:numPr>
          <w:numId w:val="1476"/>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76"/>
          <w:ilvl w:val="0"/>
        </w:numPr>
      </w:pPr>
      <w:r>
        <w:t xml:space="preserve">Není-li kasační stížnost důvodná, Nejvyšší správní soud ji rozsudkem zamítne.</w:t>
      </w:r>
    </w:p>
    <w:p>
      <w:pPr>
        <w:pStyle w:val="Compact"/>
        <w:numPr>
          <w:numId w:val="1476"/>
          <w:ilvl w:val="0"/>
        </w:numPr>
      </w:pPr>
      <w:r>
        <w:t xml:space="preserve">Obnova řízení</w:t>
      </w:r>
    </w:p>
    <w:p>
      <w:pPr>
        <w:pStyle w:val="Compact"/>
        <w:numPr>
          <w:numId w:val="1476"/>
          <w:ilvl w:val="0"/>
        </w:numPr>
      </w:pPr>
      <w:r>
        <w:t xml:space="preserve">Je přípustná jen v řízení o žalobách proti nezákonným zásahům a v řízení ve věcech politických stran, tedy tam, kde soud sám zjišťoval skutkový stav věci.</w:t>
      </w:r>
    </w:p>
    <w:p>
      <w:pPr>
        <w:pStyle w:val="Compact"/>
        <w:numPr>
          <w:numId w:val="1476"/>
          <w:ilvl w:val="0"/>
        </w:numPr>
      </w:pPr>
      <w:r>
        <w:t xml:space="preserve">Dvě fáze:</w:t>
      </w:r>
    </w:p>
    <w:p>
      <w:pPr>
        <w:pStyle w:val="Compact"/>
        <w:numPr>
          <w:numId w:val="1485"/>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86"/>
          <w:ilvl w:val="2"/>
        </w:numPr>
      </w:pPr>
      <w:r>
        <w:t xml:space="preserve">poté, kdy je obnova řízení povolena, se provede nové řízení ve věci samé.</w:t>
      </w:r>
    </w:p>
    <w:p>
      <w:pPr>
        <w:numPr>
          <w:numId w:val="1476"/>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76"/>
          <w:ilvl w:val="0"/>
        </w:numPr>
      </w:pPr>
      <w:r>
        <w:t xml:space="preserve">Co soudní řízení stojí?</w:t>
      </w:r>
    </w:p>
    <w:p>
      <w:pPr>
        <w:pStyle w:val="Compact"/>
        <w:numPr>
          <w:numId w:val="1476"/>
          <w:ilvl w:val="0"/>
        </w:numPr>
      </w:pPr>
      <w:r>
        <w:t xml:space="preserve">Zde se postupuje dle přílohy k zákonu č. 549/1991 Sb. O soudních poplatcích</w:t>
      </w:r>
    </w:p>
    <w:p>
      <w:pPr>
        <w:pStyle w:val="Compact"/>
        <w:numPr>
          <w:numId w:val="1476"/>
          <w:ilvl w:val="0"/>
        </w:numPr>
      </w:pPr>
      <w:r>
        <w:t xml:space="preserve">Položka 18 bod 2.</w:t>
      </w:r>
    </w:p>
    <w:p>
      <w:pPr>
        <w:pStyle w:val="Compact"/>
        <w:numPr>
          <w:numId w:val="1476"/>
          <w:ilvl w:val="0"/>
        </w:numPr>
      </w:pPr>
      <w:r>
        <w:t xml:space="preserve">Za žalobu nebo jiný návrh na zahájení řízení ve věcech správního soudnictví:</w:t>
      </w:r>
    </w:p>
    <w:p>
      <w:pPr>
        <w:pStyle w:val="Compact"/>
        <w:numPr>
          <w:numId w:val="1487"/>
          <w:ilvl w:val="1"/>
        </w:numPr>
      </w:pPr>
      <w:r>
        <w:t xml:space="preserve">proti rozhodnutí správního orgánu Kč 3 000,- (=většina případů)</w:t>
      </w:r>
    </w:p>
    <w:p>
      <w:pPr>
        <w:pStyle w:val="Compact"/>
        <w:numPr>
          <w:numId w:val="1487"/>
          <w:ilvl w:val="1"/>
        </w:numPr>
      </w:pPr>
      <w:r>
        <w:t xml:space="preserve">v ostatních případech Kč 2 000,-</w:t>
      </w:r>
    </w:p>
    <w:p>
      <w:pPr>
        <w:pStyle w:val="Compact"/>
        <w:numPr>
          <w:numId w:val="1476"/>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76"/>
          <w:ilvl w:val="0"/>
        </w:numPr>
      </w:pPr>
      <w:r>
        <w:t xml:space="preserve">Položka 15</w:t>
      </w:r>
    </w:p>
    <w:p>
      <w:pPr>
        <w:pStyle w:val="Compact"/>
        <w:numPr>
          <w:numId w:val="1488"/>
          <w:ilvl w:val="1"/>
        </w:numPr>
      </w:pPr>
      <w:r>
        <w:t xml:space="preserve">Za kasační stížnost k Nejvyššímu správnímu soudu Kč 5 000,-</w:t>
      </w:r>
    </w:p>
    <w:p>
      <w:pPr>
        <w:numPr>
          <w:numId w:val="1476"/>
          <w:ilvl w:val="0"/>
        </w:numPr>
      </w:pPr>
      <w:r>
        <w:t xml:space="preserve">Soudní poplatky se hradí vylepením kolkových známek na žalobu nebo převodem na účet soudu.</w:t>
      </w:r>
    </w:p>
    <w:p>
      <w:pPr>
        <w:pStyle w:val="Compact"/>
        <w:numPr>
          <w:numId w:val="1476"/>
          <w:ilvl w:val="0"/>
        </w:numPr>
      </w:pPr>
      <w:r>
        <w:t xml:space="preserve">Náklady řízení jsou zejména:</w:t>
      </w:r>
    </w:p>
    <w:p>
      <w:pPr>
        <w:pStyle w:val="Compact"/>
        <w:numPr>
          <w:numId w:val="1476"/>
          <w:ilvl w:val="0"/>
        </w:numPr>
      </w:pPr>
      <w:r>
        <w:t xml:space="preserve">hotové výdaje účastníků a jejich zástupců,</w:t>
      </w:r>
    </w:p>
    <w:p>
      <w:pPr>
        <w:pStyle w:val="Compact"/>
        <w:numPr>
          <w:numId w:val="1476"/>
          <w:ilvl w:val="0"/>
        </w:numPr>
      </w:pPr>
      <w:r>
        <w:t xml:space="preserve">soudní poplatky,</w:t>
      </w:r>
    </w:p>
    <w:p>
      <w:pPr>
        <w:pStyle w:val="Compact"/>
        <w:numPr>
          <w:numId w:val="1476"/>
          <w:ilvl w:val="0"/>
        </w:numPr>
      </w:pPr>
      <w:r>
        <w:t xml:space="preserve">ušlý výdělek účastníků a jejich zákonných zástupců,</w:t>
      </w:r>
    </w:p>
    <w:p>
      <w:pPr>
        <w:pStyle w:val="Compact"/>
        <w:numPr>
          <w:numId w:val="1476"/>
          <w:ilvl w:val="0"/>
        </w:numPr>
      </w:pPr>
      <w:r>
        <w:t xml:space="preserve">náklady spojené s dokazováním,</w:t>
      </w:r>
    </w:p>
    <w:p>
      <w:pPr>
        <w:pStyle w:val="Compact"/>
        <w:numPr>
          <w:numId w:val="1476"/>
          <w:ilvl w:val="0"/>
        </w:numPr>
      </w:pPr>
      <w:r>
        <w:t xml:space="preserve">odměna zástupce a jeho hotové výdaje,</w:t>
      </w:r>
    </w:p>
    <w:p>
      <w:pPr>
        <w:numPr>
          <w:numId w:val="1476"/>
          <w:ilvl w:val="0"/>
        </w:numPr>
      </w:pPr>
      <w:r>
        <w:t xml:space="preserve">tlumočné.</w:t>
      </w:r>
    </w:p>
    <w:p>
      <w:pPr>
        <w:pStyle w:val="Compact"/>
        <w:numPr>
          <w:numId w:val="1476"/>
          <w:ilvl w:val="0"/>
        </w:numPr>
      </w:pPr>
      <w:r>
        <w:t xml:space="preserve">Náklady řízení</w:t>
      </w:r>
    </w:p>
    <w:p>
      <w:pPr>
        <w:pStyle w:val="Compact"/>
        <w:numPr>
          <w:numId w:val="1476"/>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76"/>
          <w:ilvl w:val="0"/>
        </w:numPr>
      </w:pPr>
      <w:r>
        <w:t xml:space="preserve">Protistrana (např. finanční úřad či jiný státní orgán) obvykle náklady řízení přiznány nedostane.</w:t>
      </w:r>
    </w:p>
    <w:p>
      <w:pPr>
        <w:pStyle w:val="Heading2"/>
      </w:pPr>
      <w:bookmarkStart w:id="155" w:name="role-judikatury-správního-ústavního-a-evropského-soudnictví-v-daňovém-právu"/>
      <w:bookmarkEnd w:id="155"/>
      <w:r>
        <w:t xml:space="preserve">24. Role judikatury správního, ústavního a evropského soudnictví v daňovém právu</w:t>
      </w:r>
    </w:p>
    <w:p>
      <w:pPr>
        <w:pStyle w:val="Compact"/>
        <w:numPr>
          <w:numId w:val="1489"/>
          <w:ilvl w:val="0"/>
        </w:numPr>
      </w:pPr>
      <w:r>
        <w:t xml:space="preserve">Ústavní principy jasně vymezují:</w:t>
      </w:r>
    </w:p>
    <w:p>
      <w:pPr>
        <w:pStyle w:val="Compact"/>
        <w:numPr>
          <w:numId w:val="1489"/>
          <w:ilvl w:val="0"/>
        </w:numPr>
      </w:pPr>
      <w:r>
        <w:t xml:space="preserve">obsah hmotněprávních a procesněprávních daňových podústavních předpisů,</w:t>
      </w:r>
    </w:p>
    <w:p>
      <w:pPr>
        <w:numPr>
          <w:numId w:val="1489"/>
          <w:ilvl w:val="0"/>
        </w:numPr>
      </w:pPr>
      <w:r>
        <w:t xml:space="preserve">tak rámec jejich interpretace a aplikace</w:t>
      </w:r>
      <w:r>
        <w:rPr>
          <w:rStyle w:val="FootnoteReference"/>
        </w:rPr>
        <w:footnoteReference w:id="156"/>
      </w:r>
      <w:r>
        <w:t xml:space="preserve">.</w:t>
      </w:r>
    </w:p>
    <w:p>
      <w:pPr>
        <w:pStyle w:val="Compact"/>
        <w:numPr>
          <w:numId w:val="1489"/>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89"/>
          <w:ilvl w:val="0"/>
        </w:numPr>
      </w:pPr>
      <w:r>
        <w:t xml:space="preserve">Judikatura správních soudů spočívá v předpokladu stálosti rozhodování - soud by se tak neměl odchýlit od ustálené soudní praxe.</w:t>
      </w:r>
    </w:p>
    <w:p>
      <w:pPr>
        <w:numPr>
          <w:numId w:val="1489"/>
          <w:ilvl w:val="0"/>
        </w:numPr>
      </w:pPr>
      <w:r>
        <w:t xml:space="preserve">Ústavní soud však neřeší otázku z pohledu věci samé, řeší, zda bylo jednání orgánu veřejné moci, či soudní moci zasaženo do ZLP stěžovatele.</w:t>
      </w:r>
    </w:p>
    <w:p>
      <w:pPr>
        <w:pStyle w:val="Compact"/>
        <w:numPr>
          <w:numId w:val="1489"/>
          <w:ilvl w:val="0"/>
        </w:numPr>
      </w:pPr>
      <w:r>
        <w:t xml:space="preserve">Evropské soudnictví je důležité ze dvou bodů:</w:t>
      </w:r>
    </w:p>
    <w:p>
      <w:pPr>
        <w:pStyle w:val="Compact"/>
        <w:numPr>
          <w:numId w:val="1489"/>
          <w:ilvl w:val="0"/>
        </w:numPr>
      </w:pPr>
      <w:r>
        <w:t xml:space="preserve">předběžná otázka - umožňuje se soudu obrátit na Soudní dvůr Evropské unie - v pochybnostech výkladu Evropského práva</w:t>
      </w:r>
      <w:r>
        <w:rPr>
          <w:rStyle w:val="FootnoteReference"/>
        </w:rPr>
        <w:footnoteReference w:id="157"/>
      </w:r>
      <w:r>
        <w:t xml:space="preserve">,</w:t>
      </w:r>
    </w:p>
    <w:p>
      <w:pPr>
        <w:numPr>
          <w:numId w:val="1489"/>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58" w:name="cvičení-téma-k-diskusi"/>
      <w:bookmarkEnd w:id="158"/>
      <w:r>
        <w:t xml:space="preserve">Cvičení téma k diskusi</w:t>
      </w:r>
    </w:p>
    <w:p>
      <w:pPr>
        <w:pStyle w:val="Compact"/>
        <w:numPr>
          <w:numId w:val="1490"/>
          <w:ilvl w:val="0"/>
        </w:numPr>
      </w:pPr>
      <w:r>
        <w:t xml:space="preserve">Příklad 1</w:t>
      </w:r>
    </w:p>
    <w:p>
      <w:pPr>
        <w:pStyle w:val="Compact"/>
        <w:numPr>
          <w:numId w:val="1490"/>
          <w:ilvl w:val="0"/>
        </w:numPr>
      </w:pPr>
      <w:r>
        <w:t xml:space="preserve">Jste poslanci a máte rozhodnout o tom, zda bude daň z příjmů rovná nebo progresivní.</w:t>
      </w:r>
    </w:p>
    <w:p>
      <w:pPr>
        <w:pStyle w:val="Compact"/>
        <w:numPr>
          <w:numId w:val="1490"/>
          <w:ilvl w:val="0"/>
        </w:numPr>
      </w:pPr>
      <w:r>
        <w:t xml:space="preserve">Podotázky:</w:t>
      </w:r>
    </w:p>
    <w:p>
      <w:pPr>
        <w:pStyle w:val="Compact"/>
        <w:numPr>
          <w:numId w:val="1491"/>
          <w:ilvl w:val="1"/>
        </w:numPr>
      </w:pPr>
      <w:r>
        <w:t xml:space="preserve">Je současná daň z příjmů rovná, když má jednotnou sazbu?</w:t>
      </w:r>
    </w:p>
    <w:p>
      <w:pPr>
        <w:pStyle w:val="Compact"/>
        <w:numPr>
          <w:numId w:val="1491"/>
          <w:ilvl w:val="1"/>
        </w:numPr>
      </w:pPr>
      <w:r>
        <w:t xml:space="preserve">Mají bohatí platit vyšší daně než chudí?</w:t>
      </w:r>
    </w:p>
    <w:p>
      <w:pPr>
        <w:pStyle w:val="Compact"/>
        <w:numPr>
          <w:numId w:val="1491"/>
          <w:ilvl w:val="1"/>
        </w:numPr>
      </w:pPr>
      <w:r>
        <w:t xml:space="preserve">Mají bezdětní platit vyšší daně než ti, co děti mají?</w:t>
      </w:r>
    </w:p>
    <w:p>
      <w:pPr>
        <w:pStyle w:val="Compact"/>
        <w:numPr>
          <w:numId w:val="1490"/>
          <w:ilvl w:val="0"/>
        </w:numPr>
      </w:pPr>
      <w:r>
        <w:t xml:space="preserve">Příklad č. 2</w:t>
      </w:r>
    </w:p>
    <w:p>
      <w:pPr>
        <w:pStyle w:val="Compact"/>
        <w:numPr>
          <w:numId w:val="1490"/>
          <w:ilvl w:val="0"/>
        </w:numPr>
      </w:pPr>
      <w:r>
        <w:t xml:space="preserve">Jste poslanci a máte rozhodnout, zda zavedete silniční daň:</w:t>
      </w:r>
    </w:p>
    <w:p>
      <w:pPr>
        <w:pStyle w:val="Compact"/>
        <w:numPr>
          <w:numId w:val="1493"/>
          <w:ilvl w:val="2"/>
        </w:numPr>
      </w:pPr>
      <w:r>
        <w:t xml:space="preserve">Jen pro podnikatele</w:t>
      </w:r>
    </w:p>
    <w:p>
      <w:pPr>
        <w:pStyle w:val="Compact"/>
        <w:numPr>
          <w:numId w:val="1494"/>
          <w:ilvl w:val="2"/>
        </w:numPr>
      </w:pPr>
      <w:r>
        <w:t xml:space="preserve">Pro všechny</w:t>
      </w:r>
    </w:p>
    <w:p>
      <w:pPr>
        <w:pStyle w:val="Compact"/>
        <w:numPr>
          <w:numId w:val="1490"/>
          <w:ilvl w:val="0"/>
        </w:numPr>
      </w:pPr>
      <w:r>
        <w:t xml:space="preserve">Podotázka – a co dálniční známky, mýtné:</w:t>
      </w:r>
    </w:p>
    <w:p>
      <w:pPr>
        <w:pStyle w:val="Compact"/>
        <w:numPr>
          <w:numId w:val="1496"/>
          <w:ilvl w:val="2"/>
        </w:numPr>
      </w:pPr>
      <w:r>
        <w:t xml:space="preserve">na všechny silnice</w:t>
      </w:r>
    </w:p>
    <w:p>
      <w:pPr>
        <w:pStyle w:val="Compact"/>
        <w:numPr>
          <w:numId w:val="1497"/>
          <w:ilvl w:val="2"/>
        </w:numPr>
      </w:pPr>
      <w:r>
        <w:t xml:space="preserve">jen na dálnice (dálnice + silnice 1. třídy)</w:t>
      </w:r>
    </w:p>
    <w:p>
      <w:pPr>
        <w:pStyle w:val="Compact"/>
        <w:numPr>
          <w:numId w:val="1498"/>
          <w:ilvl w:val="2"/>
        </w:numPr>
      </w:pPr>
      <w:r>
        <w:t xml:space="preserve">jen pro podnikatele</w:t>
      </w:r>
    </w:p>
    <w:p>
      <w:pPr>
        <w:numPr>
          <w:numId w:val="1490"/>
          <w:ilvl w:val="0"/>
        </w:numPr>
      </w:pPr>
      <w:r>
        <w:t xml:space="preserve">Obdobně parkování ve městech, nízkoemisní zóny (třídění podle druhů automobilů, občanů a firem, které v zóně bydlí apod.</w:t>
      </w:r>
    </w:p>
    <w:p>
      <w:pPr>
        <w:pStyle w:val="Compact"/>
        <w:numPr>
          <w:numId w:val="1490"/>
          <w:ilvl w:val="0"/>
        </w:numPr>
      </w:pPr>
      <w:r>
        <w:t xml:space="preserve">Příklad č. 3</w:t>
      </w:r>
    </w:p>
    <w:p>
      <w:pPr>
        <w:pStyle w:val="Compact"/>
        <w:numPr>
          <w:numId w:val="1490"/>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99"/>
          <w:ilvl w:val="1"/>
        </w:numPr>
      </w:pPr>
      <w:r>
        <w:t xml:space="preserve">Argumenty pro…………..</w:t>
      </w:r>
    </w:p>
    <w:p>
      <w:pPr>
        <w:pStyle w:val="Compact"/>
        <w:numPr>
          <w:numId w:val="1499"/>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4">
    <w:p>
      <w:pPr>
        <w:pStyle w:val="FootnoteText"/>
      </w:pPr>
      <w:r>
        <w:rPr>
          <w:rStyle w:val="FootnoteReference"/>
        </w:rPr>
        <w:footnoteRef/>
      </w:r>
      <w:r>
        <w:t xml:space="preserve"> </w:t>
      </w:r>
      <w:r>
        <w:t xml:space="preserve">https://www.podnikatel.cz/clanky/vite-jaky-je-rozdil-mezi-ucetnimi-a-danovymi-odpisy-hmotneho-majetku/</w:t>
      </w:r>
    </w:p>
  </w:footnote>
  <w:footnote w:id="86">
    <w:p>
      <w:pPr>
        <w:pStyle w:val="FootnoteText"/>
      </w:pPr>
      <w:r>
        <w:rPr>
          <w:rStyle w:val="FootnoteReference"/>
        </w:rPr>
        <w:footnoteRef/>
      </w:r>
      <w:r>
        <w:t xml:space="preserve"> </w:t>
      </w:r>
      <w:r>
        <w:t xml:space="preserve">https://money.cz/novinky-a-tipy/dane/ucetni-vs-danovy-odpis-cem-se-lisi-spocitate/</w:t>
      </w:r>
    </w:p>
  </w:footnote>
  <w:footnote w:id="87">
    <w:p>
      <w:pPr>
        <w:pStyle w:val="FootnoteText"/>
      </w:pPr>
      <w:r>
        <w:rPr>
          <w:rStyle w:val="FootnoteReference"/>
        </w:rPr>
        <w:footnoteRef/>
      </w:r>
      <w:r>
        <w:t xml:space="preserve"> </w:t>
      </w:r>
      <w:r>
        <w:t xml:space="preserve">https://www.euro.cz/byznys/odpis-odpisove-skupiny-hmotneho-majetku-auto-tabulka-kalkulacka-1458462#:~:text=Pokud%20jako%20podnikatel%20zakoup%C3%ADte%20majetek,i%20po%20dobu%20n%C4%9Bkolika%20let.</w:t>
      </w:r>
    </w:p>
  </w:footnote>
  <w:footnote w:id="90">
    <w:p>
      <w:pPr>
        <w:pStyle w:val="FootnoteText"/>
      </w:pPr>
      <w:r>
        <w:rPr>
          <w:rStyle w:val="FootnoteReference"/>
        </w:rPr>
        <w:footnoteRef/>
      </w:r>
      <w:r>
        <w:t xml:space="preserve"> </w:t>
      </w:r>
      <w:r>
        <w:t xml:space="preserve">https://www.zakonyprolidi.cz/cs/1992-586</w:t>
      </w:r>
    </w:p>
  </w:footnote>
  <w:footnote w:id="106">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107">
    <w:p>
      <w:pPr>
        <w:pStyle w:val="FootnoteText"/>
      </w:pPr>
      <w:r>
        <w:rPr>
          <w:rStyle w:val="FootnoteReference"/>
        </w:rPr>
        <w:footnoteRef/>
      </w:r>
      <w:r>
        <w:t xml:space="preserve"> </w:t>
      </w:r>
      <w:r>
        <w:t xml:space="preserve">https://cs.wikipedia.org/wiki/Kontroln%C3%AD_hl%C3%A1%C5%A1en%C3%AD_DPH</w:t>
      </w:r>
    </w:p>
  </w:footnote>
  <w:footnote w:id="113">
    <w:p>
      <w:pPr>
        <w:pStyle w:val="FootnoteText"/>
      </w:pPr>
      <w:r>
        <w:rPr>
          <w:rStyle w:val="FootnoteReference"/>
        </w:rPr>
        <w:footnoteRef/>
      </w:r>
      <w:r>
        <w:t xml:space="preserve"> </w:t>
      </w:r>
      <w:r>
        <w:t xml:space="preserve">https://cs.wikipedia.org/wiki/Spot%C5%99ebn%C3%AD_da%C5%88</w:t>
      </w:r>
    </w:p>
  </w:footnote>
  <w:footnote w:id="116">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21">
    <w:p>
      <w:pPr>
        <w:pStyle w:val="FootnoteText"/>
      </w:pPr>
      <w:r>
        <w:rPr>
          <w:rStyle w:val="FootnoteReference"/>
        </w:rPr>
        <w:footnoteRef/>
      </w:r>
      <w:r>
        <w:t xml:space="preserve"> </w:t>
      </w:r>
      <w:r>
        <w:t xml:space="preserve">https://cs.wikipedia.org/wiki/Silni%C4%8Dn%C3%AD_da%C5%88</w:t>
      </w:r>
    </w:p>
  </w:footnote>
  <w:footnote w:id="125">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26">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7">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8">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30">
    <w:p>
      <w:pPr>
        <w:pStyle w:val="FootnoteText"/>
      </w:pPr>
      <w:r>
        <w:rPr>
          <w:rStyle w:val="FootnoteReference"/>
        </w:rPr>
        <w:footnoteRef/>
      </w:r>
      <w:r>
        <w:t xml:space="preserve"> </w:t>
      </w:r>
      <w:r>
        <w:t xml:space="preserve">https://www.zakonyprolidi.cz/cs/2009-280#cast2-hlava6</w:t>
      </w:r>
    </w:p>
  </w:footnote>
  <w:footnote w:id="136">
    <w:p>
      <w:pPr>
        <w:pStyle w:val="FootnoteText"/>
      </w:pPr>
      <w:r>
        <w:rPr>
          <w:rStyle w:val="FootnoteReference"/>
        </w:rPr>
        <w:footnoteRef/>
      </w:r>
      <w:r>
        <w:t xml:space="preserve"> </w:t>
      </w:r>
      <w:r>
        <w:t xml:space="preserve">https://www.zakonyprolidi.cz/cs/2009-280#cast2-hlava6-dil3</w:t>
      </w:r>
    </w:p>
  </w:footnote>
  <w:footnote w:id="138">
    <w:p>
      <w:pPr>
        <w:pStyle w:val="FootnoteText"/>
      </w:pPr>
      <w:r>
        <w:rPr>
          <w:rStyle w:val="FootnoteReference"/>
        </w:rPr>
        <w:footnoteRef/>
      </w:r>
      <w:r>
        <w:t xml:space="preserve"> </w:t>
      </w:r>
      <w:r>
        <w:t xml:space="preserve">https://www.zakonyprolidi.cz/cs/2009-280#cast2-hlava7</w:t>
      </w:r>
    </w:p>
  </w:footnote>
  <w:footnote w:id="144">
    <w:p>
      <w:pPr>
        <w:pStyle w:val="FootnoteText"/>
      </w:pPr>
      <w:r>
        <w:rPr>
          <w:rStyle w:val="FootnoteReference"/>
        </w:rPr>
        <w:footnoteRef/>
      </w:r>
      <w:r>
        <w:t xml:space="preserve"> </w:t>
      </w:r>
      <w:r>
        <w:t xml:space="preserve">https://cs.wikipedia.org/wiki/Opravn%C3%BD_prost%C5%99edek</w:t>
      </w:r>
    </w:p>
  </w:footnote>
  <w:footnote w:id="149">
    <w:p>
      <w:pPr>
        <w:pStyle w:val="FootnoteText"/>
      </w:pPr>
      <w:r>
        <w:rPr>
          <w:rStyle w:val="FootnoteReference"/>
        </w:rPr>
        <w:footnoteRef/>
      </w:r>
      <w:r>
        <w:t xml:space="preserve"> </w:t>
      </w:r>
      <w:r>
        <w:t xml:space="preserve">https://cs.wikipedia.org/wiki/Spr%C3%A1vn%C3%AD_soudnictv%C3%AD</w:t>
      </w:r>
    </w:p>
  </w:footnote>
  <w:footnote w:id="156">
    <w:p>
      <w:pPr>
        <w:pStyle w:val="FootnoteText"/>
      </w:pPr>
      <w:r>
        <w:rPr>
          <w:rStyle w:val="FootnoteReference"/>
        </w:rPr>
        <w:footnoteRef/>
      </w:r>
      <w:r>
        <w:t xml:space="preserve"> </w:t>
      </w:r>
      <w:r>
        <w:t xml:space="preserve">https://is.muni.cz/www/6685/Danove_pravo_v_judikature_Ustavniho_soudu_CR4-nekorigovano-hruby-draft.pdf</w:t>
      </w:r>
    </w:p>
  </w:footnote>
  <w:footnote w:id="157">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dc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e524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c936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24654b7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2723ab5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71456b4b"/>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328c232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8fd019b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535b5c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82e30f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37121f3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bff3b2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52a559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73a86ff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24a5cc6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8f01d34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7">
    <w:nsid w:val="44bf8f3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612">
    <w:nsid w:val="f1158060"/>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d5abc493"/>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431">
    <w:nsid w:val="e89458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f203aa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5f14e13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37f8161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3eabd0b"/>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8983685b"/>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159b972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8f176ca3"/>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5722b50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5314243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1095e33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d0193f51"/>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c079d192"/>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4f649bf7"/>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5a406dbe"/>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29b2e052"/>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f8475b8d"/>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fc91afe8"/>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1"/>
  </w:num>
  <w:num w:numId="1096">
    <w:abstractNumId w:val="991"/>
  </w:num>
  <w:num w:numId="1097">
    <w:abstractNumId w:val="991"/>
  </w:num>
  <w:num w:numId="109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0">
    <w:abstractNumId w:val="991"/>
  </w:num>
  <w:num w:numId="1101">
    <w:abstractNumId w:val="991"/>
  </w:num>
  <w:num w:numId="11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11">
    <w:abstractNumId w:val="991"/>
  </w:num>
  <w:num w:numId="1112">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5">
    <w:abstractNumId w:val="991"/>
  </w:num>
  <w:num w:numId="1126">
    <w:abstractNumId w:val="991"/>
  </w:num>
  <w:num w:numId="1127">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8">
    <w:abstractNumId w:val="991"/>
  </w:num>
  <w:num w:numId="1129">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2">
    <w:abstractNumId w:val="991"/>
  </w:num>
  <w:num w:numId="1143">
    <w:abstractNumId w:val="991"/>
  </w:num>
  <w:num w:numId="1144">
    <w:abstractNumId w:val="991"/>
  </w:num>
  <w:num w:numId="11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6">
    <w:abstractNumId w:val="991"/>
  </w:num>
  <w:num w:numId="1177">
    <w:abstractNumId w:val="991"/>
  </w:num>
  <w:num w:numId="1178">
    <w:abstractNumId w:val="991"/>
  </w:num>
  <w:num w:numId="11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8">
    <w:abstractNumId w:val="991"/>
  </w:num>
  <w:num w:numId="1199">
    <w:abstractNumId w:val="991"/>
  </w:num>
  <w:num w:numId="1200">
    <w:abstractNumId w:val="991"/>
  </w:num>
  <w:num w:numId="1201">
    <w:abstractNumId w:val="991"/>
  </w:num>
  <w:num w:numId="12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3">
    <w:abstractNumId w:val="991"/>
  </w:num>
  <w:num w:numId="12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5">
    <w:abstractNumId w:val="991"/>
  </w:num>
  <w:num w:numId="1206">
    <w:abstractNumId w:val="991"/>
  </w:num>
  <w:num w:numId="12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0">
    <w:abstractNumId w:val="991"/>
  </w:num>
  <w:num w:numId="12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2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2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29">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3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2">
    <w:abstractNumId w:val="991"/>
  </w:num>
  <w:num w:numId="1243">
    <w:abstractNumId w:val="991"/>
  </w:num>
  <w:num w:numId="12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8">
    <w:abstractNumId w:val="991"/>
  </w:num>
  <w:num w:numId="1249">
    <w:abstractNumId w:val="991"/>
  </w:num>
  <w:num w:numId="1250">
    <w:abstractNumId w:val="991"/>
  </w:num>
  <w:num w:numId="12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5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7">
    <w:abstractNumId w:val="991"/>
  </w:num>
  <w:num w:numId="12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2">
    <w:abstractNumId w:val="991"/>
  </w:num>
  <w:num w:numId="1263">
    <w:abstractNumId w:val="991"/>
  </w:num>
  <w:num w:numId="1264">
    <w:abstractNumId w:val="991"/>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4">
    <w:abstractNumId w:val="991"/>
  </w:num>
  <w:num w:numId="12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1"/>
  </w:num>
  <w:num w:numId="13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4">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15">
    <w:abstractNumId w:val="991"/>
  </w:num>
  <w:num w:numId="1316">
    <w:abstractNumId w:val="991"/>
  </w:num>
  <w:num w:numId="13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2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2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24">
    <w:abstractNumId w:val="991"/>
  </w:num>
  <w:num w:numId="13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30">
    <w:abstractNumId w:val="991"/>
  </w:num>
  <w:num w:numId="1331">
    <w:abstractNumId w:val="991"/>
  </w:num>
  <w:num w:numId="1332">
    <w:abstractNumId w:val="991"/>
  </w:num>
  <w:num w:numId="1333">
    <w:abstractNumId w:val="991"/>
  </w:num>
  <w:num w:numId="13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6">
    <w:abstractNumId w:val="991"/>
  </w:num>
  <w:num w:numId="13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4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1">
    <w:abstractNumId w:val="991"/>
  </w:num>
  <w:num w:numId="1342">
    <w:abstractNumId w:val="991"/>
  </w:num>
  <w:num w:numId="1343">
    <w:abstractNumId w:val="991"/>
  </w:num>
  <w:num w:numId="134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5">
    <w:abstractNumId w:val="991"/>
  </w:num>
  <w:num w:numId="134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7">
    <w:abstractNumId w:val="991"/>
  </w:num>
  <w:num w:numId="134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9">
    <w:abstractNumId w:val="991"/>
  </w:num>
  <w:num w:numId="135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6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6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6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8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8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86">
    <w:abstractNumId w:val="991"/>
  </w:num>
  <w:num w:numId="1387">
    <w:abstractNumId w:val="991"/>
  </w:num>
  <w:num w:numId="13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2">
    <w:abstractNumId w:val="991"/>
  </w:num>
  <w:num w:numId="1403">
    <w:abstractNumId w:val="991"/>
  </w:num>
  <w:num w:numId="14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07">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08">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09">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10">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11">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412">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3">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3">
    <w:abstractNumId w:val="991"/>
  </w:num>
  <w:num w:numId="142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5">
    <w:abstractNumId w:val="991"/>
  </w:num>
  <w:num w:numId="14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7">
    <w:abstractNumId w:val="991"/>
  </w:num>
  <w:num w:numId="142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29">
    <w:abstractNumId w:val="991"/>
  </w:num>
  <w:num w:numId="14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1">
    <w:abstractNumId w:val="991"/>
  </w:num>
  <w:num w:numId="14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2">
    <w:abstractNumId w:val="991"/>
  </w:num>
  <w:num w:numId="14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5">
    <w:abstractNumId w:val="991"/>
  </w:num>
  <w:num w:numId="144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4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4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9">
    <w:abstractNumId w:val="991"/>
  </w:num>
  <w:num w:numId="1450">
    <w:abstractNumId w:val="991"/>
  </w:num>
  <w:num w:numId="14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3">
    <w:abstractNumId w:val="991"/>
  </w:num>
  <w:num w:numId="14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5">
    <w:abstractNumId w:val="991"/>
  </w:num>
  <w:num w:numId="14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7">
    <w:abstractNumId w:val="991"/>
  </w:num>
  <w:num w:numId="145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7">
    <w:abstractNumId w:val="991"/>
  </w:num>
  <w:num w:numId="146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9">
    <w:abstractNumId w:val="991"/>
  </w:num>
  <w:num w:numId="1470">
    <w:abstractNumId w:val="991"/>
  </w:num>
  <w:num w:numId="147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7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7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75">
    <w:abstractNumId w:val="991"/>
  </w:num>
  <w:num w:numId="1476">
    <w:abstractNumId w:val="991"/>
  </w:num>
  <w:num w:numId="1477">
    <w:abstractNumId w:val="991"/>
  </w:num>
  <w:num w:numId="14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8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82">
    <w:abstractNumId w:val="991"/>
  </w:num>
  <w:num w:numId="1483">
    <w:abstractNumId w:val="991"/>
  </w:num>
  <w:num w:numId="1484">
    <w:abstractNumId w:val="991"/>
  </w:num>
  <w:num w:numId="148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95">
    <w:abstractNumId w:val="991"/>
  </w:num>
  <w:num w:numId="14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9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2022-05-09T21:10:08Z</dcterms:created>
  <dcterms:modified xsi:type="dcterms:W3CDTF">2022-05-09T21:10:08Z</dcterms:modified>
</cp:coreProperties>
</file>