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FirstParagraph"/>
      </w:pPr>
      <w:r>
        <w:t xml:space="preserve">TBD</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FirstParagraph"/>
      </w:pPr>
      <w:r>
        <w:t xml:space="preserve">TBD</w:t>
      </w:r>
    </w:p>
    <w:p>
      <w:pPr>
        <w:pStyle w:val="Heading2"/>
      </w:pPr>
      <w:bookmarkStart w:id="92" w:name="mezinárodní-zdanění-pojem-charakteristika-dohody-o-zamezení-dvojímu-zdanění"/>
      <w:bookmarkEnd w:id="92"/>
      <w:r>
        <w:t xml:space="preserve">14. Mezinárodní zdanění – pojem, charakteristika; dohody o zamezení dvojímu zdanění</w:t>
      </w:r>
    </w:p>
    <w:p>
      <w:pPr>
        <w:pStyle w:val="FirstParagraph"/>
      </w:pPr>
      <w:r>
        <w:t xml:space="preserve">TBD</w:t>
      </w:r>
    </w:p>
    <w:p>
      <w:pPr>
        <w:pStyle w:val="Heading2"/>
      </w:pPr>
      <w:bookmarkStart w:id="93" w:name="spotřební-daně-majetkové-daně---základní-charakteristika"/>
      <w:bookmarkEnd w:id="93"/>
      <w:r>
        <w:t xml:space="preserve">16. Spotřební daně, majetkové daně - základní charakteristika</w:t>
      </w:r>
    </w:p>
    <w:p>
      <w:pPr>
        <w:pStyle w:val="Heading3"/>
      </w:pPr>
      <w:bookmarkStart w:id="94" w:name="spotřební-daně"/>
      <w:bookmarkEnd w:id="94"/>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95" w:name="rozdíl-mezi-spotřební-daní-a-dph"/>
      <w:bookmarkEnd w:id="95"/>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96" w:name="spotřební-daň-v-česku"/>
      <w:bookmarkEnd w:id="96"/>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97"/>
      </w:r>
      <w:r>
        <w:t xml:space="preserve">.</w:t>
      </w:r>
    </w:p>
    <w:p>
      <w:pPr>
        <w:pStyle w:val="BodyText"/>
      </w:pPr>
      <w:r>
        <w:t xml:space="preserve">Jednotlivými spotřebními daněmi dle zákona o spotřební dani jsou:</w:t>
      </w:r>
    </w:p>
    <w:p>
      <w:pPr>
        <w:pStyle w:val="Compact"/>
        <w:numPr>
          <w:numId w:val="1090"/>
          <w:ilvl w:val="1"/>
        </w:numPr>
      </w:pPr>
      <w:r>
        <w:t xml:space="preserve">daň z minerálních olejů,</w:t>
      </w:r>
    </w:p>
    <w:p>
      <w:pPr>
        <w:pStyle w:val="Compact"/>
        <w:numPr>
          <w:numId w:val="1091"/>
          <w:ilvl w:val="1"/>
        </w:numPr>
      </w:pPr>
      <w:r>
        <w:t xml:space="preserve">daň z lihu,</w:t>
      </w:r>
    </w:p>
    <w:p>
      <w:pPr>
        <w:pStyle w:val="Compact"/>
        <w:numPr>
          <w:numId w:val="1092"/>
          <w:ilvl w:val="1"/>
        </w:numPr>
      </w:pPr>
      <w:r>
        <w:t xml:space="preserve">daň z piva,</w:t>
      </w:r>
    </w:p>
    <w:p>
      <w:pPr>
        <w:pStyle w:val="Compact"/>
        <w:numPr>
          <w:numId w:val="1093"/>
          <w:ilvl w:val="1"/>
        </w:numPr>
      </w:pPr>
      <w:r>
        <w:t xml:space="preserve">daň z vína a meziproduktů,</w:t>
      </w:r>
    </w:p>
    <w:p>
      <w:pPr>
        <w:pStyle w:val="Compact"/>
        <w:numPr>
          <w:numId w:val="1094"/>
          <w:ilvl w:val="1"/>
        </w:numPr>
      </w:pPr>
      <w:r>
        <w:t xml:space="preserve">daň z tabákových výrobků,</w:t>
      </w:r>
    </w:p>
    <w:p>
      <w:pPr>
        <w:pStyle w:val="Compact"/>
        <w:numPr>
          <w:numId w:val="1095"/>
          <w:ilvl w:val="1"/>
        </w:numPr>
      </w:pPr>
      <w:r>
        <w:t xml:space="preserve">daň ze surového tabáku,</w:t>
      </w:r>
    </w:p>
    <w:p>
      <w:pPr>
        <w:pStyle w:val="Compact"/>
        <w:numPr>
          <w:numId w:val="1096"/>
          <w:ilvl w:val="1"/>
        </w:numPr>
      </w:pPr>
      <w:r>
        <w:t xml:space="preserve">daň ze zahřívaných tabákových výrobků,</w:t>
      </w:r>
    </w:p>
    <w:p>
      <w:pPr>
        <w:pStyle w:val="Compact"/>
        <w:numPr>
          <w:numId w:val="1097"/>
          <w:ilvl w:val="1"/>
        </w:numPr>
      </w:pPr>
      <w:r>
        <w:t xml:space="preserve">daň z elektřiny,</w:t>
      </w:r>
    </w:p>
    <w:p>
      <w:pPr>
        <w:pStyle w:val="Compact"/>
        <w:numPr>
          <w:numId w:val="1098"/>
          <w:ilvl w:val="1"/>
        </w:numPr>
      </w:pPr>
      <w:r>
        <w:t xml:space="preserve">daň z pevných paliv,</w:t>
      </w:r>
    </w:p>
    <w:p>
      <w:pPr>
        <w:pStyle w:val="Compact"/>
        <w:numPr>
          <w:numId w:val="1099"/>
          <w:ilvl w:val="1"/>
        </w:numPr>
      </w:pPr>
      <w:r>
        <w:t xml:space="preserve">daň ze zemního plynu a některých dalších plynů.</w:t>
      </w:r>
    </w:p>
    <w:p>
      <w:pPr>
        <w:pStyle w:val="FirstParagraph"/>
      </w:pPr>
      <w:r>
        <w:t xml:space="preserve">Od daně jsou osvobozeny</w:t>
      </w:r>
    </w:p>
    <w:p>
      <w:pPr>
        <w:pStyle w:val="Compact"/>
        <w:numPr>
          <w:numId w:val="1100"/>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00"/>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98" w:name="mechanismus-spotřební-daně"/>
      <w:bookmarkEnd w:id="98"/>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99" w:name="majetkové-daně"/>
      <w:bookmarkEnd w:id="99"/>
      <w:r>
        <w:t xml:space="preserve">Majetkové daně</w:t>
      </w:r>
    </w:p>
    <w:p>
      <w:pPr>
        <w:pStyle w:val="Heading2"/>
      </w:pPr>
      <w:bookmarkStart w:id="100" w:name="právo-eu-a-daně-jakých-daní-se-dotýká-jak-se-projevuje-přímý-a-nepřímý-účinek"/>
      <w:bookmarkEnd w:id="100"/>
      <w:r>
        <w:t xml:space="preserve">17. Právo EU a daně – jakých daní se dotýká, jak se projevuje; přímý a nepřímý účinek</w:t>
      </w:r>
    </w:p>
    <w:p>
      <w:pPr>
        <w:numPr>
          <w:numId w:val="1101"/>
          <w:ilvl w:val="0"/>
        </w:numPr>
      </w:pPr>
      <w:r>
        <w:t xml:space="preserve">DPH II – evropské a vnitrostátní právo a praktické dopady dvouúrovňového právního systému, eurokonformní výklad, přímý a nepřímý účinek evropského práva</w:t>
      </w:r>
    </w:p>
    <w:p>
      <w:pPr>
        <w:pStyle w:val="Compact"/>
        <w:numPr>
          <w:numId w:val="1101"/>
          <w:ilvl w:val="0"/>
        </w:numPr>
      </w:pPr>
      <w:r>
        <w:t xml:space="preserve">Evropské a vnitrostátní právo a praktické dopady dvouúrovňového právního systému</w:t>
      </w:r>
    </w:p>
    <w:p>
      <w:pPr>
        <w:numPr>
          <w:numId w:val="1101"/>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01"/>
          <w:ilvl w:val="0"/>
        </w:numPr>
      </w:pPr>
      <w:r>
        <w:t xml:space="preserve">Evropské a vnitrostátní právo a praktické dopady dvouúrovňového právního systému</w:t>
      </w:r>
    </w:p>
    <w:p>
      <w:pPr>
        <w:pStyle w:val="Compact"/>
        <w:numPr>
          <w:numId w:val="1101"/>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01"/>
          <w:ilvl w:val="0"/>
        </w:numPr>
      </w:pPr>
      <w:r>
        <w:t xml:space="preserve">V oblasti DPH to byla tzv. „Šestá směrnice“ 77/388/EHS ‐ byla nahrazena směrnicí 2004/112/ES ze dne 28. 11. 2006, o společném systému DPH (tzv „recast“).</w:t>
      </w:r>
    </w:p>
    <w:p>
      <w:pPr>
        <w:pStyle w:val="Compact"/>
        <w:numPr>
          <w:numId w:val="1101"/>
          <w:ilvl w:val="0"/>
        </w:numPr>
      </w:pPr>
      <w:r>
        <w:t xml:space="preserve">Vytyčeného cíle má být dosaženo přijetím příslušné národní právní normy ve lhůtě dané pro implementaci směrnice.</w:t>
      </w:r>
    </w:p>
    <w:p>
      <w:pPr>
        <w:numPr>
          <w:numId w:val="1101"/>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01"/>
          <w:ilvl w:val="0"/>
        </w:numPr>
      </w:pPr>
      <w:r>
        <w:t xml:space="preserve">DPH II – evropské a vnitrostátní právo a praktické dopady dvouúrovňového právního systému, eurokonformní výklad, přímý a nepřímý účinek evropského práva</w:t>
      </w:r>
    </w:p>
    <w:p>
      <w:pPr>
        <w:numPr>
          <w:numId w:val="1101"/>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numPr>
          <w:numId w:val="1101"/>
          <w:ilvl w:val="0"/>
        </w:numPr>
      </w:pPr>
      <w:r>
        <w:t xml:space="preserve">Přímý a nepřímý účinek evropského práva</w:t>
      </w:r>
      <w:r>
        <w:br w:type="textWrapping"/>
      </w:r>
      <w:r>
        <w:t xml:space="preserve">• Přímý účinek směrnice</w:t>
      </w:r>
      <w:r>
        <w:br w:type="textWrapping"/>
      </w:r>
      <w:r>
        <w:t xml:space="preserve">• Situace, která umožňuje i jednotlivci se dovolávat ‐ ve zdánlivém rozporu se standardním</w:t>
      </w:r>
      <w:r>
        <w:br w:type="textWrapping"/>
      </w:r>
      <w:r>
        <w:t xml:space="preserve">přístupem ke směrnicím ‐ příslušného ustanovení směrnice a dosáhnout přímé aplikace</w:t>
      </w:r>
      <w:r>
        <w:br w:type="textWrapping"/>
      </w:r>
      <w:r>
        <w:t xml:space="preserve">jejích ustanovení na daný případ při vyloučení rozporných norem národního práva.</w:t>
      </w:r>
      <w:r>
        <w:br w:type="textWrapping"/>
      </w:r>
      <w:r>
        <w:t xml:space="preserve">• Členský stát, který je vázán provést určitou směrnici, a tuto povinnost v dané lhůtě</w:t>
      </w:r>
      <w:r>
        <w:br w:type="textWrapping"/>
      </w:r>
      <w:r>
        <w:t xml:space="preserve">nesplní, nemůže mít z této okolnosti prospěch, a to zejména tehdy, kdy by tak omezoval</w:t>
      </w:r>
      <w:r>
        <w:br w:type="textWrapping"/>
      </w:r>
      <w:r>
        <w:t xml:space="preserve">subjektivní práva, která komunitární právo zakládá jednotlivci.</w:t>
      </w:r>
      <w:r>
        <w:br w:type="textWrapping"/>
      </w:r>
      <w:r>
        <w:t xml:space="preserve">• Z judikatury ESD je rovněž zřejmé, že příslušné ustanovení směrnice, aby mohlo být</w:t>
      </w:r>
      <w:r>
        <w:br w:type="textWrapping"/>
      </w:r>
      <w:r>
        <w:t xml:space="preserve">přímo aplikováno, musí být bezpodmínečné, dostatečně jasné a přesné.</w:t>
      </w:r>
    </w:p>
    <w:p>
      <w:pPr>
        <w:pStyle w:val="FirstParagraph"/>
      </w:pPr>
      <w:r>
        <w:t xml:space="preserve">Přímý a nepřímý účinek evropského práva</w:t>
      </w:r>
      <w:r>
        <w:br w:type="textWrapping"/>
      </w:r>
      <w:r>
        <w:t xml:space="preserve">• Přímý účinek směrnice – pokrač.:</w:t>
      </w:r>
      <w:r>
        <w:br w:type="textWrapping"/>
      </w:r>
      <w:r>
        <w:t xml:space="preserve">• přímého účinku směrnic se může dovolávat jednotlivec vůči</w:t>
      </w:r>
      <w:r>
        <w:br w:type="textWrapping"/>
      </w:r>
      <w:r>
        <w:t xml:space="preserve">členskému státu, nikoli naopak, protože aplikace přímého účinku je v</w:t>
      </w:r>
      <w:r>
        <w:br w:type="textWrapping"/>
      </w:r>
      <w:r>
        <w:t xml:space="preserve">podstatě proces, který nahrazuje nečinnost nebo nedostatečně</w:t>
      </w:r>
      <w:r>
        <w:br w:type="textWrapping"/>
      </w:r>
      <w:r>
        <w:t xml:space="preserve">kvalitní činnost členského státu při plnění jeho vlastních povinností.</w:t>
      </w:r>
    </w:p>
    <w:p>
      <w:pPr>
        <w:pStyle w:val="BodyText"/>
      </w:pPr>
      <w:r>
        <w:t xml:space="preserve">Přímý a nepřímý účinek evropského práva</w:t>
      </w:r>
      <w:r>
        <w:br w:type="textWrapping"/>
      </w:r>
      <w:r>
        <w:t xml:space="preserve">• Nepřímý účinek směrnice</w:t>
      </w:r>
      <w:r>
        <w:br w:type="textWrapping"/>
      </w:r>
      <w:r>
        <w:t xml:space="preserve">• Institut eurokonformního výkladu, na jehož základě je možno dle</w:t>
      </w:r>
      <w:r>
        <w:br w:type="textWrapping"/>
      </w:r>
      <w:r>
        <w:t xml:space="preserve">judikatury ESD dosáhnout vyšší účinnosti směrnic, pokud nebyly</w:t>
      </w:r>
      <w:r>
        <w:br w:type="textWrapping"/>
      </w:r>
      <w:r>
        <w:t xml:space="preserve">řádně transponovány do národního práva.</w:t>
      </w:r>
      <w:r>
        <w:br w:type="textWrapping"/>
      </w:r>
      <w:r>
        <w:t xml:space="preserve">• Členské státy jsou povinny zajistit řádnou a úplnou implementaci</w:t>
      </w:r>
      <w:r>
        <w:br w:type="textWrapping"/>
      </w:r>
      <w:r>
        <w:t xml:space="preserve">příslušné směrnice do svého národního právního řádu, tj. jsou</w:t>
      </w:r>
      <w:r>
        <w:br w:type="textWrapping"/>
      </w:r>
      <w:r>
        <w:t xml:space="preserve">povinny zajistit realizaci cíle sledovaného směrnicí.</w:t>
      </w:r>
    </w:p>
    <w:p>
      <w:pPr>
        <w:pStyle w:val="BodyText"/>
      </w:pPr>
      <w:r>
        <w:t xml:space="preserve">Přímý a nepřímý účinek evropského práva</w:t>
      </w:r>
      <w:r>
        <w:br w:type="textWrapping"/>
      </w:r>
      <w:r>
        <w:t xml:space="preserve">• Nepřímý účinek směrnice – pokrač.:</w:t>
      </w:r>
      <w:r>
        <w:br w:type="textWrapping"/>
      </w:r>
      <w:r>
        <w:t xml:space="preserve">• Národní právní norma, která byla přijata za účelem transpozice příslušné</w:t>
      </w:r>
      <w:r>
        <w:br w:type="textWrapping"/>
      </w:r>
      <w:r>
        <w:t xml:space="preserve">směrnice, musí být v maximální možné míře vykládána ve světle znění a účelu</w:t>
      </w:r>
      <w:r>
        <w:br w:type="textWrapping"/>
      </w:r>
      <w:r>
        <w:t xml:space="preserve">dotčené směrnice, tj. tak, aby bylo dosaženo cíle stanoveného směrnicí, a tak byla</w:t>
      </w:r>
      <w:r>
        <w:br w:type="textWrapping"/>
      </w:r>
      <w:r>
        <w:t xml:space="preserve">naplněna povinnost vyplývající ze Smlouvy o EU.</w:t>
      </w:r>
      <w:r>
        <w:br w:type="textWrapping"/>
      </w:r>
      <w:r>
        <w:t xml:space="preserve">• Výklad v této formě je v zásadě založen na fikci, že členský stát měl v úmyslu</w:t>
      </w:r>
      <w:r>
        <w:br w:type="textWrapping"/>
      </w:r>
      <w:r>
        <w:t xml:space="preserve">řádně splnit své povinnosti vyplývající ze Smlouvy o EU a eurokonformní řešení by</w:t>
      </w:r>
      <w:r>
        <w:br w:type="textWrapping"/>
      </w:r>
      <w:r>
        <w:t xml:space="preserve">se mělo uplatnit bez ohledu na jiné možnosti interpretace takové normy.</w:t>
      </w:r>
    </w:p>
    <w:p>
      <w:pPr>
        <w:pStyle w:val="BodyText"/>
      </w:pPr>
      <w:r>
        <w:t xml:space="preserve">Eurokonformní výklad</w:t>
      </w:r>
      <w:r>
        <w:br w:type="textWrapping"/>
      </w:r>
      <w:r>
        <w:t xml:space="preserve">• Je povinný nejen pro soudy, ale i pro správce daně a podobné orgány</w:t>
      </w:r>
      <w:r>
        <w:br w:type="textWrapping"/>
      </w:r>
      <w:r>
        <w:t xml:space="preserve">• Občan, podnikatel, daňový subjekt:</w:t>
      </w:r>
      <w:r>
        <w:br w:type="textWrapping"/>
      </w:r>
      <w:r>
        <w:t xml:space="preserve">a) bude se řídit tuzemskou právní úpravou</w:t>
      </w:r>
      <w:r>
        <w:br w:type="textWrapping"/>
      </w:r>
      <w:r>
        <w:t xml:space="preserve">b) bude trvat na aplikaci eurokonformního výkladu</w:t>
      </w:r>
    </w:p>
    <w:p>
      <w:pPr>
        <w:pStyle w:val="BodyText"/>
      </w:pPr>
      <w:r>
        <w:t xml:space="preserve">Eurokonformní výklad u soudu</w:t>
      </w:r>
      <w:r>
        <w:br w:type="textWrapping"/>
      </w:r>
      <w:r>
        <w:t xml:space="preserve">• a) národní soud je schopen aplikovat sám</w:t>
      </w:r>
      <w:r>
        <w:br w:type="textWrapping"/>
      </w:r>
      <w:r>
        <w:t xml:space="preserve">• b) položení předběžné otázky SDEU</w:t>
      </w:r>
      <w:r>
        <w:br w:type="textWrapping"/>
      </w:r>
      <w:r>
        <w:t xml:space="preserve">• U ESD (SDEU) se řeší nejrůznější oblasti (např. provozování hracích</w:t>
      </w:r>
      <w:r>
        <w:br w:type="textWrapping"/>
      </w:r>
      <w:r>
        <w:t xml:space="preserve">automatů x nájem prostoru pro automat, možnost být přítomen</w:t>
      </w:r>
      <w:r>
        <w:br w:type="textWrapping"/>
      </w:r>
      <w:r>
        <w:t xml:space="preserve">výslechu svědka v zahraničí, nárok na úrok v případě včasného</w:t>
      </w:r>
      <w:r>
        <w:br w:type="textWrapping"/>
      </w:r>
      <w:r>
        <w:t xml:space="preserve">nevrácení odpočtu DPH apod.)</w:t>
      </w:r>
    </w:p>
    <w:p>
      <w:pPr>
        <w:pStyle w:val="Heading2"/>
      </w:pPr>
      <w:bookmarkStart w:id="101" w:name="pojem-zneužití-práva-praktické-případy"/>
      <w:bookmarkEnd w:id="101"/>
      <w:r>
        <w:t xml:space="preserve">18. Pojem zneužití práva, praktické případy</w:t>
      </w:r>
    </w:p>
    <w:p>
      <w:pPr>
        <w:pStyle w:val="FirstParagraph"/>
      </w:pPr>
      <w:r>
        <w:t xml:space="preserve">Disimilace práva</w:t>
      </w:r>
    </w:p>
    <w:p>
      <w:pPr>
        <w:pStyle w:val="Heading2"/>
      </w:pPr>
      <w:bookmarkStart w:id="102" w:name="daňové-tvrzení-důkazní-břemeno-v-daňovém-řízení"/>
      <w:bookmarkEnd w:id="102"/>
      <w:r>
        <w:t xml:space="preserve">19. Daňové tvrzení, důkazní břemeno v daňovém řízení</w:t>
      </w:r>
    </w:p>
    <w:p>
      <w:pPr>
        <w:pStyle w:val="FirstParagraph"/>
      </w:pPr>
      <w:r>
        <w:t xml:space="preserve">§70 - §79</w:t>
      </w:r>
      <w:r>
        <w:br w:type="textWrapping"/>
      </w:r>
      <w:r>
        <w:t xml:space="preserve">§91 - §107</w:t>
      </w:r>
    </w:p>
    <w:p>
      <w:pPr>
        <w:pStyle w:val="Heading2"/>
      </w:pPr>
      <w:bookmarkStart w:id="103" w:name="daňová-kontrola-a-jiné-instituty-pro-zjišťování-a-prověřování-daňové-povinnosti"/>
      <w:bookmarkEnd w:id="103"/>
      <w:r>
        <w:t xml:space="preserve">20. Daňová kontrola a jiné instituty pro zjišťování a prověřování daňové povinnosti</w:t>
      </w:r>
    </w:p>
    <w:p>
      <w:pPr>
        <w:pStyle w:val="FirstParagraph"/>
      </w:pPr>
      <w:r>
        <w:t xml:space="preserve">Místní šetření (§ 80-84 DŘ)</w:t>
      </w:r>
      <w:r>
        <w:br w:type="textWrapping"/>
      </w:r>
      <w:r>
        <w:t xml:space="preserve">Daňová kontrola (§ 85-88a DŘ)</w:t>
      </w:r>
      <w:r>
        <w:br w:type="textWrapping"/>
      </w:r>
      <w:r>
        <w:t xml:space="preserve">Postup k odstranění pochybností (§ 89-90 DŘ)</w:t>
      </w:r>
    </w:p>
    <w:p>
      <w:pPr>
        <w:pStyle w:val="Heading2"/>
      </w:pPr>
      <w:bookmarkStart w:id="104" w:name="dokazování-v-daňovém-řízení"/>
      <w:bookmarkEnd w:id="104"/>
      <w:r>
        <w:t xml:space="preserve">21. Dokazování v daňovém řízení</w:t>
      </w:r>
    </w:p>
    <w:p>
      <w:pPr>
        <w:pStyle w:val="Heading3"/>
      </w:pPr>
      <w:bookmarkStart w:id="105" w:name="obsah"/>
      <w:bookmarkEnd w:id="105"/>
      <w:r>
        <w:t xml:space="preserve">Obsah</w:t>
      </w:r>
    </w:p>
    <w:p>
      <w:pPr>
        <w:pStyle w:val="Compact"/>
        <w:numPr>
          <w:numId w:val="1102"/>
          <w:ilvl w:val="0"/>
        </w:numPr>
      </w:pPr>
      <w:r>
        <w:t xml:space="preserve">Procesní otázky:</w:t>
      </w:r>
    </w:p>
    <w:p>
      <w:pPr>
        <w:pStyle w:val="Compact"/>
        <w:numPr>
          <w:numId w:val="1102"/>
          <w:ilvl w:val="0"/>
        </w:numPr>
      </w:pPr>
      <w:r>
        <w:t xml:space="preserve">Důkazní břemeno</w:t>
      </w:r>
    </w:p>
    <w:p>
      <w:pPr>
        <w:pStyle w:val="Compact"/>
        <w:numPr>
          <w:numId w:val="1102"/>
          <w:ilvl w:val="0"/>
        </w:numPr>
      </w:pPr>
      <w:r>
        <w:t xml:space="preserve">Dokazování</w:t>
      </w:r>
    </w:p>
    <w:p>
      <w:pPr>
        <w:pStyle w:val="Compact"/>
        <w:numPr>
          <w:numId w:val="1102"/>
          <w:ilvl w:val="0"/>
        </w:numPr>
      </w:pPr>
      <w:r>
        <w:t xml:space="preserve">Stanovení daně podle pomůcek</w:t>
      </w:r>
    </w:p>
    <w:p>
      <w:pPr>
        <w:pStyle w:val="Compact"/>
        <w:numPr>
          <w:numId w:val="1102"/>
          <w:ilvl w:val="0"/>
        </w:numPr>
      </w:pPr>
      <w:r>
        <w:t xml:space="preserve">Dokazování ve vybraných případech (reklama, zprostředkování, manažerské služby)</w:t>
      </w:r>
    </w:p>
    <w:p>
      <w:pPr>
        <w:pStyle w:val="Compact"/>
        <w:numPr>
          <w:numId w:val="1102"/>
          <w:ilvl w:val="0"/>
        </w:numPr>
      </w:pPr>
      <w:r>
        <w:t xml:space="preserve">Judikatura soudů a její význam pro daňovou praxi</w:t>
      </w:r>
    </w:p>
    <w:p>
      <w:pPr>
        <w:pStyle w:val="Heading3"/>
      </w:pPr>
      <w:bookmarkStart w:id="106" w:name="dokazování"/>
      <w:bookmarkEnd w:id="106"/>
      <w:r>
        <w:t xml:space="preserve">Dokazování</w:t>
      </w:r>
    </w:p>
    <w:p>
      <w:pPr>
        <w:pStyle w:val="Compact"/>
        <w:numPr>
          <w:numId w:val="1103"/>
          <w:ilvl w:val="0"/>
        </w:numPr>
      </w:pPr>
      <w:r>
        <w:t xml:space="preserve">Dokazování I.</w:t>
      </w:r>
    </w:p>
    <w:p>
      <w:pPr>
        <w:pStyle w:val="Compact"/>
        <w:numPr>
          <w:numId w:val="1103"/>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103"/>
          <w:ilvl w:val="0"/>
        </w:numPr>
      </w:pPr>
      <w:r>
        <w:t xml:space="preserve">Správce daně dbá, aby skutečnosti rozhodné pro správné zjištění a stanovení daně byly zjištěny co nejúplněji, a není v tom vázán jen návrhy daňových subjektů.</w:t>
      </w:r>
    </w:p>
    <w:p>
      <w:pPr>
        <w:numPr>
          <w:numId w:val="1103"/>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103"/>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103"/>
          <w:ilvl w:val="0"/>
        </w:numPr>
      </w:pPr>
      <w:r>
        <w:t xml:space="preserve">Správce daně prokazuje</w:t>
      </w:r>
    </w:p>
    <w:p>
      <w:pPr>
        <w:pStyle w:val="Compact"/>
        <w:numPr>
          <w:numId w:val="1104"/>
          <w:ilvl w:val="1"/>
        </w:numPr>
      </w:pPr>
      <w:r>
        <w:t xml:space="preserve">oznámení vlastních písemností,</w:t>
      </w:r>
    </w:p>
    <w:p>
      <w:pPr>
        <w:pStyle w:val="Compact"/>
        <w:numPr>
          <w:numId w:val="1105"/>
          <w:ilvl w:val="1"/>
        </w:numPr>
      </w:pPr>
      <w:r>
        <w:t xml:space="preserve">skutečnosti rozhodné pro užití právní domněnky nebo právní fikce,</w:t>
      </w:r>
    </w:p>
    <w:p>
      <w:pPr>
        <w:pStyle w:val="Compact"/>
        <w:numPr>
          <w:numId w:val="1106"/>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107"/>
          <w:ilvl w:val="1"/>
        </w:numPr>
      </w:pPr>
      <w:r>
        <w:t xml:space="preserve">skutečnosti rozhodné pro posouzení skutečného obsahu právního úkonu nebo jiné skutečnosti (v ZSDP nebylo),</w:t>
      </w:r>
    </w:p>
    <w:p>
      <w:pPr>
        <w:pStyle w:val="Compact"/>
        <w:numPr>
          <w:numId w:val="1108"/>
          <w:ilvl w:val="1"/>
        </w:numPr>
      </w:pPr>
      <w:r>
        <w:t xml:space="preserve">skutečnosti rozhodné pro uplatnění následku za porušení povinnosti při správě daní.</w:t>
      </w:r>
    </w:p>
    <w:p>
      <w:pPr>
        <w:pStyle w:val="Compact"/>
        <w:numPr>
          <w:numId w:val="1109"/>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110"/>
          <w:ilvl w:val="1"/>
        </w:numPr>
      </w:pPr>
      <w:r>
        <w:t xml:space="preserve">zneužití práva</w:t>
      </w:r>
    </w:p>
    <w:p>
      <w:pPr>
        <w:pStyle w:val="Compact"/>
        <w:numPr>
          <w:numId w:val="1103"/>
          <w:ilvl w:val="0"/>
        </w:numPr>
      </w:pPr>
      <w:r>
        <w:t xml:space="preserve">Dokazování II.</w:t>
      </w:r>
    </w:p>
    <w:p>
      <w:pPr>
        <w:pStyle w:val="Compact"/>
        <w:numPr>
          <w:numId w:val="1103"/>
          <w:ilvl w:val="0"/>
        </w:numPr>
      </w:pPr>
      <w:r>
        <w:t xml:space="preserve">DS x SD</w:t>
      </w:r>
    </w:p>
    <w:p>
      <w:pPr>
        <w:pStyle w:val="Compact"/>
        <w:numPr>
          <w:numId w:val="1112"/>
          <w:ilvl w:val="2"/>
        </w:numPr>
      </w:pPr>
      <w:r>
        <w:t xml:space="preserve">Povinnost DS k tvrzení (např. podat DP)</w:t>
      </w:r>
    </w:p>
    <w:p>
      <w:pPr>
        <w:pStyle w:val="Compact"/>
        <w:numPr>
          <w:numId w:val="1113"/>
          <w:ilvl w:val="2"/>
        </w:numPr>
      </w:pPr>
      <w:r>
        <w:t xml:space="preserve">Výzva SD k prokázání</w:t>
      </w:r>
    </w:p>
    <w:p>
      <w:pPr>
        <w:pStyle w:val="Compact"/>
        <w:numPr>
          <w:numId w:val="1114"/>
          <w:ilvl w:val="2"/>
        </w:numPr>
      </w:pPr>
      <w:r>
        <w:t xml:space="preserve">Povinnost DS důkazní (doložit tvrzení)</w:t>
      </w:r>
    </w:p>
    <w:p>
      <w:pPr>
        <w:pStyle w:val="Compact"/>
        <w:numPr>
          <w:numId w:val="1115"/>
          <w:ilvl w:val="2"/>
        </w:numPr>
      </w:pPr>
      <w:r>
        <w:t xml:space="preserve">Povinnost SD prokázat, proč má pochybnosti</w:t>
      </w:r>
    </w:p>
    <w:p>
      <w:pPr>
        <w:pStyle w:val="Compact"/>
        <w:numPr>
          <w:numId w:val="1116"/>
          <w:ilvl w:val="2"/>
        </w:numPr>
      </w:pPr>
      <w:r>
        <w:t xml:space="preserve">Povinnost DS pochybnosti vyvrátit</w:t>
      </w:r>
    </w:p>
    <w:p>
      <w:pPr>
        <w:pStyle w:val="Compact"/>
        <w:numPr>
          <w:numId w:val="1103"/>
          <w:ilvl w:val="0"/>
        </w:numPr>
      </w:pPr>
      <w:r>
        <w:t xml:space="preserve">Dokazování III.</w:t>
      </w:r>
    </w:p>
    <w:p>
      <w:pPr>
        <w:numPr>
          <w:numId w:val="1103"/>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103"/>
          <w:ilvl w:val="0"/>
        </w:numPr>
      </w:pPr>
      <w:r>
        <w:t xml:space="preserve">Dokazování IV. důkazní prostředky</w:t>
      </w:r>
    </w:p>
    <w:p>
      <w:pPr>
        <w:pStyle w:val="Compact"/>
        <w:numPr>
          <w:numId w:val="1103"/>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103"/>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103"/>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103"/>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103"/>
          <w:ilvl w:val="0"/>
        </w:numPr>
      </w:pPr>
      <w:r>
        <w:t xml:space="preserve">Dokazování V.</w:t>
      </w:r>
    </w:p>
    <w:p>
      <w:pPr>
        <w:pStyle w:val="Compact"/>
        <w:numPr>
          <w:numId w:val="1103"/>
          <w:ilvl w:val="0"/>
        </w:numPr>
      </w:pPr>
      <w:r>
        <w:t xml:space="preserve">§ 8 odst. 3 DŘ</w:t>
      </w:r>
    </w:p>
    <w:p>
      <w:pPr>
        <w:pStyle w:val="Compact"/>
        <w:numPr>
          <w:numId w:val="1117"/>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103"/>
          <w:ilvl w:val="0"/>
        </w:numPr>
      </w:pPr>
      <w:r>
        <w:t xml:space="preserve">srovnej s:</w:t>
      </w:r>
    </w:p>
    <w:p>
      <w:pPr>
        <w:pStyle w:val="Compact"/>
        <w:numPr>
          <w:numId w:val="1103"/>
          <w:ilvl w:val="0"/>
        </w:numPr>
      </w:pPr>
      <w:r>
        <w:t xml:space="preserve">§2 odst. 7 ZSDP x</w:t>
      </w:r>
    </w:p>
    <w:p>
      <w:pPr>
        <w:pStyle w:val="Compact"/>
        <w:numPr>
          <w:numId w:val="1118"/>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103"/>
          <w:ilvl w:val="0"/>
        </w:numPr>
      </w:pPr>
      <w:r>
        <w:t xml:space="preserve">(nutnost nové judikatury, též zneužití práva §8/4 DŘ)</w:t>
      </w:r>
    </w:p>
    <w:p>
      <w:pPr>
        <w:pStyle w:val="Compact"/>
        <w:numPr>
          <w:numId w:val="1103"/>
          <w:ilvl w:val="0"/>
        </w:numPr>
      </w:pPr>
      <w:r>
        <w:t xml:space="preserve">Dokazování VI.</w:t>
      </w:r>
    </w:p>
    <w:p>
      <w:pPr>
        <w:pStyle w:val="Compact"/>
        <w:numPr>
          <w:numId w:val="1103"/>
          <w:ilvl w:val="0"/>
        </w:numPr>
      </w:pPr>
      <w:r>
        <w:t xml:space="preserve">Hodnocení důkazních prostředků:</w:t>
      </w:r>
    </w:p>
    <w:p>
      <w:pPr>
        <w:pStyle w:val="Compact"/>
        <w:numPr>
          <w:numId w:val="1119"/>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103"/>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03"/>
          <w:ilvl w:val="0"/>
        </w:numPr>
      </w:pPr>
      <w:r>
        <w:t xml:space="preserve">Dokazování VII.</w:t>
      </w:r>
    </w:p>
    <w:p>
      <w:pPr>
        <w:pStyle w:val="Compact"/>
        <w:numPr>
          <w:numId w:val="1103"/>
          <w:ilvl w:val="0"/>
        </w:numPr>
      </w:pPr>
      <w:r>
        <w:t xml:space="preserve">Neunesení důkazního břemene:</w:t>
      </w:r>
    </w:p>
    <w:p>
      <w:pPr>
        <w:numPr>
          <w:numId w:val="1103"/>
          <w:ilvl w:val="0"/>
        </w:numPr>
      </w:pPr>
      <w:r>
        <w:t xml:space="preserve">možnost pomůcek</w:t>
      </w:r>
    </w:p>
    <w:p>
      <w:pPr>
        <w:pStyle w:val="Compact"/>
        <w:numPr>
          <w:numId w:val="1103"/>
          <w:ilvl w:val="0"/>
        </w:numPr>
      </w:pPr>
      <w:r>
        <w:t xml:space="preserve">Nahlížení do spisu</w:t>
      </w:r>
    </w:p>
    <w:p>
      <w:pPr>
        <w:pStyle w:val="Compact"/>
        <w:numPr>
          <w:numId w:val="1103"/>
          <w:ilvl w:val="0"/>
        </w:numPr>
      </w:pPr>
      <w:r>
        <w:t xml:space="preserve">Veřejná a „tajná“ vyhledávací část spisu</w:t>
      </w:r>
    </w:p>
    <w:p>
      <w:pPr>
        <w:numPr>
          <w:numId w:val="1103"/>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103"/>
          <w:ilvl w:val="0"/>
        </w:numPr>
      </w:pPr>
      <w:r>
        <w:t xml:space="preserve">Nahlížení do spisu II.</w:t>
      </w:r>
    </w:p>
    <w:p>
      <w:pPr>
        <w:pStyle w:val="Compact"/>
        <w:numPr>
          <w:numId w:val="1103"/>
          <w:ilvl w:val="0"/>
        </w:numPr>
      </w:pPr>
      <w:r>
        <w:t xml:space="preserve">Obrana pro neumožnění nahlédnutí - sporná:</w:t>
      </w:r>
    </w:p>
    <w:p>
      <w:pPr>
        <w:pStyle w:val="Compact"/>
        <w:numPr>
          <w:numId w:val="1103"/>
          <w:ilvl w:val="0"/>
        </w:numPr>
      </w:pPr>
      <w:r>
        <w:t xml:space="preserve">Stížnost § 261 DŘ</w:t>
      </w:r>
    </w:p>
    <w:p>
      <w:pPr>
        <w:pStyle w:val="Compact"/>
        <w:numPr>
          <w:numId w:val="1103"/>
          <w:ilvl w:val="0"/>
        </w:numPr>
      </w:pPr>
      <w:r>
        <w:t xml:space="preserve">Odvolání § 101 DŘ</w:t>
      </w:r>
    </w:p>
    <w:p>
      <w:pPr>
        <w:numPr>
          <w:numId w:val="1103"/>
          <w:ilvl w:val="0"/>
        </w:numPr>
      </w:pPr>
      <w:r>
        <w:t xml:space="preserve">Soudní obrana</w:t>
      </w:r>
    </w:p>
    <w:p>
      <w:pPr>
        <w:pStyle w:val="Compact"/>
        <w:numPr>
          <w:numId w:val="1103"/>
          <w:ilvl w:val="0"/>
        </w:numPr>
      </w:pPr>
      <w:r>
        <w:t xml:space="preserve">Svědci</w:t>
      </w:r>
    </w:p>
    <w:p>
      <w:pPr>
        <w:pStyle w:val="Compact"/>
        <w:numPr>
          <w:numId w:val="1103"/>
          <w:ilvl w:val="0"/>
        </w:numPr>
      </w:pPr>
      <w:r>
        <w:t xml:space="preserve">nutnost vyrozumění DS a umožnění účasti na ní,</w:t>
      </w:r>
    </w:p>
    <w:p>
      <w:pPr>
        <w:pStyle w:val="Compact"/>
        <w:numPr>
          <w:numId w:val="1103"/>
          <w:ilvl w:val="0"/>
        </w:numPr>
      </w:pPr>
      <w:r>
        <w:t xml:space="preserve">označení svědka a věci, ve které bude vypovídat,</w:t>
      </w:r>
    </w:p>
    <w:p>
      <w:pPr>
        <w:numPr>
          <w:numId w:val="1103"/>
          <w:ilvl w:val="0"/>
        </w:numPr>
      </w:pPr>
      <w:r>
        <w:t xml:space="preserve">vyrozumění není nutné, pokud hrozí nebezpečí z prodlení nebo zmaření účelu výpovědi</w:t>
      </w:r>
    </w:p>
    <w:p>
      <w:pPr>
        <w:pStyle w:val="Compact"/>
        <w:numPr>
          <w:numId w:val="1103"/>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103"/>
          <w:ilvl w:val="0"/>
        </w:numPr>
      </w:pPr>
      <w:r>
        <w:t xml:space="preserve">Výpověď může odepřít ten, kdo by tím způsobil nebezpečí trestního stíhání sobě nebo osobám mu blízkým.</w:t>
      </w:r>
    </w:p>
    <w:p>
      <w:pPr>
        <w:numPr>
          <w:numId w:val="1103"/>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103"/>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103"/>
          <w:ilvl w:val="0"/>
        </w:numPr>
      </w:pPr>
      <w:r>
        <w:t xml:space="preserve">Svědek má nárok na náhradu nákladů.</w:t>
      </w:r>
    </w:p>
    <w:p>
      <w:pPr>
        <w:pStyle w:val="Compact"/>
        <w:numPr>
          <w:numId w:val="1103"/>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103"/>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07" w:name="pomůcky"/>
      <w:bookmarkEnd w:id="107"/>
      <w:r>
        <w:t xml:space="preserve">Pomůcky</w:t>
      </w:r>
    </w:p>
    <w:p>
      <w:pPr>
        <w:pStyle w:val="Compact"/>
        <w:numPr>
          <w:numId w:val="1120"/>
          <w:ilvl w:val="0"/>
        </w:numPr>
      </w:pPr>
      <w:r>
        <w:t xml:space="preserve">Pomůcky – kdy se použijí?</w:t>
      </w:r>
    </w:p>
    <w:p>
      <w:pPr>
        <w:pStyle w:val="Compact"/>
        <w:numPr>
          <w:numId w:val="1120"/>
          <w:ilvl w:val="0"/>
        </w:numPr>
      </w:pPr>
      <w:r>
        <w:t xml:space="preserve">§ 87 – Nevyhovění výzvě SD k zahájení kontroly (Daňová kontrola, Daňová kontrola a Postup k odstranění pochybností jsou dva druhy Kontrolních postupů)</w:t>
      </w:r>
      <w:r>
        <w:rPr>
          <w:rStyle w:val="FootnoteReference"/>
        </w:rPr>
        <w:footnoteReference w:id="108"/>
      </w:r>
    </w:p>
    <w:p>
      <w:pPr>
        <w:pStyle w:val="Compact"/>
        <w:numPr>
          <w:numId w:val="1120"/>
          <w:ilvl w:val="0"/>
        </w:numPr>
      </w:pPr>
      <w:r>
        <w:t xml:space="preserve">§ 90 - Neposkytnutí součinnosti u POP (Postup k odstranění pochybností)</w:t>
      </w:r>
    </w:p>
    <w:p>
      <w:pPr>
        <w:pStyle w:val="Compact"/>
        <w:numPr>
          <w:numId w:val="1120"/>
          <w:ilvl w:val="0"/>
        </w:numPr>
      </w:pPr>
      <w:r>
        <w:t xml:space="preserve">§ 98 – Nemožnost stanovit daň dokazováním</w:t>
      </w:r>
    </w:p>
    <w:p>
      <w:pPr>
        <w:pStyle w:val="Compact"/>
        <w:numPr>
          <w:numId w:val="1120"/>
          <w:ilvl w:val="0"/>
        </w:numPr>
      </w:pPr>
      <w:r>
        <w:t xml:space="preserve">§ 145 – Nepodání DP nebo dodateč. DP ani po výzvě SD</w:t>
      </w:r>
    </w:p>
    <w:p>
      <w:pPr>
        <w:pStyle w:val="Compact"/>
        <w:numPr>
          <w:numId w:val="1120"/>
          <w:ilvl w:val="0"/>
        </w:numPr>
      </w:pPr>
      <w:r>
        <w:t xml:space="preserve">§ 167 – Zjištění výše zajišť. částky u zajišťovacího příkazu</w:t>
      </w:r>
    </w:p>
    <w:p>
      <w:pPr>
        <w:numPr>
          <w:numId w:val="1120"/>
          <w:ilvl w:val="0"/>
        </w:numPr>
      </w:pPr>
      <w:r>
        <w:t xml:space="preserve">§ 244 – Zjistí-li insolvenční správce, že nemá podklady</w:t>
      </w:r>
    </w:p>
    <w:p>
      <w:pPr>
        <w:pStyle w:val="Compact"/>
        <w:numPr>
          <w:numId w:val="1120"/>
          <w:ilvl w:val="0"/>
        </w:numPr>
      </w:pPr>
      <w:r>
        <w:t xml:space="preserve">Pomůcky - pravidla</w:t>
      </w:r>
    </w:p>
    <w:p>
      <w:pPr>
        <w:pStyle w:val="Compact"/>
        <w:numPr>
          <w:numId w:val="1120"/>
          <w:ilvl w:val="0"/>
        </w:numPr>
      </w:pPr>
      <w:r>
        <w:t xml:space="preserve">pomůcky správce daně buď má nebo si je obstará</w:t>
      </w:r>
    </w:p>
    <w:p>
      <w:pPr>
        <w:pStyle w:val="Compact"/>
        <w:numPr>
          <w:numId w:val="1120"/>
          <w:ilvl w:val="0"/>
        </w:numPr>
      </w:pPr>
      <w:r>
        <w:t xml:space="preserve">při použití pomůcek není nutná součinnost s DS</w:t>
      </w:r>
    </w:p>
    <w:p>
      <w:pPr>
        <w:pStyle w:val="Compact"/>
        <w:numPr>
          <w:numId w:val="1120"/>
          <w:ilvl w:val="0"/>
        </w:numPr>
      </w:pPr>
      <w:r>
        <w:t xml:space="preserve">uplatnění pomůcek se uvede ve výroku rozhodnutí</w:t>
      </w:r>
    </w:p>
    <w:p>
      <w:pPr>
        <w:numPr>
          <w:numId w:val="1120"/>
          <w:ilvl w:val="0"/>
        </w:numPr>
      </w:pPr>
      <w:r>
        <w:t xml:space="preserve">nutno přihlédnout k výhodám pro DS, i když jím nebyly uplatněny</w:t>
      </w:r>
    </w:p>
    <w:p>
      <w:pPr>
        <w:pStyle w:val="Compact"/>
        <w:numPr>
          <w:numId w:val="1120"/>
          <w:ilvl w:val="0"/>
        </w:numPr>
      </w:pPr>
      <w:r>
        <w:t xml:space="preserve">Pomůcky – podmnínky pro použití</w:t>
      </w:r>
    </w:p>
    <w:p>
      <w:pPr>
        <w:pStyle w:val="Compact"/>
        <w:numPr>
          <w:numId w:val="1120"/>
          <w:ilvl w:val="0"/>
        </w:numPr>
      </w:pPr>
      <w:r>
        <w:t xml:space="preserve">Stanovit daň za použití pomůcek lze za splnění dvou kumulativních podmínek:</w:t>
      </w:r>
    </w:p>
    <w:p>
      <w:pPr>
        <w:pStyle w:val="Compact"/>
        <w:numPr>
          <w:numId w:val="1121"/>
          <w:ilvl w:val="1"/>
        </w:numPr>
      </w:pPr>
      <w:r>
        <w:t xml:space="preserve">Daňový subjekt nesplní při dokazování některou ze svých zákonných povinností</w:t>
      </w:r>
    </w:p>
    <w:p>
      <w:pPr>
        <w:pStyle w:val="Compact"/>
        <w:numPr>
          <w:numId w:val="1122"/>
          <w:ilvl w:val="1"/>
        </w:numPr>
      </w:pPr>
      <w:r>
        <w:t xml:space="preserve">Současně není možno stanovit daňovou povinnost dokazováním.</w:t>
      </w:r>
    </w:p>
    <w:p>
      <w:pPr>
        <w:pStyle w:val="Compact"/>
        <w:numPr>
          <w:numId w:val="1120"/>
          <w:ilvl w:val="0"/>
        </w:numPr>
      </w:pPr>
      <w:r>
        <w:t xml:space="preserve">Pomůcky - výčet</w:t>
      </w:r>
    </w:p>
    <w:p>
      <w:pPr>
        <w:pStyle w:val="Compact"/>
        <w:numPr>
          <w:numId w:val="1120"/>
          <w:ilvl w:val="0"/>
        </w:numPr>
      </w:pPr>
      <w:r>
        <w:t xml:space="preserve">Co může být pomůckou?</w:t>
      </w:r>
    </w:p>
    <w:p>
      <w:pPr>
        <w:pStyle w:val="Compact"/>
        <w:numPr>
          <w:numId w:val="1124"/>
          <w:ilvl w:val="2"/>
        </w:numPr>
      </w:pPr>
      <w:r>
        <w:t xml:space="preserve">důkazní prostředky, které nebyly správcem daně zpochybněny,</w:t>
      </w:r>
    </w:p>
    <w:p>
      <w:pPr>
        <w:pStyle w:val="Compact"/>
        <w:numPr>
          <w:numId w:val="1125"/>
          <w:ilvl w:val="2"/>
        </w:numPr>
      </w:pPr>
      <w:r>
        <w:t xml:space="preserve">podaná vysvětlení,</w:t>
      </w:r>
    </w:p>
    <w:p>
      <w:pPr>
        <w:pStyle w:val="Compact"/>
        <w:numPr>
          <w:numId w:val="1126"/>
          <w:ilvl w:val="2"/>
        </w:numPr>
      </w:pPr>
      <w:r>
        <w:t xml:space="preserve">porovnání srovnatelných daňových subjektů a jejich daňových povinností,</w:t>
      </w:r>
    </w:p>
    <w:p>
      <w:pPr>
        <w:pStyle w:val="Compact"/>
        <w:numPr>
          <w:numId w:val="1127"/>
          <w:ilvl w:val="2"/>
        </w:numPr>
      </w:pPr>
      <w:r>
        <w:t xml:space="preserve">vlastní poznatky správce daně získané při správě daní.</w:t>
      </w:r>
    </w:p>
    <w:p>
      <w:pPr>
        <w:pStyle w:val="Compact"/>
        <w:numPr>
          <w:numId w:val="1120"/>
          <w:ilvl w:val="0"/>
        </w:numPr>
      </w:pPr>
      <w:r>
        <w:t xml:space="preserve">Pomůcky – kde je najdeme?</w:t>
      </w:r>
    </w:p>
    <w:p>
      <w:pPr>
        <w:pStyle w:val="Compact"/>
        <w:numPr>
          <w:numId w:val="1120"/>
          <w:ilvl w:val="0"/>
        </w:numPr>
      </w:pPr>
      <w:r>
        <w:t xml:space="preserve">Součástí vyhledávací části spisu jsou:</w:t>
      </w:r>
    </w:p>
    <w:p>
      <w:pPr>
        <w:numPr>
          <w:numId w:val="1120"/>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120"/>
          <w:ilvl w:val="0"/>
        </w:numPr>
      </w:pPr>
      <w:r>
        <w:t xml:space="preserve">Pomůcky – jejich zpřístupnění</w:t>
      </w:r>
    </w:p>
    <w:p>
      <w:pPr>
        <w:pStyle w:val="Compact"/>
        <w:numPr>
          <w:numId w:val="1120"/>
          <w:ilvl w:val="0"/>
        </w:numPr>
      </w:pPr>
      <w:r>
        <w:t xml:space="preserve">nevztahuje se na ně §65/2 o nutnosti je z vyhledávací části spisu ponechat nejdéle do provedení hodnocení důkazů</w:t>
      </w:r>
    </w:p>
    <w:p>
      <w:pPr>
        <w:numPr>
          <w:numId w:val="1120"/>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120"/>
          <w:ilvl w:val="0"/>
        </w:numPr>
      </w:pPr>
      <w:r>
        <w:t xml:space="preserve">Pomůcky - odvolání</w:t>
      </w:r>
    </w:p>
    <w:p>
      <w:pPr>
        <w:numPr>
          <w:numId w:val="1120"/>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120"/>
          <w:ilvl w:val="0"/>
        </w:numPr>
      </w:pPr>
      <w:r>
        <w:t xml:space="preserve">Pomůcky – sjednání daně</w:t>
      </w:r>
    </w:p>
    <w:p>
      <w:pPr>
        <w:pStyle w:val="Compact"/>
        <w:numPr>
          <w:numId w:val="1120"/>
          <w:ilvl w:val="0"/>
        </w:numPr>
      </w:pPr>
      <w:r>
        <w:t xml:space="preserve">Sjednání daně přichází v úvahu, jestiže:</w:t>
      </w:r>
    </w:p>
    <w:p>
      <w:pPr>
        <w:pStyle w:val="Compact"/>
        <w:numPr>
          <w:numId w:val="1128"/>
          <w:ilvl w:val="1"/>
        </w:numPr>
      </w:pPr>
      <w:r>
        <w:t xml:space="preserve">daň nelze stanovit dokazováním a zároveň</w:t>
      </w:r>
    </w:p>
    <w:p>
      <w:pPr>
        <w:pStyle w:val="Compact"/>
        <w:numPr>
          <w:numId w:val="1128"/>
          <w:ilvl w:val="1"/>
        </w:numPr>
      </w:pPr>
      <w:r>
        <w:t xml:space="preserve">daň nelze dostatečně spolehlivě stanovit ani podle pomůcek, které má správce daně k dispozici (ne tedy, které si opatří)</w:t>
      </w:r>
    </w:p>
    <w:p>
      <w:pPr>
        <w:pStyle w:val="Compact"/>
        <w:numPr>
          <w:numId w:val="1120"/>
          <w:ilvl w:val="0"/>
        </w:numPr>
      </w:pPr>
      <w:r>
        <w:t xml:space="preserve">Sjednání daně se zaprotokoluje</w:t>
      </w:r>
    </w:p>
    <w:p>
      <w:pPr>
        <w:pStyle w:val="Compact"/>
        <w:numPr>
          <w:numId w:val="1120"/>
          <w:ilvl w:val="0"/>
        </w:numPr>
      </w:pPr>
      <w:r>
        <w:t xml:space="preserve">výše sjednané daně se uvede v rozhodnutí, které má náležitosti rozhodnutí o stanovení daně a které je součástí tohoto protokolu;</w:t>
      </w:r>
    </w:p>
    <w:p>
      <w:pPr>
        <w:numPr>
          <w:numId w:val="1120"/>
          <w:ilvl w:val="0"/>
        </w:numPr>
      </w:pPr>
      <w:r>
        <w:t xml:space="preserve">proti tomuto rozhodnutí nelze uplatnit opravné prostředky.</w:t>
      </w:r>
    </w:p>
    <w:p>
      <w:pPr>
        <w:pStyle w:val="Compact"/>
        <w:numPr>
          <w:numId w:val="1120"/>
          <w:ilvl w:val="0"/>
        </w:numPr>
      </w:pPr>
      <w:r>
        <w:t xml:space="preserve">Pomůcky – možné směry obrany</w:t>
      </w:r>
    </w:p>
    <w:p>
      <w:pPr>
        <w:pStyle w:val="Compact"/>
        <w:numPr>
          <w:numId w:val="1120"/>
          <w:ilvl w:val="0"/>
        </w:numPr>
      </w:pPr>
      <w:r>
        <w:t xml:space="preserve">Daň se dala stanovit dokazováním - snaha o vyvrácení tvrzení správce daně, že daň bylo nutno stanovit podle pomůcek.</w:t>
      </w:r>
    </w:p>
    <w:p>
      <w:pPr>
        <w:pStyle w:val="Compact"/>
        <w:numPr>
          <w:numId w:val="1120"/>
          <w:ilvl w:val="0"/>
        </w:numPr>
      </w:pPr>
      <w:r>
        <w:t xml:space="preserve">Správce daně neunesl své důkazní břemeno</w:t>
      </w:r>
    </w:p>
    <w:p>
      <w:pPr>
        <w:pStyle w:val="Compact"/>
        <w:numPr>
          <w:numId w:val="1120"/>
          <w:ilvl w:val="0"/>
        </w:numPr>
      </w:pPr>
      <w:r>
        <w:t xml:space="preserve">(např. neprokáže, že doručil výzvu k odstranění pochybností, platební výměr apod.)</w:t>
      </w:r>
    </w:p>
    <w:p>
      <w:pPr>
        <w:pStyle w:val="Compact"/>
        <w:numPr>
          <w:numId w:val="1120"/>
          <w:ilvl w:val="0"/>
        </w:numPr>
      </w:pPr>
      <w:r>
        <w:t xml:space="preserve">Porušení práv daňového subjektu</w:t>
      </w:r>
    </w:p>
    <w:p>
      <w:pPr>
        <w:pStyle w:val="Compact"/>
        <w:numPr>
          <w:numId w:val="1129"/>
          <w:ilvl w:val="1"/>
        </w:numPr>
      </w:pPr>
      <w:r>
        <w:t xml:space="preserve">nenechal daňový subjekt nahlédnout do spisu</w:t>
      </w:r>
    </w:p>
    <w:p>
      <w:pPr>
        <w:pStyle w:val="Compact"/>
        <w:numPr>
          <w:numId w:val="1129"/>
          <w:ilvl w:val="1"/>
        </w:numPr>
      </w:pPr>
      <w:r>
        <w:t xml:space="preserve">nevyslechl navrhované svědky</w:t>
      </w:r>
    </w:p>
    <w:p>
      <w:pPr>
        <w:pStyle w:val="Compact"/>
        <w:numPr>
          <w:numId w:val="1129"/>
          <w:ilvl w:val="1"/>
        </w:numPr>
      </w:pPr>
      <w:r>
        <w:t xml:space="preserve">neprojednal s ním zprávu o kontrole</w:t>
      </w:r>
    </w:p>
    <w:p>
      <w:pPr>
        <w:pStyle w:val="Compact"/>
        <w:numPr>
          <w:numId w:val="1120"/>
          <w:ilvl w:val="0"/>
        </w:numPr>
      </w:pPr>
      <w:r>
        <w:t xml:space="preserve">Pomůcky – možné směry obrany II.</w:t>
      </w:r>
    </w:p>
    <w:p>
      <w:pPr>
        <w:pStyle w:val="Compact"/>
        <w:numPr>
          <w:numId w:val="1120"/>
          <w:ilvl w:val="0"/>
        </w:numPr>
      </w:pPr>
      <w:r>
        <w:t xml:space="preserve">Procesní problémy správce daně:</w:t>
      </w:r>
    </w:p>
    <w:p>
      <w:pPr>
        <w:pStyle w:val="Compact"/>
        <w:numPr>
          <w:numId w:val="1130"/>
          <w:ilvl w:val="1"/>
        </w:numPr>
      </w:pPr>
      <w:r>
        <w:t xml:space="preserve">rozhodnutí bez všech náležitostí,</w:t>
      </w:r>
    </w:p>
    <w:p>
      <w:pPr>
        <w:pStyle w:val="Compact"/>
        <w:numPr>
          <w:numId w:val="1130"/>
          <w:ilvl w:val="1"/>
        </w:numPr>
      </w:pPr>
      <w:r>
        <w:t xml:space="preserve">nepřezkoumatelnost rozhodnutí finančních orgánů pro nedostatek odůvodnění rozhodnutí</w:t>
      </w:r>
    </w:p>
    <w:p>
      <w:pPr>
        <w:numPr>
          <w:numId w:val="1120"/>
          <w:ilvl w:val="0"/>
        </w:numPr>
      </w:pPr>
      <w:r>
        <w:t xml:space="preserve">polemika s výší pomůcek - nepřiměřenost jejich výše, nestanovení daně dostatečně spolehlivě, nepřihlédnutí k výhodám svědčící pro daňový subjekt</w:t>
      </w:r>
    </w:p>
    <w:p>
      <w:pPr>
        <w:numPr>
          <w:numId w:val="1120"/>
          <w:ilvl w:val="0"/>
        </w:numPr>
      </w:pPr>
      <w:r>
        <w:t xml:space="preserve">Pomůcky - judikatura</w:t>
      </w:r>
    </w:p>
    <w:p>
      <w:pPr>
        <w:pStyle w:val="Compact"/>
        <w:numPr>
          <w:numId w:val="1120"/>
          <w:ilvl w:val="0"/>
        </w:numPr>
      </w:pPr>
      <w:r>
        <w:t xml:space="preserve">Pomůcky – judikatura – nahlížení do pomůcek</w:t>
      </w:r>
    </w:p>
    <w:p>
      <w:pPr>
        <w:pStyle w:val="Compact"/>
        <w:numPr>
          <w:numId w:val="1131"/>
          <w:ilvl w:val="1"/>
        </w:numPr>
      </w:pPr>
      <w:r>
        <w:t xml:space="preserve">ÚS 359/05 z 28. března 2006</w:t>
      </w:r>
    </w:p>
    <w:p>
      <w:pPr>
        <w:pStyle w:val="Compact"/>
        <w:numPr>
          <w:numId w:val="1132"/>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120"/>
          <w:ilvl w:val="0"/>
        </w:numPr>
      </w:pPr>
      <w:r>
        <w:t xml:space="preserve">Pomůcky – judikatura – nahlížení do pomůcek</w:t>
      </w:r>
    </w:p>
    <w:p>
      <w:pPr>
        <w:pStyle w:val="Compact"/>
        <w:numPr>
          <w:numId w:val="1133"/>
          <w:ilvl w:val="1"/>
        </w:numPr>
      </w:pPr>
      <w:r>
        <w:t xml:space="preserve">ÚS 359/05 – pokrač.:</w:t>
      </w:r>
    </w:p>
    <w:p>
      <w:pPr>
        <w:pStyle w:val="Compact"/>
        <w:numPr>
          <w:numId w:val="1134"/>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120"/>
          <w:ilvl w:val="0"/>
        </w:numPr>
      </w:pPr>
      <w:r>
        <w:t xml:space="preserve">Pomůcky – judikatura – výhody pro DS</w:t>
      </w:r>
    </w:p>
    <w:p>
      <w:pPr>
        <w:pStyle w:val="Compact"/>
        <w:numPr>
          <w:numId w:val="1135"/>
          <w:ilvl w:val="1"/>
        </w:numPr>
      </w:pPr>
      <w:r>
        <w:t xml:space="preserve">ÚS 179/01 z 31. 8. 2001</w:t>
      </w:r>
    </w:p>
    <w:p>
      <w:pPr>
        <w:pStyle w:val="Compact"/>
        <w:numPr>
          <w:numId w:val="1136"/>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120"/>
          <w:ilvl w:val="0"/>
        </w:numPr>
      </w:pPr>
      <w:r>
        <w:t xml:space="preserve">Pomůcky – judikatura – výhody pro DS</w:t>
      </w:r>
    </w:p>
    <w:p>
      <w:pPr>
        <w:pStyle w:val="Compact"/>
        <w:numPr>
          <w:numId w:val="1137"/>
          <w:ilvl w:val="1"/>
        </w:numPr>
      </w:pPr>
      <w:r>
        <w:t xml:space="preserve">ÚS 360/05 z 20. 11. 2006</w:t>
      </w:r>
    </w:p>
    <w:p>
      <w:pPr>
        <w:pStyle w:val="Compact"/>
        <w:numPr>
          <w:numId w:val="1138"/>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120"/>
          <w:ilvl w:val="0"/>
        </w:numPr>
      </w:pPr>
      <w:r>
        <w:t xml:space="preserve">Pomůcky – judikatura – pomůcky chtěl marně DS</w:t>
      </w:r>
    </w:p>
    <w:p>
      <w:pPr>
        <w:pStyle w:val="Compact"/>
        <w:numPr>
          <w:numId w:val="1120"/>
          <w:ilvl w:val="0"/>
        </w:numPr>
      </w:pPr>
      <w:r>
        <w:t xml:space="preserve">NSS 7 Afs 21/2012 – 44 z 27. 9. 2012</w:t>
      </w:r>
    </w:p>
    <w:p>
      <w:pPr>
        <w:pStyle w:val="Compact"/>
        <w:numPr>
          <w:numId w:val="1139"/>
          <w:ilvl w:val="1"/>
        </w:numPr>
      </w:pPr>
      <w:r>
        <w:t xml:space="preserve">Stěžovatelce byla doměřena daň (dokazováním) 77 868 Kč, protože nedokázala prokázat výdaje</w:t>
      </w:r>
    </w:p>
    <w:p>
      <w:pPr>
        <w:pStyle w:val="Compact"/>
        <w:numPr>
          <w:numId w:val="1139"/>
          <w:ilvl w:val="1"/>
        </w:numPr>
      </w:pPr>
      <w:r>
        <w:t xml:space="preserve">Stěžovatelka požadovala doměření podle pomůcek, protože když existovalo prodané zboží, je nemyslitelné, aby na něj nebyly žádné výdaje</w:t>
      </w:r>
    </w:p>
    <w:p>
      <w:pPr>
        <w:numPr>
          <w:numId w:val="1120"/>
          <w:ilvl w:val="0"/>
        </w:numPr>
      </w:pPr>
      <w:r>
        <w:t xml:space="preserve">SD ani KS nevyhověl</w:t>
      </w:r>
    </w:p>
    <w:p>
      <w:pPr>
        <w:pStyle w:val="Compact"/>
        <w:numPr>
          <w:numId w:val="1120"/>
          <w:ilvl w:val="0"/>
        </w:numPr>
      </w:pPr>
      <w:r>
        <w:t xml:space="preserve">Pomůcky – judikatura – pomůcky chtěl marně DS</w:t>
      </w:r>
    </w:p>
    <w:p>
      <w:pPr>
        <w:pStyle w:val="Compact"/>
        <w:numPr>
          <w:numId w:val="1120"/>
          <w:ilvl w:val="0"/>
        </w:numPr>
      </w:pPr>
      <w:r>
        <w:t xml:space="preserve">NSS 7 Afs 21/2012 – 44 pokrač.:</w:t>
      </w:r>
    </w:p>
    <w:p>
      <w:pPr>
        <w:pStyle w:val="Compact"/>
        <w:numPr>
          <w:numId w:val="1140"/>
          <w:ilvl w:val="1"/>
        </w:numPr>
      </w:pPr>
      <w:r>
        <w:t xml:space="preserve">Názor NSS:</w:t>
      </w:r>
    </w:p>
    <w:p>
      <w:pPr>
        <w:pStyle w:val="Compact"/>
        <w:numPr>
          <w:numId w:val="1140"/>
          <w:ilvl w:val="1"/>
        </w:numPr>
      </w:pPr>
      <w:r>
        <w:t xml:space="preserve">SD neuznal 95 % výdajů, nebyly věrohodně stanoveny ani příjmy</w:t>
      </w:r>
    </w:p>
    <w:p>
      <w:pPr>
        <w:pStyle w:val="Compact"/>
        <w:numPr>
          <w:numId w:val="1140"/>
          <w:ilvl w:val="1"/>
        </w:numPr>
      </w:pPr>
      <w:r>
        <w:t xml:space="preserve">Daň nebylo možno stanovit dokazováním, mělo být použito pomůcek</w:t>
      </w:r>
    </w:p>
    <w:p>
      <w:pPr>
        <w:pStyle w:val="Compact"/>
        <w:numPr>
          <w:numId w:val="1140"/>
          <w:ilvl w:val="1"/>
        </w:numPr>
      </w:pPr>
      <w:r>
        <w:t xml:space="preserve">Nelze zcela opomenout výdaje DS, pomůcky by byly pro ni výhodnější, proto SD pochybil, když je nepoužil</w:t>
      </w:r>
    </w:p>
    <w:p>
      <w:pPr>
        <w:pStyle w:val="Compact"/>
        <w:numPr>
          <w:numId w:val="1120"/>
          <w:ilvl w:val="0"/>
        </w:numPr>
      </w:pPr>
      <w:r>
        <w:t xml:space="preserve">Pomůcky – judikatura – DPH nutnost pomůcek na vstup i výstup</w:t>
      </w:r>
    </w:p>
    <w:p>
      <w:pPr>
        <w:pStyle w:val="Compact"/>
        <w:numPr>
          <w:numId w:val="1120"/>
          <w:ilvl w:val="0"/>
        </w:numPr>
      </w:pPr>
      <w:r>
        <w:t xml:space="preserve">1 Afs 19/2004 – 67 ze dne 3. 11. 2004 (Sbírka NSS 12/2006 č. 991/2006):</w:t>
      </w:r>
    </w:p>
    <w:p>
      <w:pPr>
        <w:pStyle w:val="Compact"/>
        <w:numPr>
          <w:numId w:val="1141"/>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120"/>
          <w:ilvl w:val="0"/>
        </w:numPr>
      </w:pPr>
      <w:r>
        <w:t xml:space="preserve">Pomůcky – judikatura – částečné dokazování</w:t>
      </w:r>
    </w:p>
    <w:p>
      <w:pPr>
        <w:pStyle w:val="Compact"/>
        <w:numPr>
          <w:numId w:val="1120"/>
          <w:ilvl w:val="0"/>
        </w:numPr>
      </w:pPr>
      <w:r>
        <w:t xml:space="preserve">2 Afs 25/2003 – 87 ze dne 25. května 2004</w:t>
      </w:r>
    </w:p>
    <w:p>
      <w:pPr>
        <w:pStyle w:val="Compact"/>
        <w:numPr>
          <w:numId w:val="1142"/>
          <w:ilvl w:val="1"/>
        </w:numPr>
      </w:pPr>
      <w:r>
        <w:t xml:space="preserve">Správce daně nemůže hovořit o vyměření daň podle pomůcek tam, kde ve skutečnosti stanovil daň dokazováním, nemožnost stanovit daň částečně dokazováním a částečné pomůckami</w:t>
      </w:r>
    </w:p>
    <w:p>
      <w:pPr>
        <w:numPr>
          <w:numId w:val="1120"/>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120"/>
          <w:ilvl w:val="0"/>
        </w:numPr>
      </w:pPr>
      <w:r>
        <w:t xml:space="preserve">Pomůcky – malý rozsah chyb neopravňuje k přechodu na pomůcky</w:t>
      </w:r>
    </w:p>
    <w:p>
      <w:pPr>
        <w:pStyle w:val="Compact"/>
        <w:numPr>
          <w:numId w:val="1120"/>
          <w:ilvl w:val="0"/>
        </w:numPr>
      </w:pPr>
      <w:r>
        <w:t xml:space="preserve">NSS 2 Afs 132/2005 – 71 z 27. 7. 2006</w:t>
      </w:r>
    </w:p>
    <w:p>
      <w:pPr>
        <w:pStyle w:val="Compact"/>
        <w:numPr>
          <w:numId w:val="1120"/>
          <w:ilvl w:val="0"/>
        </w:numPr>
      </w:pPr>
      <w:r>
        <w:t xml:space="preserve">„Nesplnění povinností daňovým subjektem je důvodem pro stanovení daně podle pomůcek jen za situace, kdy je v důsledku toho vyloučeno stanovení daně dokazováním.</w:t>
      </w:r>
    </w:p>
    <w:p>
      <w:pPr>
        <w:numPr>
          <w:numId w:val="1120"/>
          <w:ilvl w:val="0"/>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numPr>
          <w:numId w:val="1120"/>
          <w:ilvl w:val="0"/>
        </w:numPr>
      </w:pPr>
      <w:r>
        <w:t xml:space="preserve">Pomůcky – judikatura – oprávněnost použití</w:t>
      </w:r>
      <w:r>
        <w:br w:type="textWrapping"/>
      </w:r>
      <w:r>
        <w:t xml:space="preserve">NSS 5 Afs 129/2006 z 27. 7. 2007</w:t>
      </w:r>
      <w:r>
        <w:br w:type="textWrapping"/>
      </w:r>
      <w:r>
        <w:t xml:space="preserve"> „Jednalo-li se svým objemem o podstatnou část účetnictví</w:t>
      </w:r>
      <w:r>
        <w:br w:type="textWrapping"/>
      </w:r>
      <w:r>
        <w:t xml:space="preserve">stěžovatele, která byla zpochybněna a správcem daně neuznána,</w:t>
      </w:r>
      <w:r>
        <w:br w:type="textWrapping"/>
      </w:r>
      <w:r>
        <w:t xml:space="preserve">stěží lze konstatovat, že vypovídací schopnost účetnictví jako</w:t>
      </w:r>
      <w:r>
        <w:br w:type="textWrapping"/>
      </w:r>
      <w:r>
        <w:t xml:space="preserve">celku nebyla zpochybněna, resp. zachována. ZSDP v § 31 odst.</w:t>
      </w:r>
      <w:r>
        <w:br w:type="textWrapping"/>
      </w:r>
      <w:r>
        <w:t xml:space="preserve">5 naopak nevylučuje, aby nemohlo být údajů z účetnictví, které</w:t>
      </w:r>
      <w:r>
        <w:br w:type="textWrapping"/>
      </w:r>
      <w:r>
        <w:t xml:space="preserve">není úplné a průkazné, použito jakožto jedné z možných</w:t>
      </w:r>
      <w:r>
        <w:br w:type="textWrapping"/>
      </w:r>
      <w:r>
        <w:t xml:space="preserve">pomůcek“.</w:t>
      </w:r>
    </w:p>
    <w:p>
      <w:pPr>
        <w:numPr>
          <w:numId w:val="1120"/>
          <w:ilvl w:val="0"/>
        </w:numPr>
      </w:pPr>
      <w:r>
        <w:t xml:space="preserve">Pomůcky – judikatura – odcizené účetnictví</w:t>
      </w:r>
      <w:r>
        <w:br w:type="textWrapping"/>
      </w:r>
      <w:r>
        <w:t xml:space="preserve">NSS 1 Afs 94/2006-60 ze dne 31. 1. 2007</w:t>
      </w:r>
      <w:r>
        <w:br w:type="textWrapping"/>
      </w:r>
      <w:r>
        <w:t xml:space="preserve"> Žalobce se ocitl v důkazní nouzi, neboť účetní doklady mu byly odcizeny.</w:t>
      </w:r>
      <w:r>
        <w:br w:type="textWrapping"/>
      </w:r>
      <w:r>
        <w:t xml:space="preserve"> To samo o sobě však nemusí vždy způsobit takovou absenci důkazních</w:t>
      </w:r>
      <w:r>
        <w:br w:type="textWrapping"/>
      </w:r>
      <w:r>
        <w:t xml:space="preserve">prostředků, že by za všech okolností muselo dojít ke stanovení daně za užití</w:t>
      </w:r>
      <w:r>
        <w:br w:type="textWrapping"/>
      </w:r>
      <w:r>
        <w:t xml:space="preserve">pomůcek, jak předpokládá § 31 odst. 5 ZSDP.</w:t>
      </w:r>
      <w:r>
        <w:br w:type="textWrapping"/>
      </w:r>
      <w:r>
        <w:t xml:space="preserve"> Lze si představit, že i v takové situaci budou existovat jiné důkazy, jimiž</w:t>
      </w:r>
      <w:r>
        <w:br w:type="textWrapping"/>
      </w:r>
      <w:r>
        <w:t xml:space="preserve">daňový subjekt spolehlivě prokáže jím tvrzenou daň.</w:t>
      </w:r>
    </w:p>
    <w:p>
      <w:pPr>
        <w:pStyle w:val="Compact"/>
        <w:numPr>
          <w:numId w:val="1120"/>
          <w:ilvl w:val="0"/>
        </w:numPr>
      </w:pPr>
      <w:r>
        <w:t xml:space="preserve">Dokazování ve vybraných případech</w:t>
      </w:r>
    </w:p>
    <w:p>
      <w:pPr>
        <w:pStyle w:val="Compact"/>
        <w:numPr>
          <w:numId w:val="1120"/>
          <w:ilvl w:val="0"/>
        </w:numPr>
      </w:pPr>
      <w:r>
        <w:t xml:space="preserve">Zprostředkování, reklama, manažerské služby</w:t>
      </w:r>
    </w:p>
    <w:p>
      <w:pPr>
        <w:pStyle w:val="Compact"/>
        <w:numPr>
          <w:numId w:val="1120"/>
          <w:ilvl w:val="0"/>
        </w:numPr>
      </w:pPr>
      <w:r>
        <w:t xml:space="preserve">Základní problémy:</w:t>
      </w:r>
    </w:p>
    <w:p>
      <w:pPr>
        <w:pStyle w:val="Compact"/>
        <w:numPr>
          <w:numId w:val="1120"/>
          <w:ilvl w:val="0"/>
        </w:numPr>
      </w:pPr>
      <w:r>
        <w:t xml:space="preserve">Fakturování fiktivních služeb, které nebyly poskytnuty</w:t>
      </w:r>
    </w:p>
    <w:p>
      <w:pPr>
        <w:pStyle w:val="Compact"/>
        <w:numPr>
          <w:numId w:val="1120"/>
          <w:ilvl w:val="0"/>
        </w:numPr>
      </w:pPr>
      <w:r>
        <w:t xml:space="preserve">Falešné doklady</w:t>
      </w:r>
    </w:p>
    <w:p>
      <w:pPr>
        <w:pStyle w:val="Compact"/>
        <w:numPr>
          <w:numId w:val="1120"/>
          <w:ilvl w:val="0"/>
        </w:numPr>
      </w:pPr>
      <w:r>
        <w:t xml:space="preserve">Nereálné ceny za služby, řetězové navyšování cen – cena „obvyklá“</w:t>
      </w:r>
    </w:p>
    <w:p>
      <w:pPr>
        <w:pStyle w:val="Compact"/>
        <w:numPr>
          <w:numId w:val="1120"/>
          <w:ilvl w:val="0"/>
        </w:numPr>
      </w:pPr>
      <w:r>
        <w:t xml:space="preserve">Nekontaktní a zapomnětliví svědci</w:t>
      </w:r>
    </w:p>
    <w:p>
      <w:pPr>
        <w:numPr>
          <w:numId w:val="1120"/>
          <w:ilvl w:val="0"/>
        </w:numPr>
      </w:pPr>
      <w:r>
        <w:t xml:space="preserve">Chybějící dokumentace k prováděným činnostem</w:t>
      </w:r>
    </w:p>
    <w:p>
      <w:pPr>
        <w:pStyle w:val="Compact"/>
        <w:numPr>
          <w:numId w:val="1120"/>
          <w:ilvl w:val="0"/>
        </w:numPr>
      </w:pPr>
      <w:r>
        <w:t xml:space="preserve">Reklama</w:t>
      </w:r>
    </w:p>
    <w:p>
      <w:pPr>
        <w:numPr>
          <w:numId w:val="1120"/>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120"/>
          <w:ilvl w:val="0"/>
        </w:numPr>
      </w:pPr>
      <w:r>
        <w:t xml:space="preserve">Reklama</w:t>
      </w:r>
    </w:p>
    <w:p>
      <w:pPr>
        <w:pStyle w:val="Compact"/>
        <w:numPr>
          <w:numId w:val="1120"/>
          <w:ilvl w:val="0"/>
        </w:numPr>
      </w:pPr>
      <w:r>
        <w:t xml:space="preserve">Problémy:</w:t>
      </w:r>
    </w:p>
    <w:p>
      <w:pPr>
        <w:pStyle w:val="Compact"/>
        <w:numPr>
          <w:numId w:val="1144"/>
          <w:ilvl w:val="2"/>
        </w:numPr>
      </w:pPr>
      <w:r>
        <w:t xml:space="preserve">prokázat, že jde o výdaj na reklamu a nikoli na reprezentaci,</w:t>
      </w:r>
    </w:p>
    <w:p>
      <w:pPr>
        <w:pStyle w:val="Compact"/>
        <w:numPr>
          <w:numId w:val="1145"/>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146"/>
          <w:ilvl w:val="2"/>
        </w:numPr>
      </w:pPr>
      <w:r>
        <w:t xml:space="preserve">můžeme se setkat i s opačným problémem, tedy se snahou vykázat reklamu jako „charitativní“ dar s možností uplatnit jej jako odečitatelnou položku od základu daně.</w:t>
      </w:r>
    </w:p>
    <w:p>
      <w:pPr>
        <w:pStyle w:val="Compact"/>
        <w:numPr>
          <w:numId w:val="1147"/>
          <w:ilvl w:val="2"/>
        </w:numPr>
      </w:pPr>
      <w:r>
        <w:t xml:space="preserve">plnění, které daňový subjekt poskytuje, bývá posouzeno jako dar a nikoli jako součást ceny (jiného) prodávaného zboží či služby,</w:t>
      </w:r>
    </w:p>
    <w:p>
      <w:pPr>
        <w:pStyle w:val="Compact"/>
        <w:numPr>
          <w:numId w:val="1148"/>
          <w:ilvl w:val="2"/>
        </w:numPr>
      </w:pPr>
      <w:r>
        <w:t xml:space="preserve">plnění spočívající obvykle v uspořádání nějaké akce (i bez poskytovaných dárků) nebývá uznáno jako reklama, ale označeno za výdaj na reprezentaci,</w:t>
      </w:r>
    </w:p>
    <w:p>
      <w:pPr>
        <w:pStyle w:val="Compact"/>
        <w:numPr>
          <w:numId w:val="1149"/>
          <w:ilvl w:val="2"/>
        </w:numPr>
      </w:pPr>
      <w:r>
        <w:t xml:space="preserve">předmětné plnění sice definici reprezentace nenaplňuje, ale příčinná souvislost příslušné akce s daňovými výnosy je nedostatečná.</w:t>
      </w:r>
    </w:p>
    <w:p>
      <w:pPr>
        <w:pStyle w:val="Compact"/>
        <w:numPr>
          <w:numId w:val="1120"/>
          <w:ilvl w:val="0"/>
        </w:numPr>
      </w:pPr>
      <w:r>
        <w:t xml:space="preserve">Reklama</w:t>
      </w:r>
    </w:p>
    <w:p>
      <w:pPr>
        <w:pStyle w:val="Compact"/>
        <w:numPr>
          <w:numId w:val="1120"/>
          <w:ilvl w:val="0"/>
        </w:numPr>
      </w:pPr>
      <w:r>
        <w:t xml:space="preserve">Příklad</w:t>
      </w:r>
    </w:p>
    <w:p>
      <w:pPr>
        <w:pStyle w:val="Compact"/>
        <w:numPr>
          <w:numId w:val="1150"/>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120"/>
          <w:ilvl w:val="0"/>
        </w:numPr>
      </w:pPr>
      <w:r>
        <w:t xml:space="preserve">Reklama - judikatura</w:t>
      </w:r>
    </w:p>
    <w:p>
      <w:pPr>
        <w:pStyle w:val="Compact"/>
        <w:numPr>
          <w:numId w:val="1120"/>
          <w:ilvl w:val="0"/>
        </w:numPr>
      </w:pPr>
      <w:r>
        <w:t xml:space="preserve">Prokázání uskutečnění reklamy (NSS 7 Afs 112/2008 – 64 ze dne 11. 12. 2008)</w:t>
      </w:r>
    </w:p>
    <w:p>
      <w:pPr>
        <w:pStyle w:val="Compact"/>
        <w:numPr>
          <w:numId w:val="1151"/>
          <w:ilvl w:val="1"/>
        </w:numPr>
      </w:pPr>
      <w:r>
        <w:t xml:space="preserve">DS předložil formálně bezvadné doklady, fotodokumentaci o tom, že reklamní činnost proběhla, navrhl svědky a další důkazy.</w:t>
      </w:r>
    </w:p>
    <w:p>
      <w:pPr>
        <w:pStyle w:val="Compact"/>
        <w:numPr>
          <w:numId w:val="1151"/>
          <w:ilvl w:val="1"/>
        </w:numPr>
      </w:pPr>
      <w:r>
        <w:t xml:space="preserve">Někteří svědci (zástupci dodavatelských firem) popřeli, že by reklamní činnost pro daný subjekt prováděli a daný subjekt vůbec znali, jiní sdělili, že si danou situaci již nepamatují.</w:t>
      </w:r>
    </w:p>
    <w:p>
      <w:pPr>
        <w:pStyle w:val="FirstParagraph"/>
      </w:pPr>
      <w:r>
        <w:t xml:space="preserve">Reklama - judikatura</w:t>
      </w:r>
      <w:r>
        <w:br w:type="textWrapping"/>
      </w:r>
      <w:r>
        <w:t xml:space="preserve"> 7 Afs 112/2008 – pokrač.</w:t>
      </w:r>
      <w:r>
        <w:br w:type="textWrapping"/>
      </w:r>
      <w:r>
        <w:t xml:space="preserve"> K dispozici byly i doklady vystavené zmíněnými dodavatelskými</w:t>
      </w:r>
      <w:r>
        <w:br w:type="textWrapping"/>
      </w:r>
      <w:r>
        <w:t xml:space="preserve">firmami, svědci většinou popřeli, že by tyto doklady podepsali,</w:t>
      </w:r>
      <w:r>
        <w:br w:type="textWrapping"/>
      </w:r>
      <w:r>
        <w:t xml:space="preserve">v některých případech však nepopřeli, že by mohlo jít o jejich</w:t>
      </w:r>
      <w:r>
        <w:br w:type="textWrapping"/>
      </w:r>
      <w:r>
        <w:t xml:space="preserve">razítko či doklad.</w:t>
      </w:r>
      <w:r>
        <w:br w:type="textWrapping"/>
      </w:r>
      <w:r>
        <w:t xml:space="preserve"> Stěžovatel navrhl provést důkazy předložením účetnictví</w:t>
      </w:r>
      <w:r>
        <w:br w:type="textWrapping"/>
      </w:r>
      <w:r>
        <w:t xml:space="preserve">dodavatelů, ti však byli nekontaktní. Výsledkem bylo neunesení</w:t>
      </w:r>
      <w:r>
        <w:br w:type="textWrapping"/>
      </w:r>
      <w:r>
        <w:t xml:space="preserve">důkazního břemene ze strany daňového subjektu a neuznání</w:t>
      </w:r>
      <w:r>
        <w:br w:type="textWrapping"/>
      </w:r>
      <w:r>
        <w:t xml:space="preserve">předmětných výdajů.</w:t>
      </w:r>
    </w:p>
    <w:p>
      <w:pPr>
        <w:pStyle w:val="BodyText"/>
      </w:pPr>
      <w:r>
        <w:t xml:space="preserve">Reklama - judikatura</w:t>
      </w:r>
      <w:r>
        <w:br w:type="textWrapping"/>
      </w:r>
      <w:r>
        <w:t xml:space="preserve"> Reklama nebo zakryté financování sportovních aktivit? (NSS 7 Afs</w:t>
      </w:r>
      <w:r>
        <w:br w:type="textWrapping"/>
      </w:r>
      <w:r>
        <w:t xml:space="preserve">10/2007-55 z 1. 11. 2007)</w:t>
      </w:r>
      <w:r>
        <w:br w:type="textWrapping"/>
      </w:r>
      <w:r>
        <w:t xml:space="preserve"> umístění stěžovatelčiny obchodní firmy nebo loga nebo názvu</w:t>
      </w:r>
      <w:r>
        <w:br w:type="textWrapping"/>
      </w:r>
      <w:r>
        <w:t xml:space="preserve">stěžovatelky nebo identifikace jejích produktů na reklamních plochách</w:t>
      </w:r>
      <w:r>
        <w:br w:type="textWrapping"/>
      </w:r>
      <w:r>
        <w:t xml:space="preserve">instalovaných na ledním stadionu, na dresech hráčů hokejového klubu</w:t>
      </w:r>
      <w:r>
        <w:br w:type="textWrapping"/>
      </w:r>
      <w:r>
        <w:t xml:space="preserve">S. H., na plakátech k jednotlivým utkáním S. H. a na reklamních</w:t>
      </w:r>
      <w:r>
        <w:br w:type="textWrapping"/>
      </w:r>
      <w:r>
        <w:t xml:space="preserve">předmětech S. H.</w:t>
      </w:r>
      <w:r>
        <w:br w:type="textWrapping"/>
      </w:r>
      <w:r>
        <w:t xml:space="preserve"> reklama nebyla v odpovídající šíři prokázána (např. fotodokumentace</w:t>
      </w:r>
      <w:r>
        <w:br w:type="textWrapping"/>
      </w:r>
      <w:r>
        <w:t xml:space="preserve">reklamy nebyla datovaná a zjistilo se, že by mohla odpovídat spíše jiné</w:t>
      </w:r>
      <w:r>
        <w:br w:type="textWrapping"/>
      </w:r>
      <w:r>
        <w:t xml:space="preserve">sezóně).</w:t>
      </w:r>
    </w:p>
    <w:p>
      <w:pPr>
        <w:pStyle w:val="BodyText"/>
      </w:pPr>
      <w:r>
        <w:t xml:space="preserve">Reklama - judikatura</w:t>
      </w:r>
      <w:r>
        <w:br w:type="textWrapping"/>
      </w:r>
      <w:r>
        <w:t xml:space="preserve"> 7 Afs 10/2007-55 pokrač.:</w:t>
      </w:r>
      <w:r>
        <w:br w:type="textWrapping"/>
      </w:r>
      <w:r>
        <w:t xml:space="preserve"> Dále se vyskytla otázka, zda nedošlo ve skutečnosti</w:t>
      </w:r>
      <w:r>
        <w:br w:type="textWrapping"/>
      </w:r>
      <w:r>
        <w:t xml:space="preserve">spíše k zakrytému financování sportovních aktivit</w:t>
      </w:r>
      <w:r>
        <w:br w:type="textWrapping"/>
      </w:r>
      <w:r>
        <w:t xml:space="preserve">příjemce reklamy (přičemž zde mohlo jít i o sportovní</w:t>
      </w:r>
      <w:r>
        <w:br w:type="textWrapping"/>
      </w:r>
      <w:r>
        <w:t xml:space="preserve">aktivity rodinných příslušníků firmy, která reklamu hradila).</w:t>
      </w:r>
      <w:r>
        <w:br w:type="textWrapping"/>
      </w:r>
      <w:r>
        <w:t xml:space="preserve">Nebyl též prokázán vztah mezi údajnou reklamou a</w:t>
      </w:r>
      <w:r>
        <w:br w:type="textWrapping"/>
      </w:r>
      <w:r>
        <w:t xml:space="preserve">hospodářským výsledkem zadavatele reklamy.</w:t>
      </w:r>
    </w:p>
    <w:p>
      <w:pPr>
        <w:pStyle w:val="BodyText"/>
      </w:pPr>
      <w:r>
        <w:t xml:space="preserve">Reklama - judikatura</w:t>
      </w:r>
      <w:r>
        <w:br w:type="textWrapping"/>
      </w:r>
      <w:r>
        <w:t xml:space="preserve"> Neprokázaný mediální servis (NSS 9 Afs 27/2010 – 130 z 30. 11. 2010)</w:t>
      </w:r>
      <w:r>
        <w:br w:type="textWrapping"/>
      </w:r>
      <w:r>
        <w:t xml:space="preserve"> DS nebyl schopen prokázat nárok na odpočet DPH z milionových částek</w:t>
      </w:r>
      <w:r>
        <w:br w:type="textWrapping"/>
      </w:r>
      <w:r>
        <w:t xml:space="preserve">vyplacených svému dodavateli za zajištění vysílacího prostoru při konání</w:t>
      </w:r>
      <w:r>
        <w:br w:type="textWrapping"/>
      </w:r>
      <w:r>
        <w:t xml:space="preserve">Evropského poháru tahačů. Formálně byly doklady a další dokumentace</w:t>
      </w:r>
      <w:r>
        <w:br w:type="textWrapping"/>
      </w:r>
      <w:r>
        <w:t xml:space="preserve">v pořádku, při podrobnějším zkoumání však bylo zjištěno, že obrazová</w:t>
      </w:r>
      <w:r>
        <w:br w:type="textWrapping"/>
      </w:r>
      <w:r>
        <w:t xml:space="preserve">dokumentace pochází z jiného období, svědci si nic nepamatují, byla</w:t>
      </w:r>
      <w:r>
        <w:br w:type="textWrapping"/>
      </w:r>
      <w:r>
        <w:t xml:space="preserve">provedena úhrada za prostor v neexistujícím rádiu. Přestože v řadě</w:t>
      </w:r>
      <w:r>
        <w:br w:type="textWrapping"/>
      </w:r>
      <w:r>
        <w:t xml:space="preserve">sdělovacích prostředků byly reportáže ze zmíněného závodu vysílány,</w:t>
      </w:r>
      <w:r>
        <w:br w:type="textWrapping"/>
      </w:r>
      <w:r>
        <w:t xml:space="preserve">redaktoři daných médií si je zajišťovali sami.</w:t>
      </w:r>
    </w:p>
    <w:p>
      <w:pPr>
        <w:pStyle w:val="BodyText"/>
      </w:pPr>
      <w:r>
        <w:t xml:space="preserve">Reklama - judikatura</w:t>
      </w:r>
      <w:r>
        <w:br w:type="textWrapping"/>
      </w:r>
      <w:r>
        <w:t xml:space="preserve"> 9 Afs 27/2010 pokrač.:</w:t>
      </w:r>
      <w:r>
        <w:br w:type="textWrapping"/>
      </w:r>
      <w:r>
        <w:t xml:space="preserve"> Z obecnějšího pohledu je podstatné, že je na odběrateli, aby byl schopen</w:t>
      </w:r>
      <w:r>
        <w:br w:type="textWrapping"/>
      </w:r>
      <w:r>
        <w:t xml:space="preserve">prokázat, že příslušné zdanitelné plnění přijal. Jinými slovy, nemůže se</w:t>
      </w:r>
      <w:r>
        <w:br w:type="textWrapping"/>
      </w:r>
      <w:r>
        <w:t xml:space="preserve">spokojit s tím, že věří dodavateli, že příslušné plnění provedl a vyfakturoval,</w:t>
      </w:r>
      <w:r>
        <w:br w:type="textWrapping"/>
      </w:r>
      <w:r>
        <w:t xml:space="preserve">ale musí disponovat (kromě smluv a faktur) dalšími důkazy, které prokážou,</w:t>
      </w:r>
      <w:r>
        <w:br w:type="textWrapping"/>
      </w:r>
      <w:r>
        <w:t xml:space="preserve">že příslušné plnění přijal. V praxi to může být pochopitelně velmi</w:t>
      </w:r>
      <w:r>
        <w:br w:type="textWrapping"/>
      </w:r>
      <w:r>
        <w:t xml:space="preserve">komplikované, tím spíše, že se jedná nikoli o zboží, ale o služby. Situace</w:t>
      </w:r>
      <w:r>
        <w:br w:type="textWrapping"/>
      </w:r>
      <w:r>
        <w:t xml:space="preserve">bývá ještě komplikovanější pak v případech, kdy dodavatel má ještě další</w:t>
      </w:r>
      <w:r>
        <w:br w:type="textWrapping"/>
      </w:r>
      <w:r>
        <w:t xml:space="preserve">subdodavatele.</w:t>
      </w:r>
      <w:r>
        <w:br w:type="textWrapping"/>
      </w:r>
      <w:r>
        <w:t xml:space="preserve"> V daních však platí presumpce viny a odběratel musí mít příslušné důkazy</w:t>
      </w:r>
      <w:r>
        <w:br w:type="textWrapping"/>
      </w:r>
      <w:r>
        <w:t xml:space="preserve">k dispozici.</w:t>
      </w:r>
    </w:p>
    <w:p>
      <w:pPr>
        <w:pStyle w:val="BodyText"/>
      </w:pPr>
      <w:r>
        <w:t xml:space="preserve">Reklama - judikatura</w:t>
      </w:r>
      <w:r>
        <w:br w:type="textWrapping"/>
      </w:r>
      <w:r>
        <w:t xml:space="preserve"> Socha, parní čistič a vstupenky na hrad v daňových nákladech (podle</w:t>
      </w:r>
      <w:r>
        <w:br w:type="textWrapping"/>
      </w:r>
      <w:r>
        <w:t xml:space="preserve">rozsudku Nejvyššího správního soudu 2 Afs 200/2005 – 86 ze dne 26. září</w:t>
      </w:r>
      <w:r>
        <w:br w:type="textWrapping"/>
      </w:r>
      <w:r>
        <w:t xml:space="preserve">2006)</w:t>
      </w:r>
      <w:r>
        <w:br w:type="textWrapping"/>
      </w:r>
      <w:r>
        <w:t xml:space="preserve"> DS provozující cestovní kancelář si do nákladů zahrnul barokní sochu, kterou</w:t>
      </w:r>
      <w:r>
        <w:br w:type="textWrapping"/>
      </w:r>
      <w:r>
        <w:t xml:space="preserve">měl umístěnu v zahradě před kanceláří – nebyla mu uznána. Neepomohla</w:t>
      </w:r>
      <w:r>
        <w:br w:type="textWrapping"/>
      </w:r>
      <w:r>
        <w:t xml:space="preserve">ani skutečnost, že v dalších létech sochu prodal téměř za pořizovací cenu a</w:t>
      </w:r>
      <w:r>
        <w:br w:type="textWrapping"/>
      </w:r>
      <w:r>
        <w:t xml:space="preserve">příjem zahrnul do daňového základu. V případě parního čističe poplatník</w:t>
      </w:r>
      <w:r>
        <w:br w:type="textWrapping"/>
      </w:r>
      <w:r>
        <w:t xml:space="preserve">přehlédl, že mu výdaj byl uznán z 92 % a mylně předpokládal, že nebyl</w:t>
      </w:r>
      <w:r>
        <w:br w:type="textWrapping"/>
      </w:r>
      <w:r>
        <w:t xml:space="preserve">uznán vůbec. Konečně v posledním případě zaplatil vstupné za skauty, poté,</w:t>
      </w:r>
      <w:r>
        <w:br w:type="textWrapping"/>
      </w:r>
      <w:r>
        <w:t xml:space="preserve">co neprošlo jako daňový náklad, pokusil se neúspěšně obhájit tento výdaj</w:t>
      </w:r>
      <w:r>
        <w:br w:type="textWrapping"/>
      </w:r>
      <w:r>
        <w:t xml:space="preserve">jako „charitativní“ dar.</w:t>
      </w:r>
    </w:p>
    <w:p>
      <w:pPr>
        <w:pStyle w:val="BodyText"/>
      </w:pPr>
      <w:r>
        <w:t xml:space="preserve">Reklama - judikatura</w:t>
      </w:r>
      <w:r>
        <w:br w:type="textWrapping"/>
      </w:r>
      <w:r>
        <w:t xml:space="preserve"> Věrnostní program a nárok na odpočet DPH (podle rozsudku Evropského</w:t>
      </w:r>
      <w:r>
        <w:br w:type="textWrapping"/>
      </w:r>
      <w:r>
        <w:t xml:space="preserve">soudního dvora C-48/97 (Kuwait Petroleum))</w:t>
      </w:r>
      <w:r>
        <w:br w:type="textWrapping"/>
      </w:r>
      <w:r>
        <w:t xml:space="preserve"> Dodavatel pohonných hmot – společnost Kuwait Petroleum poskytoval tento</w:t>
      </w:r>
      <w:r>
        <w:br w:type="textWrapping"/>
      </w:r>
      <w:r>
        <w:t xml:space="preserve">subjekt svým zákazníkům známky na „sběratelskou kartu“ za každých</w:t>
      </w:r>
      <w:r>
        <w:br w:type="textWrapping"/>
      </w:r>
      <w:r>
        <w:t xml:space="preserve">odebraných 12 litrů benzínu.</w:t>
      </w:r>
      <w:r>
        <w:br w:type="textWrapping"/>
      </w:r>
      <w:r>
        <w:t xml:space="preserve"> Po nasbírání určitého počtu známek bylo možno „sběratelské karty“ vyměnit</w:t>
      </w:r>
      <w:r>
        <w:br w:type="textWrapping"/>
      </w:r>
      <w:r>
        <w:t xml:space="preserve">za určité zboží (dárek).</w:t>
      </w:r>
      <w:r>
        <w:br w:type="textWrapping"/>
      </w:r>
      <w:r>
        <w:t xml:space="preserve"> Za příslušný dárek již zákazník nic nedoplácel.</w:t>
      </w:r>
      <w:r>
        <w:br w:type="textWrapping"/>
      </w:r>
      <w:r>
        <w:t xml:space="preserve"> Pokud se týká ceny pohonných hmot, ať už si zákazník vzal známku do</w:t>
      </w:r>
      <w:r>
        <w:br w:type="textWrapping"/>
      </w:r>
      <w:r>
        <w:t xml:space="preserve">sběratelské karty či nevzal, za pohonné hmoty platil stejnou částku.</w:t>
      </w:r>
    </w:p>
    <w:p>
      <w:pPr>
        <w:pStyle w:val="BodyText"/>
      </w:pPr>
      <w:r>
        <w:t xml:space="preserve">Reklama - judikatura</w:t>
      </w:r>
      <w:r>
        <w:br w:type="textWrapping"/>
      </w:r>
      <w:r>
        <w:t xml:space="preserve"> C-48/97 – pokrač.:</w:t>
      </w:r>
      <w:r>
        <w:br w:type="textWrapping"/>
      </w:r>
      <w:r>
        <w:t xml:space="preserve"> Poskytnutí kupónu při nákupu pohonných hmot bylo učiněno v souvislosti s</w:t>
      </w:r>
      <w:r>
        <w:br w:type="textWrapping"/>
      </w:r>
      <w:r>
        <w:t xml:space="preserve">podnikatelskou činností společnosti s cílem zvýšení prodeje. Společnosti</w:t>
      </w:r>
      <w:r>
        <w:br w:type="textWrapping"/>
      </w:r>
      <w:r>
        <w:t xml:space="preserve">tedy nikdo nezpochybňoval její oprávnění uplatnit si nárok na odpočet DPH</w:t>
      </w:r>
      <w:r>
        <w:br w:type="textWrapping"/>
      </w:r>
      <w:r>
        <w:t xml:space="preserve">na vstupu při pořízení zboží, které bylo následně poskytováno jako dárky</w:t>
      </w:r>
      <w:r>
        <w:br w:type="textWrapping"/>
      </w:r>
      <w:r>
        <w:t xml:space="preserve">zákazníkům dle jejich výběru z katalogu</w:t>
      </w:r>
      <w:r>
        <w:br w:type="textWrapping"/>
      </w:r>
      <w:r>
        <w:t xml:space="preserve"> ESD dospěl k tomu, že se společnosti nepodařilo prokázat, že cena</w:t>
      </w:r>
      <w:r>
        <w:br w:type="textWrapping"/>
      </w:r>
      <w:r>
        <w:t xml:space="preserve">hrazená za pohonné hmoty obsahovala v sobě část představující hodnotu</w:t>
      </w:r>
      <w:r>
        <w:br w:type="textWrapping"/>
      </w:r>
      <w:r>
        <w:t xml:space="preserve">„dárků“ vybraných z katalogu.</w:t>
      </w:r>
      <w:r>
        <w:br w:type="textWrapping"/>
      </w:r>
      <w:r>
        <w:t xml:space="preserve"> Poskytnutí dárků z katalogu tak bylo posouzeno jako samostatné zdanitelné</w:t>
      </w:r>
      <w:r>
        <w:br w:type="textWrapping"/>
      </w:r>
      <w:r>
        <w:t xml:space="preserve">plnění s povinností odvést DPH na výstupu.</w:t>
      </w:r>
    </w:p>
    <w:p>
      <w:pPr>
        <w:pStyle w:val="BodyText"/>
      </w:pPr>
      <w:r>
        <w:t xml:space="preserve">Reklama - judikatura</w:t>
      </w:r>
      <w:r>
        <w:br w:type="textWrapping"/>
      </w:r>
      <w:r>
        <w:t xml:space="preserve"> Nárok na odpočet DPH z ohňostroje (podle rozsudku Nejvyššího správního soudu</w:t>
      </w:r>
      <w:r>
        <w:br w:type="textWrapping"/>
      </w:r>
      <w:r>
        <w:t xml:space="preserve">5 Afs 152/2004 – 55 ze dne 4. srpna 2005)</w:t>
      </w:r>
      <w:r>
        <w:br w:type="textWrapping"/>
      </w:r>
      <w:r>
        <w:t xml:space="preserve"> Firma se snažila zviditelnit u svých zákazníků tím, že uspořádala ohňostroj.</w:t>
      </w:r>
      <w:r>
        <w:br w:type="textWrapping"/>
      </w:r>
      <w:r>
        <w:t xml:space="preserve">Finančním orgánům se příčilo uznat nárok na odpočet DPH na vstupu spatřovala</w:t>
      </w:r>
      <w:r>
        <w:br w:type="textWrapping"/>
      </w:r>
      <w:r>
        <w:t xml:space="preserve">v ní spíše plnění charakteru reprezentace.</w:t>
      </w:r>
      <w:r>
        <w:br w:type="textWrapping"/>
      </w:r>
      <w:r>
        <w:t xml:space="preserve"> DS však byl v tomto případě úspěšný a svůj nárok obhájil. Vzhledem k obdobnosti</w:t>
      </w:r>
      <w:r>
        <w:br w:type="textWrapping"/>
      </w:r>
      <w:r>
        <w:t xml:space="preserve">zmiňované problematiky jsou východiska z tohoto rozsudku aplikovatelná nejen na</w:t>
      </w:r>
      <w:r>
        <w:br w:type="textWrapping"/>
      </w:r>
      <w:r>
        <w:t xml:space="preserve">oblast DPH, ale i daňových nákladů u daně zpříjmů.</w:t>
      </w:r>
      <w:r>
        <w:br w:type="textWrapping"/>
      </w:r>
      <w:r>
        <w:t xml:space="preserve"> Zároveň nelze přehlédnout názor soudu, že se předmětná plnění nedají posuzovat</w:t>
      </w:r>
      <w:r>
        <w:br w:type="textWrapping"/>
      </w:r>
      <w:r>
        <w:t xml:space="preserve">plošně – co může být daňovým nákladem u jednoho subjektu vzhledem k jeho</w:t>
      </w:r>
      <w:r>
        <w:br w:type="textWrapping"/>
      </w:r>
      <w:r>
        <w:t xml:space="preserve">předmětu a způsobu podnikání, nemusí být uznáno u jiného.</w:t>
      </w:r>
    </w:p>
    <w:p>
      <w:pPr>
        <w:pStyle w:val="BodyText"/>
      </w:pPr>
      <w:r>
        <w:t xml:space="preserve">Reklama - judikatura</w:t>
      </w:r>
      <w:r>
        <w:br w:type="textWrapping"/>
      </w:r>
      <w:r>
        <w:t xml:space="preserve"> Dálniční známky zdarma MS v Praze čj. 5 Ca 67/2008-77 z 25.</w:t>
      </w:r>
      <w:r>
        <w:br w:type="textWrapping"/>
      </w:r>
      <w:r>
        <w:t xml:space="preserve">srpna 2010</w:t>
      </w:r>
      <w:r>
        <w:br w:type="textWrapping"/>
      </w:r>
      <w:r>
        <w:t xml:space="preserve"> DS poskytl svým zákazníkům dálniční známky, popř. poukázky na</w:t>
      </w:r>
      <w:r>
        <w:br w:type="textWrapping"/>
      </w:r>
      <w:r>
        <w:t xml:space="preserve">pohonné hmoty zdarma, jako „bonus“ za to, že si u něj nechají</w:t>
      </w:r>
      <w:r>
        <w:br w:type="textWrapping"/>
      </w:r>
      <w:r>
        <w:t xml:space="preserve">opravit havarované auto. Zákazníci nehradili ani opravu (tu hradila</w:t>
      </w:r>
      <w:r>
        <w:br w:type="textWrapping"/>
      </w:r>
      <w:r>
        <w:t xml:space="preserve">pojišťovna) ani cenu dálniční známky či poukázky na benzín.</w:t>
      </w:r>
      <w:r>
        <w:br w:type="textWrapping"/>
      </w:r>
      <w:r>
        <w:t xml:space="preserve">Finanční orgány i soud posoudily výdaje na nákup dálniční</w:t>
      </w:r>
      <w:r>
        <w:br w:type="textWrapping"/>
      </w:r>
      <w:r>
        <w:t xml:space="preserve">známky i poukázek na pohonné hmoty jako daňově neuznatelný</w:t>
      </w:r>
      <w:r>
        <w:br w:type="textWrapping"/>
      </w:r>
      <w:r>
        <w:t xml:space="preserve">výdaj na reprezentaci.</w:t>
      </w:r>
    </w:p>
    <w:p>
      <w:pPr>
        <w:pStyle w:val="BodyText"/>
      </w:pPr>
      <w:r>
        <w:t xml:space="preserve">Reklama - judikatura</w:t>
      </w:r>
      <w:r>
        <w:br w:type="textWrapping"/>
      </w:r>
      <w:r>
        <w:t xml:space="preserve"> Přeprava, vstupné a občerstvení účastníků „prodejních“ zájezdů NSS</w:t>
      </w:r>
      <w:r>
        <w:br w:type="textWrapping"/>
      </w:r>
      <w:r>
        <w:t xml:space="preserve">čj. 2 Afs 6/2004 – 67 z 27. 10. 2004)</w:t>
      </w:r>
      <w:r>
        <w:br w:type="textWrapping"/>
      </w:r>
      <w:r>
        <w:t xml:space="preserve"> výdaje za stravování účastníků, vstupné na prohlídku pivovaru, náklady</w:t>
      </w:r>
      <w:r>
        <w:br w:type="textWrapping"/>
      </w:r>
      <w:r>
        <w:t xml:space="preserve">za výlet lodí, výlety parním vlakem a za přepravu autobusem,</w:t>
      </w:r>
      <w:r>
        <w:br w:type="textWrapping"/>
      </w:r>
      <w:r>
        <w:t xml:space="preserve"> hlavní činnost žalobkyně spočívá v nákupu zboží za účelem jeho</w:t>
      </w:r>
      <w:r>
        <w:br w:type="textWrapping"/>
      </w:r>
      <w:r>
        <w:t xml:space="preserve">dalšího prodeje, který je realizován prostřednictvím prodejních zájezdů.</w:t>
      </w:r>
      <w:r>
        <w:br w:type="textWrapping"/>
      </w:r>
      <w:r>
        <w:t xml:space="preserve"> potenciálním zákazníkům jsou nabízeny kulturní akce, společný oběd,</w:t>
      </w:r>
      <w:r>
        <w:br w:type="textWrapping"/>
      </w:r>
      <w:r>
        <w:t xml:space="preserve">výlety rekreační lodí nebo vlakem a upomínkové předměty. Podle</w:t>
      </w:r>
      <w:r>
        <w:br w:type="textWrapping"/>
      </w:r>
      <w:r>
        <w:t xml:space="preserve">vyjádření stěžovatelky je jejím příjmem účastnický poplatek zaplacený</w:t>
      </w:r>
      <w:r>
        <w:br w:type="textWrapping"/>
      </w:r>
      <w:r>
        <w:t xml:space="preserve">účastníky zájezdu a tržby ze zboží prodaného na přednáškách. U takto</w:t>
      </w:r>
      <w:r>
        <w:br w:type="textWrapping"/>
      </w:r>
      <w:r>
        <w:t xml:space="preserve">prodávaného zboží činí obchodní přirážka přibližně 200 %.</w:t>
      </w:r>
    </w:p>
    <w:p>
      <w:pPr>
        <w:pStyle w:val="BodyText"/>
      </w:pPr>
      <w:r>
        <w:t xml:space="preserve">Reklama - judikatura</w:t>
      </w:r>
      <w:r>
        <w:br w:type="textWrapping"/>
      </w:r>
      <w:r>
        <w:t xml:space="preserve"> 2 Afs 6/2004 pokrač.:</w:t>
      </w:r>
      <w:r>
        <w:br w:type="textWrapping"/>
      </w:r>
      <w:r>
        <w:t xml:space="preserve"> Ve spise je založen vzor nabídkového listu, prostřednictvím kterého</w:t>
      </w:r>
      <w:r>
        <w:br w:type="textWrapping"/>
      </w:r>
      <w:r>
        <w:t xml:space="preserve">stěžovatelka nabízí zájezd autobusem, prezentovaný jako „Super výlet s</w:t>
      </w:r>
      <w:r>
        <w:br w:type="textWrapping"/>
      </w:r>
      <w:r>
        <w:t xml:space="preserve">jedinou reklamní akcí“, „Výlet parním vlakem pro všechny zdarma“, „Toulky</w:t>
      </w:r>
      <w:r>
        <w:br w:type="textWrapping"/>
      </w:r>
      <w:r>
        <w:t xml:space="preserve">Severní Moravou za železniční historií“. Dále je na letáku uvedeno, že se</w:t>
      </w:r>
      <w:r>
        <w:br w:type="textWrapping"/>
      </w:r>
      <w:r>
        <w:t xml:space="preserve">frekventanti zájezdu zúčastní reklamní prezentace zboží s možností</w:t>
      </w:r>
      <w:r>
        <w:br w:type="textWrapping"/>
      </w:r>
      <w:r>
        <w:t xml:space="preserve">zakoupení levného oběda, zúčastní se prohlídky města Králíky</w:t>
      </w:r>
      <w:r>
        <w:br w:type="textWrapping"/>
      </w:r>
      <w:r>
        <w:t xml:space="preserve"> a historických památek v Letohradě. Účastnický poplatek zájezdu činil 140</w:t>
      </w:r>
      <w:r>
        <w:br w:type="textWrapping"/>
      </w:r>
      <w:r>
        <w:t xml:space="preserve">Kč.</w:t>
      </w:r>
      <w:r>
        <w:br w:type="textWrapping"/>
      </w:r>
      <w:r>
        <w:t xml:space="preserve"> NO nebyl uznán</w:t>
      </w:r>
    </w:p>
    <w:p>
      <w:pPr>
        <w:pStyle w:val="BodyText"/>
      </w:pPr>
      <w:r>
        <w:t xml:space="preserve">Dokazování ve vybraných případech</w:t>
      </w:r>
      <w:r>
        <w:br w:type="textWrapping"/>
      </w:r>
      <w:r>
        <w:t xml:space="preserve"> I zde platí základní schéma dokazování:</w:t>
      </w:r>
      <w:r>
        <w:br w:type="textWrapping"/>
      </w:r>
      <w:r>
        <w:t xml:space="preserve">1) Povinnost DS k tvrzení (např. podat DP)</w:t>
      </w:r>
      <w:r>
        <w:br w:type="textWrapping"/>
      </w:r>
      <w:r>
        <w:t xml:space="preserve">2) Výzva SD k prokázání</w:t>
      </w:r>
      <w:r>
        <w:br w:type="textWrapping"/>
      </w:r>
      <w:r>
        <w:t xml:space="preserve">3) Povinnost DS důkazní (doložit tvrzení)</w:t>
      </w:r>
      <w:r>
        <w:br w:type="textWrapping"/>
      </w:r>
      <w:r>
        <w:t xml:space="preserve">4) Povinnost SD prokázat, proč má pochybnosti</w:t>
      </w:r>
      <w:r>
        <w:br w:type="textWrapping"/>
      </w:r>
      <w:r>
        <w:t xml:space="preserve">5) Povinnost DS pochybnosti vyvrátit</w:t>
      </w:r>
    </w:p>
    <w:p>
      <w:pPr>
        <w:pStyle w:val="Heading2"/>
      </w:pPr>
      <w:bookmarkStart w:id="109" w:name="opravné-a-dozorčí-prostředky-v-daňovém-řízení"/>
      <w:bookmarkEnd w:id="109"/>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10"/>
      </w:r>
      <w:r>
        <w:t xml:space="preserve"> </w:t>
      </w:r>
      <w:r>
        <w:t xml:space="preserve">v daňovém řízení -</w:t>
      </w:r>
      <w:r>
        <w:t xml:space="preserve"> </w:t>
      </w:r>
      <w:r>
        <w:rPr>
          <w:b/>
        </w:rPr>
        <w:t xml:space="preserve">daňový řád</w:t>
      </w:r>
      <w:r>
        <w:t xml:space="preserve">.</w:t>
      </w:r>
    </w:p>
    <w:p>
      <w:pPr>
        <w:pStyle w:val="Compact"/>
        <w:numPr>
          <w:numId w:val="1152"/>
          <w:ilvl w:val="0"/>
        </w:numPr>
      </w:pPr>
      <w:r>
        <w:t xml:space="preserve">Paragrafy 108 až §124a.</w:t>
      </w:r>
    </w:p>
    <w:p>
      <w:pPr>
        <w:pStyle w:val="Heading3"/>
      </w:pPr>
      <w:bookmarkStart w:id="111" w:name="použití-opravných-a-dozorčích-prostředků"/>
      <w:bookmarkEnd w:id="111"/>
      <w:r>
        <w:t xml:space="preserve">Použití opravných a dozorčích prostředků</w:t>
      </w:r>
    </w:p>
    <w:p>
      <w:pPr>
        <w:pStyle w:val="Compact"/>
        <w:numPr>
          <w:numId w:val="1153"/>
          <w:ilvl w:val="0"/>
        </w:numPr>
      </w:pPr>
      <w:r>
        <w:t xml:space="preserve">Rozhodnutí vydané při správě daní lze přezkoumat na základě:</w:t>
      </w:r>
    </w:p>
    <w:p>
      <w:pPr>
        <w:pStyle w:val="Compact"/>
        <w:numPr>
          <w:numId w:val="1154"/>
          <w:ilvl w:val="1"/>
        </w:numPr>
      </w:pPr>
      <w:r>
        <w:t xml:space="preserve">řádného opravného prostředku, kterým je odvolání nebo rozklad,</w:t>
      </w:r>
    </w:p>
    <w:p>
      <w:pPr>
        <w:pStyle w:val="Compact"/>
        <w:numPr>
          <w:numId w:val="1155"/>
          <w:ilvl w:val="1"/>
        </w:numPr>
      </w:pPr>
      <w:r>
        <w:t xml:space="preserve">mimořádného opravného prostředku, kterým je návrh na povolení obnovy řízení, nebo</w:t>
      </w:r>
    </w:p>
    <w:p>
      <w:pPr>
        <w:pStyle w:val="Compact"/>
        <w:numPr>
          <w:numId w:val="1156"/>
          <w:ilvl w:val="1"/>
        </w:numPr>
      </w:pPr>
      <w:r>
        <w:t xml:space="preserve">dozorčího prostředku, kterým je nařízení obnovy řízení a nařízení přezkoumání rozhodnutí.</w:t>
      </w:r>
    </w:p>
    <w:p>
      <w:pPr>
        <w:numPr>
          <w:numId w:val="1153"/>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153"/>
          <w:ilvl w:val="0"/>
        </w:numPr>
      </w:pPr>
      <w:r>
        <w:t xml:space="preserve">Opravné a dozorčí prostředky v daňovém řízení</w:t>
      </w:r>
    </w:p>
    <w:p>
      <w:pPr>
        <w:pStyle w:val="Compact"/>
        <w:numPr>
          <w:numId w:val="1153"/>
          <w:ilvl w:val="0"/>
        </w:numPr>
      </w:pPr>
      <w:r>
        <w:t xml:space="preserve">Řádný opravný prostředek</w:t>
      </w:r>
    </w:p>
    <w:p>
      <w:pPr>
        <w:pStyle w:val="Compact"/>
        <w:numPr>
          <w:numId w:val="1153"/>
          <w:ilvl w:val="0"/>
        </w:numPr>
      </w:pPr>
      <w:r>
        <w:t xml:space="preserve">odvolání</w:t>
      </w:r>
    </w:p>
    <w:p>
      <w:pPr>
        <w:pStyle w:val="Compact"/>
        <w:numPr>
          <w:numId w:val="1153"/>
          <w:ilvl w:val="0"/>
        </w:numPr>
      </w:pPr>
      <w:r>
        <w:t xml:space="preserve">Rozklad</w:t>
      </w:r>
    </w:p>
    <w:p>
      <w:pPr>
        <w:pStyle w:val="Compact"/>
        <w:numPr>
          <w:numId w:val="1153"/>
          <w:ilvl w:val="0"/>
        </w:numPr>
      </w:pPr>
      <w:r>
        <w:t xml:space="preserve">Mimořádný opravný prostředek</w:t>
      </w:r>
    </w:p>
    <w:p>
      <w:pPr>
        <w:pStyle w:val="Compact"/>
        <w:numPr>
          <w:numId w:val="1153"/>
          <w:ilvl w:val="0"/>
        </w:numPr>
      </w:pPr>
      <w:r>
        <w:t xml:space="preserve">návrh na povolení obnovy řízení - pokud podá sám stěžovatel</w:t>
      </w:r>
    </w:p>
    <w:p>
      <w:pPr>
        <w:pStyle w:val="Compact"/>
        <w:numPr>
          <w:numId w:val="1153"/>
          <w:ilvl w:val="0"/>
        </w:numPr>
      </w:pPr>
      <w:r>
        <w:t xml:space="preserve">Dozorčí prostředek</w:t>
      </w:r>
    </w:p>
    <w:p>
      <w:pPr>
        <w:pStyle w:val="Compact"/>
        <w:numPr>
          <w:numId w:val="1153"/>
          <w:ilvl w:val="0"/>
        </w:numPr>
      </w:pPr>
      <w:r>
        <w:t xml:space="preserve">nařízení obnovy - z moci úřední</w:t>
      </w:r>
    </w:p>
    <w:p>
      <w:pPr>
        <w:numPr>
          <w:numId w:val="1153"/>
          <w:ilvl w:val="0"/>
        </w:numPr>
      </w:pPr>
      <w:r>
        <w:t xml:space="preserve">nařízení přezkoumání</w:t>
      </w:r>
    </w:p>
    <w:p>
      <w:pPr>
        <w:pStyle w:val="Compact"/>
        <w:numPr>
          <w:numId w:val="1153"/>
          <w:ilvl w:val="0"/>
        </w:numPr>
      </w:pPr>
      <w:r>
        <w:rPr>
          <w:b/>
        </w:rPr>
        <w:t xml:space="preserve">Odvolání (§ 109-116 DŘ)</w:t>
      </w:r>
    </w:p>
    <w:p>
      <w:pPr>
        <w:pStyle w:val="Compact"/>
        <w:numPr>
          <w:numId w:val="1153"/>
          <w:ilvl w:val="0"/>
        </w:numPr>
      </w:pPr>
      <w:r>
        <w:t xml:space="preserve">Obecná ustanovení o odvolání</w:t>
      </w:r>
    </w:p>
    <w:p>
      <w:pPr>
        <w:pStyle w:val="Compact"/>
        <w:numPr>
          <w:numId w:val="1157"/>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157"/>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157"/>
          <w:ilvl w:val="1"/>
        </w:numPr>
      </w:pPr>
      <w:r>
        <w:t xml:space="preserve">Odvolání se podává u správce daně, jehož rozhodnutí je odvoláním napadeno.</w:t>
      </w:r>
    </w:p>
    <w:p>
      <w:pPr>
        <w:pStyle w:val="Compact"/>
        <w:numPr>
          <w:numId w:val="1157"/>
          <w:ilvl w:val="1"/>
        </w:numPr>
      </w:pPr>
      <w:r>
        <w:t xml:space="preserve">Odvolání lze podat do 30 dnů ode dne doručení rozhodnutí, proti němuž odvolání směřuje, a to i před doručením tohoto rozhodnutí.</w:t>
      </w:r>
    </w:p>
    <w:p>
      <w:pPr>
        <w:pStyle w:val="Compact"/>
        <w:numPr>
          <w:numId w:val="1157"/>
          <w:ilvl w:val="1"/>
        </w:numPr>
      </w:pPr>
      <w:r>
        <w:t xml:space="preserve">Pokud je nesprávné poučení podle §102 - do 30 dní od doručení správného rozhodnutí, maximálně do 3 měsíců od původního rozhodnutí.</w:t>
      </w:r>
    </w:p>
    <w:p>
      <w:pPr>
        <w:pStyle w:val="Compact"/>
        <w:numPr>
          <w:numId w:val="1157"/>
          <w:ilvl w:val="1"/>
        </w:numPr>
      </w:pPr>
      <w:r>
        <w:t xml:space="preserve">Pokud je v poučení nesprávně určeno, že odvolání je přípustné - řízení o odvolání se zastaví, pokud bylo podáno.</w:t>
      </w:r>
    </w:p>
    <w:p>
      <w:pPr>
        <w:pStyle w:val="Compact"/>
        <w:numPr>
          <w:numId w:val="1157"/>
          <w:ilvl w:val="1"/>
        </w:numPr>
      </w:pPr>
      <w:r>
        <w:t xml:space="preserve">Pokud je v poučení nesprávně určen odkladný účinek, i když ho zákon nepřiznává - nastává odkladný účinek.</w:t>
      </w:r>
    </w:p>
    <w:p>
      <w:pPr>
        <w:pStyle w:val="Compact"/>
        <w:numPr>
          <w:numId w:val="1157"/>
          <w:ilvl w:val="1"/>
        </w:numPr>
      </w:pPr>
      <w:r>
        <w:t xml:space="preserve">Odvolání nemá odkladný účinek, pokud zákon nestanoví jinak.</w:t>
      </w:r>
    </w:p>
    <w:p>
      <w:pPr>
        <w:pStyle w:val="Compact"/>
        <w:numPr>
          <w:numId w:val="1153"/>
          <w:ilvl w:val="0"/>
        </w:numPr>
      </w:pPr>
      <w:r>
        <w:t xml:space="preserve">Náležitosti odvolání</w:t>
      </w:r>
    </w:p>
    <w:p>
      <w:pPr>
        <w:pStyle w:val="Compact"/>
        <w:numPr>
          <w:numId w:val="1158"/>
          <w:ilvl w:val="1"/>
        </w:numPr>
      </w:pPr>
      <w:r>
        <w:t xml:space="preserve">Odvolání lze vzít zpět.</w:t>
      </w:r>
    </w:p>
    <w:p>
      <w:pPr>
        <w:pStyle w:val="Compact"/>
        <w:numPr>
          <w:numId w:val="1158"/>
          <w:ilvl w:val="1"/>
        </w:numPr>
      </w:pPr>
      <w:r>
        <w:t xml:space="preserve">Dokud neuplyne lhůta pro odvolání je možné ho měnit, doplňovat, nebo vzít zpět.</w:t>
      </w:r>
    </w:p>
    <w:p>
      <w:pPr>
        <w:pStyle w:val="Compact"/>
        <w:numPr>
          <w:numId w:val="1158"/>
          <w:ilvl w:val="1"/>
        </w:numPr>
      </w:pPr>
      <w:r>
        <w:t xml:space="preserve">Zpětvzetím je odvolací řízení zastaveno - původní rozhodnutí nabývá právní moci.</w:t>
      </w:r>
    </w:p>
    <w:p>
      <w:pPr>
        <w:pStyle w:val="Compact"/>
        <w:numPr>
          <w:numId w:val="1158"/>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158"/>
          <w:ilvl w:val="1"/>
        </w:numPr>
      </w:pPr>
      <w:r>
        <w:t xml:space="preserve">Odvolání musí mít následující náležitosti:</w:t>
      </w:r>
    </w:p>
    <w:p>
      <w:pPr>
        <w:pStyle w:val="Compact"/>
        <w:numPr>
          <w:numId w:val="1158"/>
          <w:ilvl w:val="1"/>
        </w:numPr>
      </w:pPr>
      <w:r>
        <w:t xml:space="preserve">označení správního orgánu, který napadané rozhodnutí vydal</w:t>
      </w:r>
    </w:p>
    <w:p>
      <w:pPr>
        <w:pStyle w:val="Compact"/>
        <w:numPr>
          <w:numId w:val="1158"/>
          <w:ilvl w:val="1"/>
        </w:numPr>
      </w:pPr>
      <w:r>
        <w:t xml:space="preserve">označení odvolatele,</w:t>
      </w:r>
    </w:p>
    <w:p>
      <w:pPr>
        <w:pStyle w:val="Compact"/>
        <w:numPr>
          <w:numId w:val="1158"/>
          <w:ilvl w:val="1"/>
        </w:numPr>
      </w:pPr>
      <w:r>
        <w:t xml:space="preserve">identifikace rozhodnutí,</w:t>
      </w:r>
    </w:p>
    <w:p>
      <w:pPr>
        <w:pStyle w:val="Compact"/>
        <w:numPr>
          <w:numId w:val="1158"/>
          <w:ilvl w:val="1"/>
        </w:numPr>
      </w:pPr>
      <w:r>
        <w:t xml:space="preserve">uvedení důvodů, v nichž jsou spatřovány nesprávnosti nebo nezákonnosti napadeného rozhodnutí,</w:t>
      </w:r>
    </w:p>
    <w:p>
      <w:pPr>
        <w:pStyle w:val="Compact"/>
        <w:numPr>
          <w:numId w:val="1158"/>
          <w:ilvl w:val="1"/>
        </w:numPr>
      </w:pPr>
      <w:r>
        <w:t xml:space="preserve">označení důkazů,</w:t>
      </w:r>
    </w:p>
    <w:p>
      <w:pPr>
        <w:pStyle w:val="Compact"/>
        <w:numPr>
          <w:numId w:val="1158"/>
          <w:ilvl w:val="1"/>
        </w:numPr>
      </w:pPr>
      <w:r>
        <w:t xml:space="preserve">návrh na změnu, nebo zrušení rozhodnutí.</w:t>
      </w:r>
    </w:p>
    <w:p>
      <w:pPr>
        <w:pStyle w:val="Compact"/>
        <w:numPr>
          <w:numId w:val="1158"/>
          <w:ilvl w:val="1"/>
        </w:numPr>
      </w:pPr>
      <w:r>
        <w:t xml:space="preserve">Pokud odvolání obsahuje vady - vyzve ho správce daně k nápravě v minimální lhůtě 15 dní, pokud nejsou vady opraveny - řízení se zastaví.</w:t>
      </w:r>
    </w:p>
    <w:p>
      <w:pPr>
        <w:pStyle w:val="Compact"/>
        <w:numPr>
          <w:numId w:val="1153"/>
          <w:ilvl w:val="0"/>
        </w:numPr>
      </w:pPr>
      <w:r>
        <w:t xml:space="preserve">Postup správce daně prvního stupně</w:t>
      </w:r>
    </w:p>
    <w:p>
      <w:pPr>
        <w:pStyle w:val="Compact"/>
        <w:numPr>
          <w:numId w:val="1159"/>
          <w:ilvl w:val="1"/>
        </w:numPr>
      </w:pPr>
      <w:r>
        <w:t xml:space="preserve">Může rozhodnout o odvolání sám pokud - mu plně vyhoví a toto rozhodnutí není v rozporu s vyjádřením příjemců,</w:t>
      </w:r>
    </w:p>
    <w:p>
      <w:pPr>
        <w:pStyle w:val="Compact"/>
        <w:numPr>
          <w:numId w:val="1159"/>
          <w:ilvl w:val="1"/>
        </w:numPr>
      </w:pPr>
      <w:r>
        <w:t xml:space="preserve">Může rozhodnout pokud mu vyhoví částečně,</w:t>
      </w:r>
    </w:p>
    <w:p>
      <w:pPr>
        <w:pStyle w:val="Compact"/>
        <w:numPr>
          <w:numId w:val="1159"/>
          <w:ilvl w:val="1"/>
        </w:numPr>
      </w:pPr>
      <w:r>
        <w:t xml:space="preserve">Může řízení zastavit, pokud je odvolání nepřípustné, nebo bylo podáno po lhůtě.</w:t>
      </w:r>
    </w:p>
    <w:p>
      <w:pPr>
        <w:pStyle w:val="Compact"/>
        <w:numPr>
          <w:numId w:val="1153"/>
          <w:ilvl w:val="0"/>
        </w:numPr>
      </w:pPr>
      <w:r>
        <w:t xml:space="preserve">Postup odvolacího orgánu</w:t>
      </w:r>
    </w:p>
    <w:p>
      <w:pPr>
        <w:pStyle w:val="Compact"/>
        <w:numPr>
          <w:numId w:val="1160"/>
          <w:ilvl w:val="1"/>
        </w:numPr>
      </w:pPr>
      <w:r>
        <w:t xml:space="preserve">Pokud o něm nemůže rozhodnout správce v prvním stupni.</w:t>
      </w:r>
    </w:p>
    <w:p>
      <w:pPr>
        <w:pStyle w:val="Compact"/>
        <w:numPr>
          <w:numId w:val="1160"/>
          <w:ilvl w:val="1"/>
        </w:numPr>
      </w:pPr>
      <w:r>
        <w:t xml:space="preserve">Odvolacím orgánem je orgán nejblíže nadřazený správci daně, který rozhodnutí vydal.</w:t>
      </w:r>
    </w:p>
    <w:p>
      <w:pPr>
        <w:pStyle w:val="Compact"/>
        <w:numPr>
          <w:numId w:val="1160"/>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160"/>
          <w:ilvl w:val="1"/>
        </w:numPr>
      </w:pPr>
      <w:r>
        <w:t xml:space="preserve">Rovněž může provádět vlastní šetření a doplňovat.</w:t>
      </w:r>
    </w:p>
    <w:p>
      <w:pPr>
        <w:pStyle w:val="Compact"/>
        <w:numPr>
          <w:numId w:val="1160"/>
          <w:ilvl w:val="1"/>
        </w:numPr>
      </w:pPr>
      <w:r>
        <w:t xml:space="preserve">Musí s nimi odvolatele seznámit, umožnit mu se k nim vyjádřit a navrhnout vlastní.</w:t>
      </w:r>
    </w:p>
    <w:p>
      <w:pPr>
        <w:pStyle w:val="Compact"/>
        <w:numPr>
          <w:numId w:val="1160"/>
          <w:ilvl w:val="1"/>
        </w:numPr>
      </w:pPr>
      <w:r>
        <w:t xml:space="preserve">Lhůta maximálně 15 dní.</w:t>
      </w:r>
    </w:p>
    <w:p>
      <w:pPr>
        <w:pStyle w:val="Compact"/>
        <w:numPr>
          <w:numId w:val="1160"/>
          <w:ilvl w:val="1"/>
        </w:numPr>
      </w:pPr>
      <w:r>
        <w:t xml:space="preserve">Může prověřit použití pomůcek pro stanovení výše daně, pokud proti nim odvolání směřuje.</w:t>
      </w:r>
    </w:p>
    <w:p>
      <w:pPr>
        <w:pStyle w:val="Compact"/>
        <w:numPr>
          <w:numId w:val="1160"/>
          <w:ilvl w:val="1"/>
        </w:numPr>
      </w:pPr>
      <w:r>
        <w:t xml:space="preserve">Rozhodnutí:</w:t>
      </w:r>
    </w:p>
    <w:p>
      <w:pPr>
        <w:pStyle w:val="Compact"/>
        <w:numPr>
          <w:numId w:val="1160"/>
          <w:ilvl w:val="1"/>
        </w:numPr>
      </w:pPr>
      <w:r>
        <w:t xml:space="preserve">napadené rozhodnutí změní,</w:t>
      </w:r>
    </w:p>
    <w:p>
      <w:pPr>
        <w:pStyle w:val="Compact"/>
        <w:numPr>
          <w:numId w:val="1160"/>
          <w:ilvl w:val="1"/>
        </w:numPr>
      </w:pPr>
      <w:r>
        <w:t xml:space="preserve">napadené rozhodnutí zruší a zastaví řízení,</w:t>
      </w:r>
    </w:p>
    <w:p>
      <w:pPr>
        <w:pStyle w:val="Compact"/>
        <w:numPr>
          <w:numId w:val="1160"/>
          <w:ilvl w:val="1"/>
        </w:numPr>
      </w:pPr>
      <w:r>
        <w:t xml:space="preserve">odvolání zamítne a napadené rozhodnutí potvrdí,</w:t>
      </w:r>
    </w:p>
    <w:p>
      <w:pPr>
        <w:pStyle w:val="Compact"/>
        <w:numPr>
          <w:numId w:val="1160"/>
          <w:ilvl w:val="1"/>
        </w:numPr>
      </w:pPr>
      <w:r>
        <w:t xml:space="preserve">pokud zjistí, že mohl rozhodnout správce daně v prvním stupni, může mu odvolání vrátit s právním názorem.</w:t>
      </w:r>
    </w:p>
    <w:p>
      <w:pPr>
        <w:pStyle w:val="Compact"/>
        <w:numPr>
          <w:numId w:val="1160"/>
          <w:ilvl w:val="1"/>
        </w:numPr>
      </w:pPr>
      <w:r>
        <w:t xml:space="preserve">Nelze se proti tomuto rozhodnutí dále odvolat - lze pouze použít mimořádné opravné prostředky.</w:t>
      </w:r>
    </w:p>
    <w:p>
      <w:pPr>
        <w:pStyle w:val="Compact"/>
        <w:numPr>
          <w:numId w:val="1153"/>
          <w:ilvl w:val="0"/>
        </w:numPr>
      </w:pPr>
      <w:r>
        <w:t xml:space="preserve">Obnova řízení (§117-120 DŘ)</w:t>
      </w:r>
    </w:p>
    <w:p>
      <w:pPr>
        <w:pStyle w:val="Compact"/>
        <w:numPr>
          <w:numId w:val="1153"/>
          <w:ilvl w:val="0"/>
        </w:numPr>
      </w:pPr>
      <w:r>
        <w:t xml:space="preserve">Povolení obnovy řízení</w:t>
      </w:r>
    </w:p>
    <w:p>
      <w:pPr>
        <w:pStyle w:val="Compact"/>
        <w:numPr>
          <w:numId w:val="1161"/>
          <w:ilvl w:val="1"/>
        </w:numPr>
      </w:pPr>
      <w:r>
        <w:t xml:space="preserve">Řízení ukončené pravomocným rozhodnutím správce daně se obnoví na návrh příjemce rozhodnutí, nebo z moci úřední, jestliže:</w:t>
      </w:r>
    </w:p>
    <w:p>
      <w:pPr>
        <w:pStyle w:val="Compact"/>
        <w:numPr>
          <w:numId w:val="1161"/>
          <w:ilvl w:val="1"/>
        </w:numPr>
      </w:pPr>
      <w:r>
        <w:t xml:space="preserve">vyšly najevo nové skutečnosti, nebo důkazy,</w:t>
      </w:r>
    </w:p>
    <w:p>
      <w:pPr>
        <w:pStyle w:val="Compact"/>
        <w:numPr>
          <w:numId w:val="1161"/>
          <w:ilvl w:val="1"/>
        </w:numPr>
      </w:pPr>
      <w:r>
        <w:t xml:space="preserve">za jiných zákonem stanovených podmínek - například bylo rozhodnuto kvůli padělaným dokladům, nebo bylo rozhodnutí dosaženo pomocí trestného činu.</w:t>
      </w:r>
    </w:p>
    <w:p>
      <w:pPr>
        <w:pStyle w:val="Compact"/>
        <w:numPr>
          <w:numId w:val="1161"/>
          <w:ilvl w:val="1"/>
        </w:numPr>
      </w:pPr>
      <w:r>
        <w:t xml:space="preserve">Návrh se podává u správce daně, který o věci rozhodl v prvním stupni.</w:t>
      </w:r>
    </w:p>
    <w:p>
      <w:pPr>
        <w:pStyle w:val="Compact"/>
        <w:numPr>
          <w:numId w:val="1161"/>
          <w:ilvl w:val="1"/>
        </w:numPr>
      </w:pPr>
      <w:r>
        <w:t xml:space="preserve">Existuje subjektivní lhůta 6 měsíců ode dne, kdy se navrhovatel měl dozvědět o skutečnostech, objektivní lhůta je 3 roky.</w:t>
      </w:r>
    </w:p>
    <w:p>
      <w:pPr>
        <w:pStyle w:val="Compact"/>
        <w:numPr>
          <w:numId w:val="1161"/>
          <w:ilvl w:val="1"/>
        </w:numPr>
      </w:pPr>
      <w:r>
        <w:t xml:space="preserve">Návrh musí obsahovat okolnosti svědčící o jeho důvodnosti a dodržení lhůty.</w:t>
      </w:r>
    </w:p>
    <w:p>
      <w:pPr>
        <w:pStyle w:val="Compact"/>
        <w:numPr>
          <w:numId w:val="1161"/>
          <w:ilvl w:val="1"/>
        </w:numPr>
      </w:pPr>
      <w:r>
        <w:t xml:space="preserve">Obnovu řízení povolí nebo nařídí správce daně, který ve věci rozhodl v posledním stupni, a neshledá-li důvod povolení obnovy, návrh zamítne.</w:t>
      </w:r>
    </w:p>
    <w:p>
      <w:pPr>
        <w:pStyle w:val="Compact"/>
        <w:numPr>
          <w:numId w:val="1161"/>
          <w:ilvl w:val="1"/>
        </w:numPr>
      </w:pPr>
      <w:r>
        <w:t xml:space="preserve">Řízení probíhá u správce daně v prvním stupni, zahajuje se rozhodnutím, má odkladné účinky a pokud bude vydáno nové rozhodnutí se původní rozhodnutí ruší.</w:t>
      </w:r>
    </w:p>
    <w:p>
      <w:pPr>
        <w:numPr>
          <w:numId w:val="1153"/>
          <w:ilvl w:val="0"/>
        </w:numPr>
      </w:pPr>
      <w:r>
        <w:t xml:space="preserve">Nařízení obnovy řízení (dozorčí prostředek)</w:t>
      </w:r>
    </w:p>
    <w:p>
      <w:pPr>
        <w:pStyle w:val="Compact"/>
        <w:numPr>
          <w:numId w:val="1153"/>
          <w:ilvl w:val="0"/>
        </w:numPr>
      </w:pPr>
      <w:r>
        <w:t xml:space="preserve">Přezkumné řízení (§ 121-123)</w:t>
      </w:r>
    </w:p>
    <w:p>
      <w:pPr>
        <w:pStyle w:val="Compact"/>
        <w:numPr>
          <w:numId w:val="1153"/>
          <w:ilvl w:val="0"/>
        </w:numPr>
      </w:pPr>
      <w:r>
        <w:t xml:space="preserve">Nařízení přezkoumání rozhodnutí (dozorčí prostředek)</w:t>
      </w:r>
    </w:p>
    <w:p>
      <w:pPr>
        <w:pStyle w:val="Compact"/>
        <w:numPr>
          <w:numId w:val="1162"/>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162"/>
          <w:ilvl w:val="1"/>
        </w:numPr>
      </w:pPr>
      <w:r>
        <w:t xml:space="preserve">Podnět může podat kterýkoliv správce daně, u správce daně, který rozhodl v řízení v posledním stupni.</w:t>
      </w:r>
    </w:p>
    <w:p>
      <w:pPr>
        <w:pStyle w:val="Compact"/>
        <w:numPr>
          <w:numId w:val="1153"/>
          <w:ilvl w:val="0"/>
        </w:numPr>
      </w:pPr>
      <w:r>
        <w:t xml:space="preserve">Postup při přezkumném řízení</w:t>
      </w:r>
    </w:p>
    <w:p>
      <w:pPr>
        <w:pStyle w:val="Compact"/>
        <w:numPr>
          <w:numId w:val="1163"/>
          <w:ilvl w:val="1"/>
        </w:numPr>
      </w:pPr>
      <w:r>
        <w:t xml:space="preserve">Přezkoumání rozhodnutí nařídí správce daně nejblíže nadřízený správci daně, který ve věci rozhodl v posledním stupni.</w:t>
      </w:r>
    </w:p>
    <w:p>
      <w:pPr>
        <w:pStyle w:val="Compact"/>
        <w:numPr>
          <w:numId w:val="1163"/>
          <w:ilvl w:val="1"/>
        </w:numPr>
      </w:pPr>
      <w:r>
        <w:t xml:space="preserve">Maximálně ve lhůtě 3 let.</w:t>
      </w:r>
    </w:p>
    <w:p>
      <w:pPr>
        <w:pStyle w:val="Compact"/>
        <w:numPr>
          <w:numId w:val="1163"/>
          <w:ilvl w:val="1"/>
        </w:numPr>
      </w:pPr>
      <w:r>
        <w:t xml:space="preserve">Přezkumné řízení provede správce daně, který ve věci rozhodl v posledním stupni.</w:t>
      </w:r>
    </w:p>
    <w:p>
      <w:pPr>
        <w:pStyle w:val="Compact"/>
        <w:numPr>
          <w:numId w:val="1163"/>
          <w:ilvl w:val="1"/>
        </w:numPr>
      </w:pPr>
      <w:r>
        <w:t xml:space="preserve">Řízení je zahájeno vydáním rozhodnutí o nařízení přezkoumání rozhodnutí.</w:t>
      </w:r>
    </w:p>
    <w:p>
      <w:pPr>
        <w:pStyle w:val="Compact"/>
        <w:numPr>
          <w:numId w:val="1163"/>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163"/>
          <w:ilvl w:val="1"/>
        </w:numPr>
      </w:pPr>
      <w:r>
        <w:t xml:space="preserve">Má odkladný účinek.</w:t>
      </w:r>
    </w:p>
    <w:p>
      <w:pPr>
        <w:pStyle w:val="Heading3"/>
      </w:pPr>
      <w:bookmarkStart w:id="112" w:name="vztah-ke-správnímu-soudnictví"/>
      <w:bookmarkEnd w:id="112"/>
      <w:r>
        <w:t xml:space="preserve">Vztah ke správnímu soudnictví</w:t>
      </w:r>
    </w:p>
    <w:p>
      <w:pPr>
        <w:pStyle w:val="Compact"/>
        <w:numPr>
          <w:numId w:val="1164"/>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164"/>
          <w:ilvl w:val="0"/>
        </w:numPr>
      </w:pPr>
      <w:r>
        <w:t xml:space="preserve">V rámci přezkumného řízení směřujícího k uspokojení navrhovatele ve správním soudnictví nelze změnit rozhodnutí v neprospěch navrhovatele.</w:t>
      </w:r>
    </w:p>
    <w:p>
      <w:pPr>
        <w:pStyle w:val="Heading2"/>
      </w:pPr>
      <w:bookmarkStart w:id="113" w:name="ochrana-daňového-subjektu-ve-správním-soudnictví-žaloby-a-opravné-prostředky"/>
      <w:bookmarkEnd w:id="113"/>
      <w:r>
        <w:t xml:space="preserve">23. Ochrana daňového subjektu ve správním soudnictví – žaloby a opravné prostředky</w:t>
      </w:r>
    </w:p>
    <w:p>
      <w:pPr>
        <w:pStyle w:val="Heading3"/>
      </w:pPr>
      <w:bookmarkStart w:id="114" w:name="podklady"/>
      <w:bookmarkEnd w:id="114"/>
      <w:r>
        <w:t xml:space="preserve">Podklady</w:t>
      </w:r>
    </w:p>
    <w:p>
      <w:pPr>
        <w:pStyle w:val="Compact"/>
        <w:numPr>
          <w:numId w:val="1165"/>
          <w:ilvl w:val="0"/>
        </w:numPr>
      </w:pPr>
      <w:r>
        <w:t xml:space="preserve">Ústavní zákon č. 1/1993 Sb., Ústava České republiky</w:t>
      </w:r>
    </w:p>
    <w:p>
      <w:pPr>
        <w:pStyle w:val="Compact"/>
        <w:numPr>
          <w:numId w:val="1165"/>
          <w:ilvl w:val="0"/>
        </w:numPr>
      </w:pPr>
      <w:r>
        <w:t xml:space="preserve">Usnesení č. 2/1993 předsednictva ČNR o vyhlášení Listiny základních práv a svobod jako součásti ústavního pořádku ČR</w:t>
      </w:r>
    </w:p>
    <w:p>
      <w:pPr>
        <w:pStyle w:val="Compact"/>
        <w:numPr>
          <w:numId w:val="1165"/>
          <w:ilvl w:val="0"/>
        </w:numPr>
      </w:pPr>
      <w:r>
        <w:t xml:space="preserve">Zákon č. 99/1963 Sb., občanský soudní řád</w:t>
      </w:r>
    </w:p>
    <w:p>
      <w:pPr>
        <w:pStyle w:val="Compact"/>
        <w:numPr>
          <w:numId w:val="1165"/>
          <w:ilvl w:val="0"/>
        </w:numPr>
      </w:pPr>
      <w:r>
        <w:t xml:space="preserve">Zákon č. 150/2002 Sb., soudní řád správní</w:t>
      </w:r>
    </w:p>
    <w:p>
      <w:pPr>
        <w:pStyle w:val="Compact"/>
        <w:numPr>
          <w:numId w:val="1165"/>
          <w:ilvl w:val="0"/>
        </w:numPr>
      </w:pPr>
      <w:r>
        <w:t xml:space="preserve">Vyhláška 177/1996 Sb. – advokátní tarif</w:t>
      </w:r>
    </w:p>
    <w:p>
      <w:pPr>
        <w:pStyle w:val="Compact"/>
        <w:numPr>
          <w:numId w:val="1165"/>
          <w:ilvl w:val="0"/>
        </w:numPr>
      </w:pPr>
      <w:r>
        <w:t xml:space="preserve">Zákon č. 549/1991 Sb., o správních poplatcích</w:t>
      </w:r>
    </w:p>
    <w:p>
      <w:pPr>
        <w:pStyle w:val="Heading3"/>
      </w:pPr>
      <w:bookmarkStart w:id="115" w:name="opravné-a-dozorčí-prostředky"/>
      <w:bookmarkEnd w:id="115"/>
      <w:r>
        <w:t xml:space="preserve">Opravné a dozorčí prostředky</w:t>
      </w:r>
    </w:p>
    <w:p>
      <w:pPr>
        <w:pStyle w:val="Compact"/>
        <w:numPr>
          <w:numId w:val="1166"/>
          <w:ilvl w:val="0"/>
        </w:numPr>
      </w:pPr>
      <w:r>
        <w:t xml:space="preserve">Správní řízení má</w:t>
      </w:r>
      <w:r>
        <w:rPr>
          <w:rStyle w:val="FootnoteReference"/>
        </w:rPr>
        <w:footnoteReference w:id="116"/>
      </w:r>
      <w:r>
        <w:t xml:space="preserve">:</w:t>
      </w:r>
    </w:p>
    <w:p>
      <w:pPr>
        <w:pStyle w:val="Compact"/>
        <w:numPr>
          <w:numId w:val="1166"/>
          <w:ilvl w:val="0"/>
        </w:numPr>
      </w:pPr>
      <w:r>
        <w:t xml:space="preserve">opravné a</w:t>
      </w:r>
    </w:p>
    <w:p>
      <w:pPr>
        <w:numPr>
          <w:numId w:val="1166"/>
          <w:ilvl w:val="0"/>
        </w:numPr>
      </w:pPr>
      <w:r>
        <w:t xml:space="preserve">dozorčí prostředky.</w:t>
      </w:r>
    </w:p>
    <w:p>
      <w:pPr>
        <w:pStyle w:val="Compact"/>
        <w:numPr>
          <w:numId w:val="1166"/>
          <w:ilvl w:val="0"/>
        </w:numPr>
      </w:pPr>
      <w:r>
        <w:t xml:space="preserve">Důležité je, že před podáním žaloby musí být vyčerpány všechny opravné prostředky, dozorčí prostředky však použity být nemusí.</w:t>
      </w:r>
    </w:p>
    <w:p>
      <w:pPr>
        <w:numPr>
          <w:numId w:val="1166"/>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166"/>
          <w:ilvl w:val="0"/>
        </w:numPr>
      </w:pPr>
      <w:r>
        <w:t xml:space="preserve">Existující opravné prostředky ve správním řízení:</w:t>
      </w:r>
    </w:p>
    <w:p>
      <w:pPr>
        <w:pStyle w:val="Compact"/>
        <w:numPr>
          <w:numId w:val="1166"/>
          <w:ilvl w:val="0"/>
        </w:numPr>
      </w:pPr>
      <w:r>
        <w:t xml:space="preserve">odvolání - napadení rozhodnutí správního orgánu - standardně rozhoduje nadřízený orgán,</w:t>
      </w:r>
    </w:p>
    <w:p>
      <w:pPr>
        <w:pStyle w:val="Compact"/>
        <w:numPr>
          <w:numId w:val="1166"/>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166"/>
          <w:ilvl w:val="0"/>
        </w:numPr>
      </w:pPr>
      <w:r>
        <w:t xml:space="preserve">odpor - forma odvolání proti uložení písemného příkazu.</w:t>
      </w:r>
    </w:p>
    <w:p>
      <w:pPr>
        <w:pStyle w:val="Compact"/>
        <w:numPr>
          <w:numId w:val="1166"/>
          <w:ilvl w:val="0"/>
        </w:numPr>
      </w:pPr>
      <w:r>
        <w:t xml:space="preserve">Existující mimořádné opravné prostředky ve správním řízení:</w:t>
      </w:r>
    </w:p>
    <w:p>
      <w:pPr>
        <w:pStyle w:val="Compact"/>
        <w:numPr>
          <w:numId w:val="1166"/>
          <w:ilvl w:val="0"/>
        </w:numPr>
      </w:pPr>
      <w:r>
        <w:t xml:space="preserve">obnova řízení - před správním orgánem - například pokud vyšly najevo dříve neznáme skutečnosti nebo důkazy,</w:t>
      </w:r>
    </w:p>
    <w:p>
      <w:pPr>
        <w:numPr>
          <w:numId w:val="1166"/>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17" w:name="obsah-kapitoly"/>
      <w:bookmarkEnd w:id="117"/>
      <w:r>
        <w:t xml:space="preserve">Obsah kapitoly</w:t>
      </w:r>
    </w:p>
    <w:p>
      <w:pPr>
        <w:pStyle w:val="Compact"/>
        <w:numPr>
          <w:numId w:val="1167"/>
          <w:ilvl w:val="0"/>
        </w:numPr>
      </w:pPr>
      <w:r>
        <w:t xml:space="preserve">Důvody existence správního soudnictví</w:t>
      </w:r>
    </w:p>
    <w:p>
      <w:pPr>
        <w:pStyle w:val="Compact"/>
        <w:numPr>
          <w:numId w:val="1167"/>
          <w:ilvl w:val="0"/>
        </w:numPr>
      </w:pPr>
      <w:r>
        <w:t xml:space="preserve">Správní soudnictví v ČR</w:t>
      </w:r>
    </w:p>
    <w:p>
      <w:pPr>
        <w:pStyle w:val="Compact"/>
        <w:numPr>
          <w:numId w:val="1167"/>
          <w:ilvl w:val="0"/>
        </w:numPr>
      </w:pPr>
      <w:r>
        <w:t xml:space="preserve">Druhy žalob</w:t>
      </w:r>
    </w:p>
    <w:p>
      <w:pPr>
        <w:pStyle w:val="Compact"/>
        <w:numPr>
          <w:numId w:val="1167"/>
          <w:ilvl w:val="0"/>
        </w:numPr>
      </w:pPr>
      <w:r>
        <w:t xml:space="preserve">Žaloba proti rozhodnutí správního orgánu</w:t>
      </w:r>
    </w:p>
    <w:p>
      <w:pPr>
        <w:pStyle w:val="Compact"/>
        <w:numPr>
          <w:numId w:val="1167"/>
          <w:ilvl w:val="0"/>
        </w:numPr>
      </w:pPr>
      <w:r>
        <w:t xml:space="preserve">Nečinnostní žaloba</w:t>
      </w:r>
    </w:p>
    <w:p>
      <w:pPr>
        <w:pStyle w:val="Compact"/>
        <w:numPr>
          <w:numId w:val="1167"/>
          <w:ilvl w:val="0"/>
        </w:numPr>
      </w:pPr>
      <w:r>
        <w:t xml:space="preserve">Zásahová žaloba</w:t>
      </w:r>
    </w:p>
    <w:p>
      <w:pPr>
        <w:pStyle w:val="Compact"/>
        <w:numPr>
          <w:numId w:val="1167"/>
          <w:ilvl w:val="0"/>
        </w:numPr>
      </w:pPr>
      <w:r>
        <w:t xml:space="preserve">Přezkum opatření obecné povahy</w:t>
      </w:r>
    </w:p>
    <w:p>
      <w:pPr>
        <w:pStyle w:val="Compact"/>
        <w:numPr>
          <w:numId w:val="1167"/>
          <w:ilvl w:val="0"/>
        </w:numPr>
      </w:pPr>
      <w:r>
        <w:t xml:space="preserve">Opravné prostředky ve správním soudnictví – kasační stížnost, obnova řízení</w:t>
      </w:r>
    </w:p>
    <w:p>
      <w:pPr>
        <w:pStyle w:val="Compact"/>
        <w:numPr>
          <w:numId w:val="1167"/>
          <w:ilvl w:val="0"/>
        </w:numPr>
      </w:pPr>
      <w:r>
        <w:t xml:space="preserve">Náklady na soudní řízení</w:t>
      </w:r>
    </w:p>
    <w:p>
      <w:pPr>
        <w:pStyle w:val="Heading3"/>
      </w:pPr>
      <w:bookmarkStart w:id="118" w:name="důvody-existence-správního-soudnictví"/>
      <w:bookmarkEnd w:id="118"/>
      <w:r>
        <w:t xml:space="preserve">Důvody existence správního soudnictví</w:t>
      </w:r>
    </w:p>
    <w:p>
      <w:pPr>
        <w:pStyle w:val="Compact"/>
        <w:numPr>
          <w:numId w:val="1168"/>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168"/>
          <w:ilvl w:val="0"/>
        </w:numPr>
      </w:pPr>
      <w:r>
        <w:t xml:space="preserve">(obvykle občan nebo právnická osoba na straně jedné a orgán státu nebo obce či samosprávného kraje na straně druhé).</w:t>
      </w:r>
    </w:p>
    <w:p>
      <w:pPr>
        <w:numPr>
          <w:numId w:val="1168"/>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168"/>
          <w:ilvl w:val="0"/>
        </w:numPr>
      </w:pPr>
      <w:r>
        <w:t xml:space="preserve">Veřejné právo – např. stavební, daňové, celní, živnostenská oprávnění, dopravní předpisy, různé poplatky, sociální oblast, životní prostředí, ochrana památek, právo na informace apod.</w:t>
      </w:r>
    </w:p>
    <w:p>
      <w:pPr>
        <w:numPr>
          <w:numId w:val="1168"/>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19" w:name="správní-soudnictví-v-čr"/>
      <w:bookmarkEnd w:id="119"/>
      <w:r>
        <w:t xml:space="preserve">Správní soudnictví v Čr</w:t>
      </w:r>
    </w:p>
    <w:p>
      <w:pPr>
        <w:pStyle w:val="Compact"/>
        <w:numPr>
          <w:numId w:val="1170"/>
          <w:ilvl w:val="1"/>
        </w:numPr>
      </w:pPr>
      <w:r>
        <w:t xml:space="preserve">ŽALOBA PROTI ROZHODNUTÍ SPRÁVNÍHO ORGÁNU</w:t>
      </w:r>
    </w:p>
    <w:p>
      <w:pPr>
        <w:pStyle w:val="Compact"/>
        <w:numPr>
          <w:numId w:val="1171"/>
          <w:ilvl w:val="1"/>
        </w:numPr>
      </w:pPr>
      <w:r>
        <w:t xml:space="preserve">ŽALOBA PROTI NEČINNOSTI</w:t>
      </w:r>
    </w:p>
    <w:p>
      <w:pPr>
        <w:pStyle w:val="Compact"/>
        <w:numPr>
          <w:numId w:val="1172"/>
          <w:ilvl w:val="1"/>
        </w:numPr>
      </w:pPr>
      <w:r>
        <w:t xml:space="preserve">ŽALOBA PROTI NEZÁKONNÉMU ZÁSAHU</w:t>
      </w:r>
    </w:p>
    <w:p>
      <w:pPr>
        <w:pStyle w:val="Compact"/>
        <w:numPr>
          <w:numId w:val="1173"/>
          <w:ilvl w:val="1"/>
        </w:numPr>
      </w:pPr>
      <w:r>
        <w:t xml:space="preserve">SOUDNICTVÍ VE VĚCECH VOLEBNÍCH A VE VĚCECH MÍSTNÍHO A KRAJSKÉHO REFERENDA</w:t>
      </w:r>
    </w:p>
    <w:p>
      <w:pPr>
        <w:pStyle w:val="Compact"/>
        <w:numPr>
          <w:numId w:val="1174"/>
          <w:ilvl w:val="1"/>
        </w:numPr>
      </w:pPr>
      <w:r>
        <w:t xml:space="preserve">ŘÍZENÍ VE VĚCECH POLITICKÝCH STRAN A POLITICKÝCH HNUTÍ</w:t>
      </w:r>
    </w:p>
    <w:p>
      <w:pPr>
        <w:pStyle w:val="Compact"/>
        <w:numPr>
          <w:numId w:val="1175"/>
          <w:ilvl w:val="1"/>
        </w:numPr>
      </w:pPr>
      <w:r>
        <w:t xml:space="preserve">ŘÍZENÍ O ZRUŠENÍ OPATŘENÍ OBECNÉ POVAHY NEBO JEHO ČÁSTI</w:t>
      </w:r>
    </w:p>
    <w:p>
      <w:pPr>
        <w:pStyle w:val="Compact"/>
        <w:numPr>
          <w:numId w:val="1176"/>
          <w:ilvl w:val="1"/>
        </w:numPr>
      </w:pPr>
      <w:r>
        <w:t xml:space="preserve">KOMPETENČNÍ ŽALOBY</w:t>
      </w:r>
    </w:p>
    <w:p>
      <w:pPr>
        <w:pStyle w:val="Compact"/>
        <w:numPr>
          <w:numId w:val="1177"/>
          <w:ilvl w:val="1"/>
        </w:numPr>
      </w:pPr>
      <w:r>
        <w:t xml:space="preserve">OPRAVNÉ PROSTŘEDKY PROTI ROZHODNUTÍM SPRÁVNÍCH SOUDŮ</w:t>
      </w:r>
    </w:p>
    <w:p>
      <w:pPr>
        <w:pStyle w:val="Compact"/>
        <w:numPr>
          <w:numId w:val="1178"/>
          <w:ilvl w:val="1"/>
        </w:numPr>
      </w:pPr>
      <w:r>
        <w:t xml:space="preserve">ROZHODOVÁNÍ SPRÁVNÍHO ORGÁNU O VĚCECH SOUKROMÉHO PRÁVA</w:t>
      </w:r>
    </w:p>
    <w:p>
      <w:pPr>
        <w:pStyle w:val="Compact"/>
        <w:numPr>
          <w:numId w:val="1179"/>
          <w:ilvl w:val="1"/>
        </w:numPr>
      </w:pPr>
      <w:r>
        <w:t xml:space="preserve">KONFLIKT KOMPETENCÍ MEZI MOCÍ VÝKONNOU A MOCÍ SOUDNÍ</w:t>
      </w:r>
    </w:p>
    <w:p>
      <w:pPr>
        <w:pStyle w:val="Compact"/>
        <w:numPr>
          <w:numId w:val="1169"/>
          <w:ilvl w:val="0"/>
        </w:numPr>
      </w:pPr>
      <w:r>
        <w:t xml:space="preserve">V dnešní podobně od roku 2003 (do té doby neexistoval Nejvyšší správní soud)</w:t>
      </w:r>
    </w:p>
    <w:p>
      <w:pPr>
        <w:pStyle w:val="Compact"/>
        <w:numPr>
          <w:numId w:val="1169"/>
          <w:ilvl w:val="0"/>
        </w:numPr>
      </w:pPr>
      <w:r>
        <w:t xml:space="preserve">do r. 2003 pouze krajské soudy a Ústavní soud</w:t>
      </w:r>
    </w:p>
    <w:p>
      <w:pPr>
        <w:pStyle w:val="Heading3"/>
      </w:pPr>
      <w:bookmarkStart w:id="120" w:name="druhy-žalob"/>
      <w:bookmarkEnd w:id="120"/>
      <w:r>
        <w:t xml:space="preserve">Druhy žalob</w:t>
      </w:r>
    </w:p>
    <w:p>
      <w:pPr>
        <w:pStyle w:val="Compact"/>
        <w:numPr>
          <w:numId w:val="1180"/>
          <w:ilvl w:val="0"/>
        </w:numPr>
      </w:pPr>
      <w:r>
        <w:t xml:space="preserve">Ve správním soudnictví poskytují krajské soudy (jako soudy správní)</w:t>
      </w:r>
      <w:r>
        <w:rPr>
          <w:rStyle w:val="FootnoteReference"/>
        </w:rPr>
        <w:footnoteReference w:id="121"/>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180"/>
          <w:ilvl w:val="0"/>
        </w:numPr>
      </w:pPr>
      <w:r>
        <w:t xml:space="preserve">Žaloba proti rozhodnutí správního orgánu</w:t>
      </w:r>
    </w:p>
    <w:p>
      <w:pPr>
        <w:pStyle w:val="Compact"/>
        <w:numPr>
          <w:numId w:val="1180"/>
          <w:ilvl w:val="0"/>
        </w:numPr>
      </w:pPr>
      <w:r>
        <w:t xml:space="preserve">Žaloba na odstranění nečinnosti</w:t>
      </w:r>
    </w:p>
    <w:p>
      <w:pPr>
        <w:pStyle w:val="Compact"/>
        <w:numPr>
          <w:numId w:val="1180"/>
          <w:ilvl w:val="0"/>
        </w:numPr>
      </w:pPr>
      <w:r>
        <w:t xml:space="preserve">Žaloba proti nezákonnému zásahu</w:t>
      </w:r>
    </w:p>
    <w:p>
      <w:pPr>
        <w:pStyle w:val="Compact"/>
        <w:numPr>
          <w:numId w:val="1180"/>
          <w:ilvl w:val="0"/>
        </w:numPr>
      </w:pPr>
      <w:r>
        <w:t xml:space="preserve">Řízení o zrušení opatření obecné povahy</w:t>
      </w:r>
    </w:p>
    <w:p>
      <w:pPr>
        <w:pStyle w:val="Heading3"/>
      </w:pPr>
      <w:bookmarkStart w:id="122" w:name="žaloba-proti-rozhodnutí-správního-orgánu"/>
      <w:bookmarkEnd w:id="122"/>
      <w:r>
        <w:t xml:space="preserve">Žaloba proti rozhodnutí správního orgánu</w:t>
      </w:r>
    </w:p>
    <w:p>
      <w:pPr>
        <w:pStyle w:val="FirstParagraph"/>
      </w:pPr>
      <w:r>
        <w:rPr>
          <w:b/>
        </w:rPr>
        <w:t xml:space="preserve">Kdo žalobu podává?</w:t>
      </w:r>
    </w:p>
    <w:p>
      <w:pPr>
        <w:pStyle w:val="Compact"/>
        <w:numPr>
          <w:numId w:val="1181"/>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182"/>
          <w:ilvl w:val="0"/>
        </w:numPr>
      </w:pPr>
      <w:r>
        <w:t xml:space="preserve">Chceme obvykle buď zrušení rozhodnutí, popřípadě vyslovení jeho nicotnosti.</w:t>
      </w:r>
    </w:p>
    <w:p>
      <w:pPr>
        <w:numPr>
          <w:numId w:val="1182"/>
          <w:ilvl w:val="0"/>
        </w:numPr>
      </w:pPr>
      <w:r>
        <w:t xml:space="preserve">Zvláštním případem žaloby může být snaha o upuštění od trestu za správní delikt nebo jeho snížení v mezích dovolených zákonem.</w:t>
      </w:r>
    </w:p>
    <w:p>
      <w:pPr>
        <w:pStyle w:val="Compact"/>
        <w:numPr>
          <w:numId w:val="1182"/>
          <w:ilvl w:val="0"/>
        </w:numPr>
      </w:pPr>
      <w:r>
        <w:t xml:space="preserve">Příklad:</w:t>
      </w:r>
    </w:p>
    <w:p>
      <w:pPr>
        <w:numPr>
          <w:numId w:val="1182"/>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183"/>
          <w:ilvl w:val="0"/>
        </w:numPr>
      </w:pPr>
      <w:r>
        <w:t xml:space="preserve">Žalovaným je správní orgán, který věc rozhodl v posledním stupni.</w:t>
      </w:r>
    </w:p>
    <w:p>
      <w:pPr>
        <w:pStyle w:val="Compact"/>
        <w:numPr>
          <w:numId w:val="1183"/>
          <w:ilvl w:val="0"/>
        </w:numPr>
      </w:pPr>
      <w:r>
        <w:t xml:space="preserve">Příklad:</w:t>
      </w:r>
    </w:p>
    <w:p>
      <w:pPr>
        <w:pStyle w:val="Compact"/>
        <w:numPr>
          <w:numId w:val="1184"/>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185"/>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185"/>
          <w:ilvl w:val="0"/>
        </w:numPr>
      </w:pPr>
      <w:r>
        <w:t xml:space="preserve">Příklad:</w:t>
      </w:r>
    </w:p>
    <w:p>
      <w:pPr>
        <w:pStyle w:val="Compact"/>
        <w:numPr>
          <w:numId w:val="1186"/>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187"/>
          <w:ilvl w:val="0"/>
        </w:numPr>
      </w:pPr>
      <w:r>
        <w:rPr>
          <w:b/>
        </w:rPr>
        <w:t xml:space="preserve">Ne vždy je podání žaloby možné. Žaloba není přípustná tehdy, jestliže např.:</w:t>
      </w:r>
    </w:p>
    <w:p>
      <w:pPr>
        <w:pStyle w:val="Compact"/>
        <w:numPr>
          <w:numId w:val="1188"/>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189"/>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189"/>
          <w:ilvl w:val="1"/>
        </w:numPr>
      </w:pPr>
      <w:r>
        <w:t xml:space="preserve">Žaloba je nepřípustná, protože nebyly vyčerpány řádné opravné prostředky.</w:t>
      </w:r>
    </w:p>
    <w:p>
      <w:pPr>
        <w:pStyle w:val="Compact"/>
        <w:numPr>
          <w:numId w:val="1189"/>
          <w:ilvl w:val="1"/>
        </w:numPr>
      </w:pPr>
      <w:r>
        <w:t xml:space="preserve">Příklad</w:t>
      </w:r>
    </w:p>
    <w:p>
      <w:pPr>
        <w:pStyle w:val="Compact"/>
        <w:numPr>
          <w:numId w:val="1189"/>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190"/>
          <w:ilvl w:val="1"/>
        </w:numPr>
      </w:pPr>
      <w:r>
        <w:rPr>
          <w:b/>
        </w:rPr>
        <w:t xml:space="preserve">Je-li jediným jejím důvodem tvrzená nicotnost napadeného rozhodnutí, nedomáhal-li se žalobce vyslovení této nicotnosti v řízení před správním orgánem</w:t>
      </w:r>
    </w:p>
    <w:p>
      <w:pPr>
        <w:pStyle w:val="Compact"/>
        <w:numPr>
          <w:numId w:val="1191"/>
          <w:ilvl w:val="1"/>
        </w:numPr>
      </w:pPr>
      <w:r>
        <w:t xml:space="preserve">Příklad</w:t>
      </w:r>
    </w:p>
    <w:p>
      <w:pPr>
        <w:pStyle w:val="Compact"/>
        <w:numPr>
          <w:numId w:val="1191"/>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192"/>
          <w:ilvl w:val="1"/>
        </w:numPr>
      </w:pPr>
      <w:r>
        <w:rPr>
          <w:b/>
        </w:rPr>
        <w:t xml:space="preserve">Směřuje-li jen proti důvodům rozhodnutí</w:t>
      </w:r>
    </w:p>
    <w:p>
      <w:pPr>
        <w:pStyle w:val="Compact"/>
        <w:numPr>
          <w:numId w:val="1193"/>
          <w:ilvl w:val="1"/>
        </w:numPr>
      </w:pPr>
      <w:r>
        <w:t xml:space="preserve">Příklad</w:t>
      </w:r>
    </w:p>
    <w:p>
      <w:pPr>
        <w:pStyle w:val="Compact"/>
        <w:numPr>
          <w:numId w:val="1193"/>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194"/>
          <w:ilvl w:val="1"/>
        </w:numPr>
      </w:pPr>
      <w:r>
        <w:rPr>
          <w:b/>
        </w:rPr>
        <w:t xml:space="preserve">Domáhá-li se přezkoumání rozhodnutí, které je z přezkoumání podle tohoto nebo zvláštního zákona vyloučeno.</w:t>
      </w:r>
    </w:p>
    <w:p>
      <w:pPr>
        <w:pStyle w:val="Compact"/>
        <w:numPr>
          <w:numId w:val="1195"/>
          <w:ilvl w:val="1"/>
        </w:numPr>
      </w:pPr>
      <w:r>
        <w:t xml:space="preserve">Ze soudního přezkoumání jsou vyloučeny např. následující úkony správního orgánu:</w:t>
      </w:r>
    </w:p>
    <w:p>
      <w:pPr>
        <w:pStyle w:val="Compact"/>
        <w:numPr>
          <w:numId w:val="1196"/>
          <w:ilvl w:val="2"/>
        </w:numPr>
      </w:pPr>
      <w:r>
        <w:t xml:space="preserve">které nejsou rozhodnutími</w:t>
      </w:r>
    </w:p>
    <w:p>
      <w:pPr>
        <w:pStyle w:val="Compact"/>
        <w:numPr>
          <w:numId w:val="1197"/>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198"/>
          <w:ilvl w:val="2"/>
        </w:numPr>
      </w:pPr>
      <w:r>
        <w:t xml:space="preserve">předběžné povahy</w:t>
      </w:r>
    </w:p>
    <w:p>
      <w:pPr>
        <w:pStyle w:val="Compact"/>
        <w:numPr>
          <w:numId w:val="1199"/>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200"/>
          <w:ilvl w:val="0"/>
        </w:numPr>
      </w:pPr>
      <w:r>
        <w:t xml:space="preserve">Žalobu je nutno podat do dvou měsíců od doručení rozhodnutí, které žalobou napadáme.</w:t>
      </w:r>
    </w:p>
    <w:p>
      <w:pPr>
        <w:pStyle w:val="Compact"/>
        <w:numPr>
          <w:numId w:val="1200"/>
          <w:ilvl w:val="0"/>
        </w:numPr>
      </w:pPr>
      <w:r>
        <w:t xml:space="preserve">Lhůta je zachována, byla-li žaloba ve lhůtě podána u správního orgánu, proti jehož rozhodnutí směřuje.</w:t>
      </w:r>
    </w:p>
    <w:p>
      <w:pPr>
        <w:pStyle w:val="Compact"/>
        <w:numPr>
          <w:numId w:val="1200"/>
          <w:ilvl w:val="0"/>
        </w:numPr>
      </w:pPr>
      <w:r>
        <w:t xml:space="preserve">Zmeškání lhůty pro podání žaloby nelze prominout.</w:t>
      </w:r>
    </w:p>
    <w:p>
      <w:pPr>
        <w:pStyle w:val="FirstParagraph"/>
      </w:pPr>
      <w:r>
        <w:rPr>
          <w:b/>
        </w:rPr>
        <w:t xml:space="preserve">Odkladný účinek žaloby:</w:t>
      </w:r>
    </w:p>
    <w:p>
      <w:pPr>
        <w:pStyle w:val="Compact"/>
        <w:numPr>
          <w:numId w:val="1201"/>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201"/>
          <w:ilvl w:val="0"/>
        </w:numPr>
      </w:pPr>
      <w:r>
        <w:t xml:space="preserve">Příklad:</w:t>
      </w:r>
    </w:p>
    <w:p>
      <w:pPr>
        <w:pStyle w:val="Compact"/>
        <w:numPr>
          <w:numId w:val="1202"/>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203"/>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203"/>
          <w:ilvl w:val="0"/>
        </w:numPr>
      </w:pPr>
      <w:r>
        <w:t xml:space="preserve">Rozhodnutí bez zbytečného odkladu, nejdéle do 30 dnů</w:t>
      </w:r>
    </w:p>
    <w:p>
      <w:pPr>
        <w:numPr>
          <w:numId w:val="1203"/>
          <w:ilvl w:val="0"/>
        </w:numPr>
      </w:pPr>
      <w:r>
        <w:t xml:space="preserve">Lze i u ostatních žalob, nejen proti rozhodnutí spr. org., je tedy širší</w:t>
      </w:r>
    </w:p>
    <w:p>
      <w:pPr>
        <w:pStyle w:val="Compact"/>
        <w:numPr>
          <w:numId w:val="1203"/>
          <w:ilvl w:val="0"/>
        </w:numPr>
      </w:pPr>
      <w:r>
        <w:t xml:space="preserve">Příklad:</w:t>
      </w:r>
    </w:p>
    <w:p>
      <w:pPr>
        <w:pStyle w:val="Compact"/>
        <w:numPr>
          <w:numId w:val="1203"/>
          <w:ilvl w:val="0"/>
        </w:numPr>
      </w:pPr>
      <w:r>
        <w:t xml:space="preserve">Firma ZZZ, s.r.o., požádala o posečkání daně. Byla zamítnuta, stejně tak i odvolání.</w:t>
      </w:r>
    </w:p>
    <w:p>
      <w:pPr>
        <w:pStyle w:val="Compact"/>
        <w:numPr>
          <w:numId w:val="1204"/>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205"/>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205"/>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206"/>
          <w:ilvl w:val="0"/>
        </w:numPr>
      </w:pPr>
      <w:r>
        <w:t xml:space="preserve">Ne vždy musí dojít k osobnímu jednání u soudu. K jednání nedojde v následujících případech:</w:t>
      </w:r>
    </w:p>
    <w:p>
      <w:pPr>
        <w:pStyle w:val="Compact"/>
        <w:numPr>
          <w:numId w:val="1207"/>
          <w:ilvl w:val="1"/>
        </w:numPr>
      </w:pPr>
      <w:r>
        <w:t xml:space="preserve">Důvody nezávislé na tom, zda si zúčastněné strany jednání přejí či nikoli.</w:t>
      </w:r>
    </w:p>
    <w:p>
      <w:pPr>
        <w:pStyle w:val="Compact"/>
        <w:numPr>
          <w:numId w:val="1208"/>
          <w:ilvl w:val="1"/>
        </w:numPr>
      </w:pPr>
      <w:r>
        <w:t xml:space="preserve">Soud totiž zruší napadené rozhodnutí pro vady řízení bez jednání rozsudkem:</w:t>
      </w:r>
    </w:p>
    <w:p>
      <w:pPr>
        <w:pStyle w:val="Compact"/>
        <w:numPr>
          <w:numId w:val="1209"/>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210"/>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211"/>
          <w:ilvl w:val="2"/>
        </w:numPr>
      </w:pPr>
      <w:r>
        <w:t xml:space="preserve">(Například za základ pro napadené rozhodnutí byla vzata výpověď důležitého svědka, přičemž protokol o jeho výslechu ve spise chybí).</w:t>
      </w:r>
    </w:p>
    <w:p>
      <w:pPr>
        <w:pStyle w:val="Compact"/>
        <w:numPr>
          <w:numId w:val="1212"/>
          <w:ilvl w:val="2"/>
        </w:numPr>
      </w:pPr>
      <w:r>
        <w:t xml:space="preserve">pro podstatné porušení ustanovení o řízení před správním orgánem, mohlo-li mít za následek nezákonné rozhodnutí o věci samé.</w:t>
      </w:r>
    </w:p>
    <w:p>
      <w:pPr>
        <w:pStyle w:val="Compact"/>
        <w:numPr>
          <w:numId w:val="1213"/>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214"/>
          <w:ilvl w:val="1"/>
        </w:numPr>
      </w:pPr>
      <w:r>
        <w:t xml:space="preserve">Dohoda účastníků řízení, o tom, že bude rozhodováno bez jednání.</w:t>
      </w:r>
    </w:p>
    <w:p>
      <w:pPr>
        <w:pStyle w:val="Compact"/>
        <w:numPr>
          <w:numId w:val="1215"/>
          <w:ilvl w:val="1"/>
        </w:numPr>
      </w:pPr>
      <w:r>
        <w:t xml:space="preserve">Soud může rozhodnout o věci samé bez jednání, jestliže to účastníci shodně navrhli nebo s tím souhlasí.</w:t>
      </w:r>
    </w:p>
    <w:p>
      <w:pPr>
        <w:pStyle w:val="Compact"/>
        <w:numPr>
          <w:numId w:val="1215"/>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217"/>
          <w:ilvl w:val="1"/>
        </w:numPr>
      </w:pPr>
      <w:r>
        <w:t xml:space="preserve">Žaloba není důvodná – soud žalobu zamítne</w:t>
      </w:r>
    </w:p>
    <w:p>
      <w:pPr>
        <w:pStyle w:val="Compact"/>
        <w:numPr>
          <w:numId w:val="1218"/>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216"/>
          <w:ilvl w:val="0"/>
        </w:numPr>
      </w:pPr>
      <w:r>
        <w:t xml:space="preserve">Příklad:</w:t>
      </w:r>
    </w:p>
    <w:p>
      <w:pPr>
        <w:pStyle w:val="Compact"/>
        <w:numPr>
          <w:numId w:val="1216"/>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219"/>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216"/>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216"/>
          <w:ilvl w:val="0"/>
        </w:numPr>
      </w:pPr>
      <w:r>
        <w:t xml:space="preserve">Napadené rozhodnutí soud zruší:</w:t>
      </w:r>
    </w:p>
    <w:p>
      <w:pPr>
        <w:pStyle w:val="Compact"/>
        <w:numPr>
          <w:numId w:val="1220"/>
          <w:ilvl w:val="1"/>
        </w:numPr>
      </w:pPr>
      <w:r>
        <w:t xml:space="preserve">pro nezákonnost</w:t>
      </w:r>
    </w:p>
    <w:p>
      <w:pPr>
        <w:pStyle w:val="Compact"/>
        <w:numPr>
          <w:numId w:val="1221"/>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221"/>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222"/>
          <w:ilvl w:val="1"/>
        </w:numPr>
      </w:pPr>
      <w:r>
        <w:t xml:space="preserve">pro vady řízení</w:t>
      </w:r>
    </w:p>
    <w:p>
      <w:pPr>
        <w:pStyle w:val="Compact"/>
        <w:numPr>
          <w:numId w:val="1223"/>
          <w:ilvl w:val="1"/>
        </w:numPr>
      </w:pPr>
      <w:r>
        <w:t xml:space="preserve">Příklad:</w:t>
      </w:r>
    </w:p>
    <w:p>
      <w:pPr>
        <w:pStyle w:val="Compact"/>
        <w:numPr>
          <w:numId w:val="1223"/>
          <w:ilvl w:val="1"/>
        </w:numPr>
      </w:pPr>
      <w:r>
        <w:t xml:space="preserve">Vadou řízení může být např. situace, kdy správce daně vyslechl svědka, ale neumožnil daňovému subjektu být přítomen jeho výslechu.</w:t>
      </w:r>
    </w:p>
    <w:p>
      <w:pPr>
        <w:pStyle w:val="Compact"/>
        <w:numPr>
          <w:numId w:val="1216"/>
          <w:ilvl w:val="0"/>
        </w:numPr>
      </w:pPr>
      <w:r>
        <w:t xml:space="preserve">Zvláštním případem rozsudku bude situace, kdy soud rozhoduje o žalobě proti rozhodnutí, jímž správní orgán uložil trest za správní delikt.</w:t>
      </w:r>
    </w:p>
    <w:p>
      <w:pPr>
        <w:numPr>
          <w:numId w:val="1216"/>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216"/>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224"/>
          <w:ilvl w:val="1"/>
        </w:numPr>
      </w:pPr>
      <w:r>
        <w:t xml:space="preserve">upustit od něj</w:t>
      </w:r>
    </w:p>
    <w:p>
      <w:pPr>
        <w:pStyle w:val="Compact"/>
        <w:numPr>
          <w:numId w:val="1225"/>
          <w:ilvl w:val="1"/>
        </w:numPr>
      </w:pPr>
      <w:r>
        <w:t xml:space="preserve">nebo jej snížit v mezích zákonem dovolených.</w:t>
      </w:r>
    </w:p>
    <w:p>
      <w:pPr>
        <w:pStyle w:val="Compact"/>
        <w:numPr>
          <w:numId w:val="1216"/>
          <w:ilvl w:val="0"/>
        </w:numPr>
      </w:pPr>
      <w:r>
        <w:t xml:space="preserve">To jde pouze v případě, že:</w:t>
      </w:r>
    </w:p>
    <w:p>
      <w:pPr>
        <w:pStyle w:val="Compact"/>
        <w:numPr>
          <w:numId w:val="1226"/>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226"/>
          <w:ilvl w:val="1"/>
        </w:numPr>
      </w:pPr>
      <w:r>
        <w:t xml:space="preserve">a navrhl-li takový postup žalobce v žalobě.</w:t>
      </w:r>
    </w:p>
    <w:p>
      <w:pPr>
        <w:numPr>
          <w:numId w:val="1216"/>
          <w:ilvl w:val="0"/>
        </w:numPr>
      </w:pPr>
      <w:r>
        <w:t xml:space="preserve">Soud by tedy mohl v takových případech stanovit novou, konkrétní „odpovídající“ výši pokuty.</w:t>
      </w:r>
    </w:p>
    <w:p>
      <w:pPr>
        <w:pStyle w:val="Heading3"/>
      </w:pPr>
      <w:bookmarkStart w:id="123" w:name="žaloba-proti-nečinnosti"/>
      <w:bookmarkEnd w:id="123"/>
      <w:r>
        <w:t xml:space="preserve">Žaloba proti nečinnosti</w:t>
      </w:r>
    </w:p>
    <w:p>
      <w:pPr>
        <w:pStyle w:val="Compact"/>
        <w:numPr>
          <w:numId w:val="1227"/>
          <w:ilvl w:val="0"/>
        </w:numPr>
      </w:pPr>
      <w:r>
        <w:t xml:space="preserve">V praxi se setkáváme se situací, kdy máme pocit, že správní orgány naše řízení neúměrně protahují, že mohlo být již dávno skončeno.</w:t>
      </w:r>
    </w:p>
    <w:p>
      <w:pPr>
        <w:pStyle w:val="Compact"/>
        <w:numPr>
          <w:numId w:val="1227"/>
          <w:ilvl w:val="0"/>
        </w:numPr>
      </w:pPr>
      <w:r>
        <w:t xml:space="preserve">Příklad:</w:t>
      </w:r>
    </w:p>
    <w:p>
      <w:pPr>
        <w:pStyle w:val="Compact"/>
        <w:numPr>
          <w:numId w:val="1228"/>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227"/>
          <w:ilvl w:val="0"/>
        </w:numPr>
      </w:pPr>
      <w:r>
        <w:t xml:space="preserve">Čeho se můžeme žalobou domáhat</w:t>
      </w:r>
    </w:p>
    <w:p>
      <w:pPr>
        <w:pStyle w:val="Compact"/>
        <w:numPr>
          <w:numId w:val="1227"/>
          <w:ilvl w:val="0"/>
        </w:numPr>
      </w:pPr>
      <w:r>
        <w:t xml:space="preserve">Žalobou se můžeme domáhat, aby soud uložil správnímu orgánu povinnost vydat rozhodnutí ve věci samé nebo osvědčení.</w:t>
      </w:r>
    </w:p>
    <w:p>
      <w:pPr>
        <w:pStyle w:val="Compact"/>
        <w:numPr>
          <w:numId w:val="1227"/>
          <w:ilvl w:val="0"/>
        </w:numPr>
      </w:pPr>
      <w:r>
        <w:t xml:space="preserve">Pokud se bude protahovat řízení o odvolání, rozhodnutí o registraci apod., tedy situace, kdy příslušné řízení končí vydáním nějakého rozhodnutí či osvědčení, je žaloba možná.</w:t>
      </w:r>
    </w:p>
    <w:p>
      <w:pPr>
        <w:numPr>
          <w:numId w:val="1227"/>
          <w:ilvl w:val="0"/>
        </w:numPr>
      </w:pPr>
      <w:r>
        <w:rPr>
          <w:b/>
        </w:rPr>
        <w:t xml:space="preserve">Pokud nedochází nutně k vystavení rozhodnutí (postup k odstranění pochybností, daňová kontrola) – je nutno podat žalobu na nezákonný zásah.</w:t>
      </w:r>
    </w:p>
    <w:p>
      <w:pPr>
        <w:pStyle w:val="Compact"/>
        <w:numPr>
          <w:numId w:val="1227"/>
          <w:ilvl w:val="0"/>
        </w:numPr>
      </w:pPr>
      <w:r>
        <w:t xml:space="preserve">Opravné prostředky před podáním žaloby</w:t>
      </w:r>
    </w:p>
    <w:p>
      <w:pPr>
        <w:pStyle w:val="Compact"/>
        <w:numPr>
          <w:numId w:val="1227"/>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229"/>
          <w:ilvl w:val="1"/>
        </w:numPr>
      </w:pPr>
      <w:r>
        <w:t xml:space="preserve">Příklad:</w:t>
      </w:r>
    </w:p>
    <w:p>
      <w:pPr>
        <w:pStyle w:val="Compact"/>
        <w:numPr>
          <w:numId w:val="1229"/>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227"/>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227"/>
          <w:ilvl w:val="0"/>
        </w:numPr>
      </w:pPr>
      <w:r>
        <w:t xml:space="preserve">Příklad:</w:t>
      </w:r>
    </w:p>
    <w:p>
      <w:pPr>
        <w:pStyle w:val="Compact"/>
        <w:numPr>
          <w:numId w:val="1230"/>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227"/>
          <w:ilvl w:val="0"/>
        </w:numPr>
      </w:pPr>
      <w:r>
        <w:t xml:space="preserve">Koho a kde žalovat:</w:t>
      </w:r>
    </w:p>
    <w:p>
      <w:pPr>
        <w:numPr>
          <w:numId w:val="1227"/>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227"/>
          <w:ilvl w:val="0"/>
        </w:numPr>
      </w:pPr>
      <w:r>
        <w:t xml:space="preserve">Lhůta pro podání žaloby:</w:t>
      </w:r>
    </w:p>
    <w:p>
      <w:pPr>
        <w:pStyle w:val="Compact"/>
        <w:numPr>
          <w:numId w:val="1227"/>
          <w:ilvl w:val="0"/>
        </w:numPr>
      </w:pPr>
      <w:r>
        <w:t xml:space="preserve">SŘS stanovuje dvě možné lhůty:</w:t>
      </w:r>
    </w:p>
    <w:p>
      <w:pPr>
        <w:pStyle w:val="Compact"/>
        <w:numPr>
          <w:numId w:val="1232"/>
          <w:ilvl w:val="2"/>
        </w:numPr>
      </w:pPr>
      <w:r>
        <w:t xml:space="preserve">Pro rozhodnutí správního orgánu je stanovena zákonem konkrétní lhůta, kterou správní orgán nedodržel</w:t>
      </w:r>
    </w:p>
    <w:p>
      <w:pPr>
        <w:pStyle w:val="Compact"/>
        <w:numPr>
          <w:numId w:val="1231"/>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231"/>
          <w:ilvl w:val="1"/>
        </w:numPr>
      </w:pPr>
      <w:r>
        <w:t xml:space="preserve">Příklad:</w:t>
      </w:r>
    </w:p>
    <w:p>
      <w:pPr>
        <w:pStyle w:val="Compact"/>
        <w:numPr>
          <w:numId w:val="1233"/>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234"/>
          <w:ilvl w:val="2"/>
        </w:numPr>
      </w:pPr>
      <w:r>
        <w:t xml:space="preserve">Pro rozhodnutí správního orgánu není stanovena zákonem konkrétní lhůta</w:t>
      </w:r>
    </w:p>
    <w:p>
      <w:pPr>
        <w:pStyle w:val="Compact"/>
        <w:numPr>
          <w:numId w:val="1231"/>
          <w:ilvl w:val="1"/>
        </w:numPr>
      </w:pPr>
      <w:r>
        <w:t xml:space="preserve">SŘS pak umožňuje podat žalobu do jednoho roku ode dne, kdy byl žalobcem vůči správnímu orgánu nebo správním orgánem proti žalobci učiněn poslední úkon.</w:t>
      </w:r>
    </w:p>
    <w:p>
      <w:pPr>
        <w:pStyle w:val="Compact"/>
        <w:numPr>
          <w:numId w:val="1231"/>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231"/>
          <w:ilvl w:val="1"/>
        </w:numPr>
      </w:pPr>
      <w:r>
        <w:t xml:space="preserve">Možné jsou i žaloby v případech protahování vyřízení žádostí o prominutí daně, žádostí o posečkání daně a povolení splátek, apod.</w:t>
      </w:r>
    </w:p>
    <w:p>
      <w:pPr>
        <w:pStyle w:val="Compact"/>
        <w:numPr>
          <w:numId w:val="1227"/>
          <w:ilvl w:val="0"/>
        </w:numPr>
      </w:pPr>
      <w:r>
        <w:t xml:space="preserve">Výsledek soudu – rozsudek</w:t>
      </w:r>
    </w:p>
    <w:p>
      <w:pPr>
        <w:pStyle w:val="Compact"/>
        <w:numPr>
          <w:numId w:val="1227"/>
          <w:ilvl w:val="0"/>
        </w:numPr>
      </w:pPr>
      <w:r>
        <w:t xml:space="preserve">Soud rozhoduje na základě skutkového stavu zjištěného ke dni svého rozhodnutí.</w:t>
      </w:r>
    </w:p>
    <w:p>
      <w:pPr>
        <w:numPr>
          <w:numId w:val="1227"/>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227"/>
          <w:ilvl w:val="0"/>
        </w:numPr>
      </w:pPr>
      <w:r>
        <w:t xml:space="preserve">Soud zamítne žalobu, není-li důvodná.</w:t>
      </w:r>
    </w:p>
    <w:p>
      <w:pPr>
        <w:pStyle w:val="Compact"/>
        <w:numPr>
          <w:numId w:val="1227"/>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227"/>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24" w:name="žaloba-proti-nezákonnému-zásahu"/>
      <w:bookmarkEnd w:id="124"/>
      <w:r>
        <w:t xml:space="preserve">Žaloba proti nezákonnému zásahu</w:t>
      </w:r>
    </w:p>
    <w:p>
      <w:pPr>
        <w:pStyle w:val="Compact"/>
        <w:numPr>
          <w:numId w:val="1235"/>
          <w:ilvl w:val="0"/>
        </w:numPr>
      </w:pPr>
      <w:r>
        <w:t xml:space="preserve">V jakém případě žalobu podat</w:t>
      </w:r>
    </w:p>
    <w:p>
      <w:pPr>
        <w:pStyle w:val="Compact"/>
        <w:numPr>
          <w:numId w:val="1235"/>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235"/>
          <w:ilvl w:val="0"/>
        </w:numPr>
      </w:pPr>
      <w:r>
        <w:t xml:space="preserve">Můžeme se tedy pokusit žalovat např. nezákonně prováděnou kontrolu v případě, že na ni dle našeho názoru neměl správce daně nárok.</w:t>
      </w:r>
    </w:p>
    <w:p>
      <w:pPr>
        <w:pStyle w:val="Compact"/>
        <w:numPr>
          <w:numId w:val="1235"/>
          <w:ilvl w:val="0"/>
        </w:numPr>
      </w:pPr>
      <w:r>
        <w:t xml:space="preserve">Koho žalovat</w:t>
      </w:r>
    </w:p>
    <w:p>
      <w:pPr>
        <w:numPr>
          <w:numId w:val="1235"/>
          <w:ilvl w:val="0"/>
        </w:numPr>
      </w:pPr>
      <w:r>
        <w:t xml:space="preserve">Žalovaným je správní orgán, který podle žalobního tvrzení provedl zásah.</w:t>
      </w:r>
    </w:p>
    <w:p>
      <w:pPr>
        <w:pStyle w:val="Compact"/>
        <w:numPr>
          <w:numId w:val="1235"/>
          <w:ilvl w:val="0"/>
        </w:numPr>
      </w:pPr>
      <w:r>
        <w:t xml:space="preserve">Do kdy žalobu podat?</w:t>
      </w:r>
    </w:p>
    <w:p>
      <w:pPr>
        <w:numPr>
          <w:numId w:val="1235"/>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235"/>
          <w:ilvl w:val="0"/>
        </w:numPr>
      </w:pPr>
      <w:r>
        <w:t xml:space="preserve">Náležitosti žaloby</w:t>
      </w:r>
    </w:p>
    <w:p>
      <w:pPr>
        <w:pStyle w:val="Compact"/>
        <w:numPr>
          <w:numId w:val="1235"/>
          <w:ilvl w:val="0"/>
        </w:numPr>
      </w:pPr>
      <w:r>
        <w:t xml:space="preserve">Žaloba mimo obecných náležitostí podání musí obsahovat</w:t>
      </w:r>
    </w:p>
    <w:p>
      <w:pPr>
        <w:pStyle w:val="Compact"/>
        <w:numPr>
          <w:numId w:val="1237"/>
          <w:ilvl w:val="2"/>
        </w:numPr>
      </w:pPr>
      <w:r>
        <w:t xml:space="preserve">označení zásahu, proti němuž se žalobce ochrany domáhá,</w:t>
      </w:r>
    </w:p>
    <w:p>
      <w:pPr>
        <w:pStyle w:val="Compact"/>
        <w:numPr>
          <w:numId w:val="1238"/>
          <w:ilvl w:val="2"/>
        </w:numPr>
      </w:pPr>
      <w:r>
        <w:t xml:space="preserve">vylíčení rozhodujících skutečností,</w:t>
      </w:r>
    </w:p>
    <w:p>
      <w:pPr>
        <w:pStyle w:val="Compact"/>
        <w:numPr>
          <w:numId w:val="1239"/>
          <w:ilvl w:val="2"/>
        </w:numPr>
      </w:pPr>
      <w:r>
        <w:t xml:space="preserve">označení důkazů, jichž se žalobce dovolává,</w:t>
      </w:r>
    </w:p>
    <w:p>
      <w:pPr>
        <w:pStyle w:val="Compact"/>
        <w:numPr>
          <w:numId w:val="1240"/>
          <w:ilvl w:val="2"/>
        </w:numPr>
      </w:pPr>
      <w:r>
        <w:t xml:space="preserve">návrh výroku rozsudku.</w:t>
      </w:r>
    </w:p>
    <w:p>
      <w:pPr>
        <w:pStyle w:val="Compact"/>
        <w:numPr>
          <w:numId w:val="1235"/>
          <w:ilvl w:val="0"/>
        </w:numPr>
      </w:pPr>
      <w:r>
        <w:t xml:space="preserve">Výsledek soudu – rozsudek</w:t>
      </w:r>
    </w:p>
    <w:p>
      <w:pPr>
        <w:pStyle w:val="Compact"/>
        <w:numPr>
          <w:numId w:val="1235"/>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235"/>
          <w:ilvl w:val="0"/>
        </w:numPr>
      </w:pPr>
      <w:r>
        <w:t xml:space="preserve">Soud samozřejmě může žalobu zamítnout, není-li důvodná.</w:t>
      </w:r>
    </w:p>
    <w:p>
      <w:pPr>
        <w:pStyle w:val="Heading3"/>
      </w:pPr>
      <w:bookmarkStart w:id="125" w:name="řízení-ve-věcech-opatření-obecné-povahy"/>
      <w:bookmarkEnd w:id="125"/>
      <w:r>
        <w:t xml:space="preserve">Řízení ve věcech opatření obecné povahy</w:t>
      </w:r>
    </w:p>
    <w:p>
      <w:pPr>
        <w:pStyle w:val="Compact"/>
        <w:numPr>
          <w:numId w:val="1241"/>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241"/>
          <w:ilvl w:val="0"/>
        </w:numPr>
      </w:pPr>
      <w:r>
        <w:t xml:space="preserve">Opatření obecné povahy je, jinak řečeno, správním aktem s konkrétně určeným předmětem a obecně vymezeným okruhem adresátů (§ 101a, 101b, 101d s. ř. s.).</w:t>
      </w:r>
    </w:p>
    <w:p>
      <w:pPr>
        <w:pStyle w:val="Compact"/>
        <w:numPr>
          <w:numId w:val="1241"/>
          <w:ilvl w:val="0"/>
        </w:numPr>
      </w:pPr>
      <w:r>
        <w:t xml:space="preserve">Příklady opatření obecné povahy</w:t>
      </w:r>
    </w:p>
    <w:p>
      <w:pPr>
        <w:pStyle w:val="Compact"/>
        <w:numPr>
          <w:numId w:val="1241"/>
          <w:ilvl w:val="0"/>
        </w:numPr>
      </w:pPr>
      <w:r>
        <w:t xml:space="preserve">územní plán</w:t>
      </w:r>
    </w:p>
    <w:p>
      <w:pPr>
        <w:pStyle w:val="Compact"/>
        <w:numPr>
          <w:numId w:val="1241"/>
          <w:ilvl w:val="0"/>
        </w:numPr>
      </w:pPr>
      <w:r>
        <w:t xml:space="preserve">stanovení záplavového území</w:t>
      </w:r>
    </w:p>
    <w:p>
      <w:pPr>
        <w:pStyle w:val="Compact"/>
        <w:numPr>
          <w:numId w:val="1241"/>
          <w:ilvl w:val="0"/>
        </w:numPr>
      </w:pPr>
      <w:r>
        <w:t xml:space="preserve">stanovení ochranného pásma vodních zdrojů</w:t>
      </w:r>
    </w:p>
    <w:p>
      <w:pPr>
        <w:numPr>
          <w:numId w:val="1241"/>
          <w:ilvl w:val="0"/>
        </w:numPr>
      </w:pPr>
      <w:r>
        <w:t xml:space="preserve">stanovení místní nebo přechodné úpravy provozu na pozemních komunikacích dopravními značkami a dopravními zařízeními</w:t>
      </w:r>
    </w:p>
    <w:p>
      <w:pPr>
        <w:pStyle w:val="Compact"/>
        <w:numPr>
          <w:numId w:val="1241"/>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241"/>
          <w:ilvl w:val="0"/>
        </w:numPr>
      </w:pPr>
      <w:r>
        <w:t xml:space="preserve">soulad opatření obecné povahy se zákonem,</w:t>
      </w:r>
    </w:p>
    <w:p>
      <w:pPr>
        <w:pStyle w:val="Compact"/>
        <w:numPr>
          <w:numId w:val="1241"/>
          <w:ilvl w:val="0"/>
        </w:numPr>
      </w:pPr>
      <w:r>
        <w:t xml:space="preserve">zda ten, kdo je vydal, postupoval v mezích své působnosti a pravomoci,</w:t>
      </w:r>
    </w:p>
    <w:p>
      <w:pPr>
        <w:numPr>
          <w:numId w:val="1241"/>
          <w:ilvl w:val="0"/>
        </w:numPr>
      </w:pPr>
      <w:r>
        <w:t xml:space="preserve">zda opatření obecné povahy bylo vydáno zákonem stanoveným způsobem.</w:t>
      </w:r>
    </w:p>
    <w:p>
      <w:pPr>
        <w:pStyle w:val="Heading3"/>
      </w:pPr>
      <w:bookmarkStart w:id="126" w:name="opravné-prostředky-ve-správním-soudnictví-kasační-stížnost-obnova-řízení"/>
      <w:bookmarkEnd w:id="126"/>
      <w:r>
        <w:t xml:space="preserve">Opravné prostředky ve správním soudnictví – kasační stížnost, obnova řízení</w:t>
      </w:r>
    </w:p>
    <w:p>
      <w:pPr>
        <w:pStyle w:val="Compact"/>
        <w:numPr>
          <w:numId w:val="1242"/>
          <w:ilvl w:val="0"/>
        </w:numPr>
      </w:pPr>
      <w:r>
        <w:t xml:space="preserve">Kdo může žalobu podat - zastupování</w:t>
      </w:r>
    </w:p>
    <w:p>
      <w:pPr>
        <w:pStyle w:val="Compact"/>
        <w:numPr>
          <w:numId w:val="1242"/>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242"/>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242"/>
          <w:ilvl w:val="0"/>
        </w:numPr>
      </w:pPr>
      <w:r>
        <w:t xml:space="preserve">Důvody kasační stížnosti</w:t>
      </w:r>
    </w:p>
    <w:p>
      <w:pPr>
        <w:pStyle w:val="Compact"/>
        <w:numPr>
          <w:numId w:val="1242"/>
          <w:ilvl w:val="0"/>
        </w:numPr>
      </w:pPr>
      <w:r>
        <w:t xml:space="preserve">Kasační stížnost lze podat pouze z důvodu tvrzené:</w:t>
      </w:r>
    </w:p>
    <w:p>
      <w:pPr>
        <w:pStyle w:val="Compact"/>
        <w:numPr>
          <w:numId w:val="1244"/>
          <w:ilvl w:val="2"/>
        </w:numPr>
      </w:pPr>
      <w:r>
        <w:t xml:space="preserve">nezákonnosti spočívající v nesprávném posouzení právní otázky soudem v předcházejícím řízení,</w:t>
      </w:r>
    </w:p>
    <w:p>
      <w:pPr>
        <w:pStyle w:val="Compact"/>
        <w:numPr>
          <w:numId w:val="1245"/>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246"/>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247"/>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242"/>
          <w:ilvl w:val="0"/>
        </w:numPr>
      </w:pPr>
      <w:r>
        <w:t xml:space="preserve">Nepřípustnost stížnosti</w:t>
      </w:r>
    </w:p>
    <w:p>
      <w:pPr>
        <w:pStyle w:val="Compact"/>
        <w:numPr>
          <w:numId w:val="1242"/>
          <w:ilvl w:val="0"/>
        </w:numPr>
      </w:pPr>
      <w:r>
        <w:t xml:space="preserve">Kasační stížnost je nepřípustná, jestliže:</w:t>
      </w:r>
    </w:p>
    <w:p>
      <w:pPr>
        <w:pStyle w:val="Compact"/>
        <w:numPr>
          <w:numId w:val="1248"/>
          <w:ilvl w:val="1"/>
        </w:numPr>
      </w:pPr>
      <w:r>
        <w:t xml:space="preserve">směřuje jen proti výroku o nákladech řízení nebo proti důvodům rozhodnutí soudu, je nepřípustná,</w:t>
      </w:r>
    </w:p>
    <w:p>
      <w:pPr>
        <w:pStyle w:val="Compact"/>
        <w:numPr>
          <w:numId w:val="1248"/>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248"/>
          <w:ilvl w:val="1"/>
        </w:numPr>
      </w:pPr>
      <w:r>
        <w:t xml:space="preserve">proti rozhodnutí, jímž se pouze upravuje vedení řízení</w:t>
      </w:r>
    </w:p>
    <w:p>
      <w:pPr>
        <w:pStyle w:val="Compact"/>
        <w:numPr>
          <w:numId w:val="1248"/>
          <w:ilvl w:val="1"/>
        </w:numPr>
      </w:pPr>
      <w:r>
        <w:t xml:space="preserve">proti rozhodnutí, které je podle své povahy dočasné,</w:t>
      </w:r>
    </w:p>
    <w:p>
      <w:pPr>
        <w:pStyle w:val="Compact"/>
        <w:numPr>
          <w:numId w:val="1248"/>
          <w:ilvl w:val="1"/>
        </w:numPr>
      </w:pPr>
      <w:r>
        <w:t xml:space="preserve">opírá-li se jen o jiné důvody, než které jsou uvedeny v textu týkajících se důvodů pro kasační stížnost</w:t>
      </w:r>
    </w:p>
    <w:p>
      <w:pPr>
        <w:pStyle w:val="Compact"/>
        <w:numPr>
          <w:numId w:val="1248"/>
          <w:ilvl w:val="1"/>
        </w:numPr>
      </w:pPr>
      <w:r>
        <w:t xml:space="preserve">opírá-li se o důvody, které stěžovatel neuplatnil v řízení před soudem, jehož rozhodnutí má být přezkoumáno, ač tak učinit mohl.</w:t>
      </w:r>
    </w:p>
    <w:p>
      <w:pPr>
        <w:pStyle w:val="Compact"/>
        <w:numPr>
          <w:numId w:val="1242"/>
          <w:ilvl w:val="0"/>
        </w:numPr>
      </w:pPr>
      <w:r>
        <w:t xml:space="preserve">Kdy a kam podat kasační stížnost</w:t>
      </w:r>
    </w:p>
    <w:p>
      <w:pPr>
        <w:pStyle w:val="Compact"/>
        <w:numPr>
          <w:numId w:val="1242"/>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242"/>
          <w:ilvl w:val="0"/>
        </w:numPr>
      </w:pPr>
      <w:r>
        <w:t xml:space="preserve">Kasační stížnost musí být podána do dvou týdnů po doručení rozhodnutí, které napadáme.</w:t>
      </w:r>
    </w:p>
    <w:p>
      <w:pPr>
        <w:numPr>
          <w:numId w:val="1242"/>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242"/>
          <w:ilvl w:val="0"/>
        </w:numPr>
      </w:pPr>
      <w:r>
        <w:t xml:space="preserve">Náležitosti stížnosti</w:t>
      </w:r>
    </w:p>
    <w:p>
      <w:pPr>
        <w:pStyle w:val="Compact"/>
        <w:numPr>
          <w:numId w:val="1242"/>
          <w:ilvl w:val="0"/>
        </w:numPr>
      </w:pPr>
      <w:r>
        <w:t xml:space="preserve">Kromě obecných náležitostí podání musí kasační stížnost</w:t>
      </w:r>
    </w:p>
    <w:p>
      <w:pPr>
        <w:numPr>
          <w:numId w:val="1242"/>
          <w:ilvl w:val="0"/>
        </w:numPr>
      </w:pPr>
      <w:r>
        <w:t xml:space="preserve">obsahovat označení rozhodnutí, proti němuž směřuje, v jakém rozsahu a z jakých důvodů jej stěžovatel napadá, údaj o tom, kdy mu rozhodnutí bylo doručeno.</w:t>
      </w:r>
    </w:p>
    <w:p>
      <w:pPr>
        <w:pStyle w:val="Compact"/>
        <w:numPr>
          <w:numId w:val="1242"/>
          <w:ilvl w:val="0"/>
        </w:numPr>
      </w:pPr>
      <w:r>
        <w:t xml:space="preserve">Odkladný účinek</w:t>
      </w:r>
    </w:p>
    <w:p>
      <w:pPr>
        <w:numPr>
          <w:numId w:val="1242"/>
          <w:ilvl w:val="0"/>
        </w:numPr>
      </w:pPr>
      <w:r>
        <w:t xml:space="preserve">Kasační stížnost nemá odkladný účinek, Nejvyšší správní soud jej však může na návrh stěžovatele přiznat.</w:t>
      </w:r>
    </w:p>
    <w:p>
      <w:pPr>
        <w:pStyle w:val="Compact"/>
        <w:numPr>
          <w:numId w:val="1242"/>
          <w:ilvl w:val="0"/>
        </w:numPr>
      </w:pPr>
      <w:r>
        <w:t xml:space="preserve">Řízení před Nejvyšším správním soudem</w:t>
      </w:r>
    </w:p>
    <w:p>
      <w:pPr>
        <w:pStyle w:val="Compact"/>
        <w:numPr>
          <w:numId w:val="1242"/>
          <w:ilvl w:val="0"/>
        </w:numPr>
      </w:pPr>
      <w:r>
        <w:t xml:space="preserve">NSS rozhoduje v drtivé většině případů bez jednání</w:t>
      </w:r>
    </w:p>
    <w:p>
      <w:pPr>
        <w:pStyle w:val="Compact"/>
        <w:numPr>
          <w:numId w:val="1242"/>
          <w:ilvl w:val="0"/>
        </w:numPr>
      </w:pPr>
      <w:r>
        <w:t xml:space="preserve">NSS vázán rozsahem a důvody kasační stížnosti, nebude tedy vyhledávat argumenty v náš prospěch nad rámec, který jsme uvedli ve stížnosti. To však neplatí:</w:t>
      </w:r>
    </w:p>
    <w:p>
      <w:pPr>
        <w:pStyle w:val="Compact"/>
        <w:numPr>
          <w:numId w:val="1249"/>
          <w:ilvl w:val="1"/>
        </w:numPr>
      </w:pPr>
      <w:r>
        <w:t xml:space="preserve">v případech, je-li na napadeném výroku závislý výrok, který napaden nebyl,</w:t>
      </w:r>
    </w:p>
    <w:p>
      <w:pPr>
        <w:pStyle w:val="Compact"/>
        <w:numPr>
          <w:numId w:val="1249"/>
          <w:ilvl w:val="1"/>
        </w:numPr>
      </w:pPr>
      <w:r>
        <w:t xml:space="preserve">je-li rozhodnutí správního orgánu nicotné,</w:t>
      </w:r>
    </w:p>
    <w:p>
      <w:pPr>
        <w:pStyle w:val="Compact"/>
        <w:numPr>
          <w:numId w:val="1249"/>
          <w:ilvl w:val="1"/>
        </w:numPr>
      </w:pPr>
      <w:r>
        <w:t xml:space="preserve">bylo-li řízení před krajským soudem zmatečné,</w:t>
      </w:r>
    </w:p>
    <w:p>
      <w:pPr>
        <w:pStyle w:val="Compact"/>
        <w:numPr>
          <w:numId w:val="1249"/>
          <w:ilvl w:val="1"/>
        </w:numPr>
      </w:pPr>
      <w:r>
        <w:t xml:space="preserve">bylo řízení před krajským soudem zatíženo vadou, která mohla mít za následek nezákonné rozhodnutí o věci samé</w:t>
      </w:r>
    </w:p>
    <w:p>
      <w:pPr>
        <w:pStyle w:val="Compact"/>
        <w:numPr>
          <w:numId w:val="1249"/>
          <w:ilvl w:val="1"/>
        </w:numPr>
      </w:pPr>
      <w:r>
        <w:t xml:space="preserve">je-li napadené rozhodnutí nepřezkoumatelné,</w:t>
      </w:r>
    </w:p>
    <w:p>
      <w:pPr>
        <w:numPr>
          <w:numId w:val="1242"/>
          <w:ilvl w:val="0"/>
        </w:numPr>
      </w:pPr>
      <w:r>
        <w:t xml:space="preserve">Ke skutečnostem, které stěžovatel uplatnil poté, kdy bylo vydáno napadené rozhodnutí, Nejvyšší správní soud nepřihlíží.</w:t>
      </w:r>
    </w:p>
    <w:p>
      <w:pPr>
        <w:pStyle w:val="Compact"/>
        <w:numPr>
          <w:numId w:val="1242"/>
          <w:ilvl w:val="0"/>
        </w:numPr>
      </w:pPr>
      <w:r>
        <w:t xml:space="preserve">Rozsudek:</w:t>
      </w:r>
    </w:p>
    <w:p>
      <w:pPr>
        <w:pStyle w:val="Compact"/>
        <w:numPr>
          <w:numId w:val="1242"/>
          <w:ilvl w:val="0"/>
        </w:numPr>
      </w:pPr>
      <w:r>
        <w:t xml:space="preserve">Dospěje-li Nejvyšší správní soud k tomu, že kasační stížnost je důvodná, rozsudkem zruší rozhodnutí krajského soudu a věc mu vrátí k dalšímu řízení.</w:t>
      </w:r>
    </w:p>
    <w:p>
      <w:pPr>
        <w:pStyle w:val="Compact"/>
        <w:numPr>
          <w:numId w:val="1242"/>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242"/>
          <w:ilvl w:val="0"/>
        </w:numPr>
      </w:pPr>
      <w:r>
        <w:t xml:space="preserve">Není-li kasační stížnost důvodná, Nejvyšší správní soud ji rozsudkem zamítne.</w:t>
      </w:r>
    </w:p>
    <w:p>
      <w:pPr>
        <w:pStyle w:val="Compact"/>
        <w:numPr>
          <w:numId w:val="1242"/>
          <w:ilvl w:val="0"/>
        </w:numPr>
      </w:pPr>
      <w:r>
        <w:t xml:space="preserve">Obnova řízení</w:t>
      </w:r>
    </w:p>
    <w:p>
      <w:pPr>
        <w:pStyle w:val="Compact"/>
        <w:numPr>
          <w:numId w:val="1242"/>
          <w:ilvl w:val="0"/>
        </w:numPr>
      </w:pPr>
      <w:r>
        <w:t xml:space="preserve">Je přípustná jen v řízení o žalobách proti nezákonným zásahům a v řízení ve věcech politických stran, tedy tam, kde soud sám zjišťoval skutkový stav věci.</w:t>
      </w:r>
    </w:p>
    <w:p>
      <w:pPr>
        <w:pStyle w:val="Compact"/>
        <w:numPr>
          <w:numId w:val="1242"/>
          <w:ilvl w:val="0"/>
        </w:numPr>
      </w:pPr>
      <w:r>
        <w:t xml:space="preserve">Dvě fáze:</w:t>
      </w:r>
    </w:p>
    <w:p>
      <w:pPr>
        <w:pStyle w:val="Compact"/>
        <w:numPr>
          <w:numId w:val="1251"/>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252"/>
          <w:ilvl w:val="2"/>
        </w:numPr>
      </w:pPr>
      <w:r>
        <w:t xml:space="preserve">poté, kdy je obnova řízení povolena, se provede nové řízení ve věci samé.</w:t>
      </w:r>
    </w:p>
    <w:p>
      <w:pPr>
        <w:numPr>
          <w:numId w:val="1242"/>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242"/>
          <w:ilvl w:val="0"/>
        </w:numPr>
      </w:pPr>
      <w:r>
        <w:t xml:space="preserve">Co soudní řízení stojí?</w:t>
      </w:r>
    </w:p>
    <w:p>
      <w:pPr>
        <w:pStyle w:val="Compact"/>
        <w:numPr>
          <w:numId w:val="1242"/>
          <w:ilvl w:val="0"/>
        </w:numPr>
      </w:pPr>
      <w:r>
        <w:t xml:space="preserve">Zde se postupuje dle přílohy k zákonu č. 549/1991 Sb. O soudních poplatcích</w:t>
      </w:r>
    </w:p>
    <w:p>
      <w:pPr>
        <w:pStyle w:val="Compact"/>
        <w:numPr>
          <w:numId w:val="1242"/>
          <w:ilvl w:val="0"/>
        </w:numPr>
      </w:pPr>
      <w:r>
        <w:t xml:space="preserve">Položka 18 bod 2.</w:t>
      </w:r>
    </w:p>
    <w:p>
      <w:pPr>
        <w:pStyle w:val="Compact"/>
        <w:numPr>
          <w:numId w:val="1242"/>
          <w:ilvl w:val="0"/>
        </w:numPr>
      </w:pPr>
      <w:r>
        <w:t xml:space="preserve">Za žalobu nebo jiný návrh na zahájení řízení ve věcech správního soudnictví:</w:t>
      </w:r>
    </w:p>
    <w:p>
      <w:pPr>
        <w:pStyle w:val="Compact"/>
        <w:numPr>
          <w:numId w:val="1253"/>
          <w:ilvl w:val="1"/>
        </w:numPr>
      </w:pPr>
      <w:r>
        <w:t xml:space="preserve">proti rozhodnutí správního orgánu Kč 3 000,- (=většina případů)</w:t>
      </w:r>
    </w:p>
    <w:p>
      <w:pPr>
        <w:pStyle w:val="Compact"/>
        <w:numPr>
          <w:numId w:val="1253"/>
          <w:ilvl w:val="1"/>
        </w:numPr>
      </w:pPr>
      <w:r>
        <w:t xml:space="preserve">v ostatních případech Kč 2 000,-</w:t>
      </w:r>
    </w:p>
    <w:p>
      <w:pPr>
        <w:pStyle w:val="Compact"/>
        <w:numPr>
          <w:numId w:val="1242"/>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242"/>
          <w:ilvl w:val="0"/>
        </w:numPr>
      </w:pPr>
      <w:r>
        <w:t xml:space="preserve">Položka 15</w:t>
      </w:r>
    </w:p>
    <w:p>
      <w:pPr>
        <w:pStyle w:val="Compact"/>
        <w:numPr>
          <w:numId w:val="1254"/>
          <w:ilvl w:val="1"/>
        </w:numPr>
      </w:pPr>
      <w:r>
        <w:t xml:space="preserve">Za kasační stížnost k Nejvyššímu správnímu soudu Kč 5 000,-</w:t>
      </w:r>
    </w:p>
    <w:p>
      <w:pPr>
        <w:numPr>
          <w:numId w:val="1242"/>
          <w:ilvl w:val="0"/>
        </w:numPr>
      </w:pPr>
      <w:r>
        <w:t xml:space="preserve">Soudní poplatky se hradí vylepením kolkových známek na žalobu nebo převodem na účet soudu.</w:t>
      </w:r>
    </w:p>
    <w:p>
      <w:pPr>
        <w:pStyle w:val="Compact"/>
        <w:numPr>
          <w:numId w:val="1242"/>
          <w:ilvl w:val="0"/>
        </w:numPr>
      </w:pPr>
      <w:r>
        <w:t xml:space="preserve">Náklady řízení jsou zejména:</w:t>
      </w:r>
    </w:p>
    <w:p>
      <w:pPr>
        <w:pStyle w:val="Compact"/>
        <w:numPr>
          <w:numId w:val="1242"/>
          <w:ilvl w:val="0"/>
        </w:numPr>
      </w:pPr>
      <w:r>
        <w:t xml:space="preserve">hotové výdaje účastníků a jejich zástupců,</w:t>
      </w:r>
    </w:p>
    <w:p>
      <w:pPr>
        <w:pStyle w:val="Compact"/>
        <w:numPr>
          <w:numId w:val="1242"/>
          <w:ilvl w:val="0"/>
        </w:numPr>
      </w:pPr>
      <w:r>
        <w:t xml:space="preserve">soudní poplatky,</w:t>
      </w:r>
    </w:p>
    <w:p>
      <w:pPr>
        <w:pStyle w:val="Compact"/>
        <w:numPr>
          <w:numId w:val="1242"/>
          <w:ilvl w:val="0"/>
        </w:numPr>
      </w:pPr>
      <w:r>
        <w:t xml:space="preserve">ušlý výdělek účastníků a jejich zákonných zástupců,</w:t>
      </w:r>
    </w:p>
    <w:p>
      <w:pPr>
        <w:pStyle w:val="Compact"/>
        <w:numPr>
          <w:numId w:val="1242"/>
          <w:ilvl w:val="0"/>
        </w:numPr>
      </w:pPr>
      <w:r>
        <w:t xml:space="preserve">náklady spojené s dokazováním,</w:t>
      </w:r>
    </w:p>
    <w:p>
      <w:pPr>
        <w:pStyle w:val="Compact"/>
        <w:numPr>
          <w:numId w:val="1242"/>
          <w:ilvl w:val="0"/>
        </w:numPr>
      </w:pPr>
      <w:r>
        <w:t xml:space="preserve">odměna zástupce a jeho hotové výdaje,</w:t>
      </w:r>
    </w:p>
    <w:p>
      <w:pPr>
        <w:numPr>
          <w:numId w:val="1242"/>
          <w:ilvl w:val="0"/>
        </w:numPr>
      </w:pPr>
      <w:r>
        <w:t xml:space="preserve">tlumočné.</w:t>
      </w:r>
    </w:p>
    <w:p>
      <w:pPr>
        <w:pStyle w:val="Compact"/>
        <w:numPr>
          <w:numId w:val="1242"/>
          <w:ilvl w:val="0"/>
        </w:numPr>
      </w:pPr>
      <w:r>
        <w:t xml:space="preserve">Náklady řízení</w:t>
      </w:r>
    </w:p>
    <w:p>
      <w:pPr>
        <w:pStyle w:val="Compact"/>
        <w:numPr>
          <w:numId w:val="1242"/>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242"/>
          <w:ilvl w:val="0"/>
        </w:numPr>
      </w:pPr>
      <w:r>
        <w:t xml:space="preserve">Protistrana (např. finanční úřad či jiný státní orgán) obvykle náklady řízení přiznány nedostane.</w:t>
      </w:r>
    </w:p>
    <w:p>
      <w:pPr>
        <w:pStyle w:val="Heading2"/>
      </w:pPr>
      <w:bookmarkStart w:id="127" w:name="role-judikatury-správního-ústavního-a-evropského-soudnictví-v-daňovém-právu"/>
      <w:bookmarkEnd w:id="127"/>
      <w:r>
        <w:t xml:space="preserve">24. Role judikatury správního, ústavního a evropského soudnictví v daňovém právu</w:t>
      </w:r>
    </w:p>
    <w:p>
      <w:pPr>
        <w:pStyle w:val="Compact"/>
        <w:numPr>
          <w:numId w:val="1255"/>
          <w:ilvl w:val="0"/>
        </w:numPr>
      </w:pPr>
      <w:r>
        <w:t xml:space="preserve">Ústavní principy jasně vymezují:</w:t>
      </w:r>
    </w:p>
    <w:p>
      <w:pPr>
        <w:pStyle w:val="Compact"/>
        <w:numPr>
          <w:numId w:val="1255"/>
          <w:ilvl w:val="0"/>
        </w:numPr>
      </w:pPr>
      <w:r>
        <w:t xml:space="preserve">obsah hmotněprávních a procesněprávních daňových podústavních předpisů,</w:t>
      </w:r>
    </w:p>
    <w:p>
      <w:pPr>
        <w:numPr>
          <w:numId w:val="1255"/>
          <w:ilvl w:val="0"/>
        </w:numPr>
      </w:pPr>
      <w:r>
        <w:t xml:space="preserve">tak rámec jejich interpretace a aplikace</w:t>
      </w:r>
      <w:r>
        <w:rPr>
          <w:rStyle w:val="FootnoteReference"/>
        </w:rPr>
        <w:footnoteReference w:id="128"/>
      </w:r>
      <w:r>
        <w:t xml:space="preserve">.</w:t>
      </w:r>
    </w:p>
    <w:p>
      <w:pPr>
        <w:pStyle w:val="Compact"/>
        <w:numPr>
          <w:numId w:val="1255"/>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255"/>
          <w:ilvl w:val="0"/>
        </w:numPr>
      </w:pPr>
      <w:r>
        <w:t xml:space="preserve">Judikatura správních soudů spočívá v předpokladu stálosti rozhodování - soud by se tak neměl odchýlit od ustálené soudní praxe.</w:t>
      </w:r>
    </w:p>
    <w:p>
      <w:pPr>
        <w:numPr>
          <w:numId w:val="1255"/>
          <w:ilvl w:val="0"/>
        </w:numPr>
      </w:pPr>
      <w:r>
        <w:t xml:space="preserve">Ústavní soud však neřeší otázku z pohledu věci samé, řeší, zda bylo jednání orgánu veřejné moci, či soudní moci zasaženo do ZLP stěžovatele.</w:t>
      </w:r>
    </w:p>
    <w:p>
      <w:pPr>
        <w:pStyle w:val="Compact"/>
        <w:numPr>
          <w:numId w:val="1255"/>
          <w:ilvl w:val="0"/>
        </w:numPr>
      </w:pPr>
      <w:r>
        <w:t xml:space="preserve">Evropské soudnictví je důležité ze dvou bodů:</w:t>
      </w:r>
    </w:p>
    <w:p>
      <w:pPr>
        <w:pStyle w:val="Compact"/>
        <w:numPr>
          <w:numId w:val="1255"/>
          <w:ilvl w:val="0"/>
        </w:numPr>
      </w:pPr>
      <w:r>
        <w:t xml:space="preserve">předběžná otázka - umožňuje se soudu obrátit na Soudní dvůr Evropské unie - v pochybnostech výkladu Evropského práva</w:t>
      </w:r>
      <w:r>
        <w:rPr>
          <w:rStyle w:val="FootnoteReference"/>
        </w:rPr>
        <w:footnoteReference w:id="129"/>
      </w:r>
      <w:r>
        <w:t xml:space="preserve">,</w:t>
      </w:r>
    </w:p>
    <w:p>
      <w:pPr>
        <w:numPr>
          <w:numId w:val="1255"/>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30" w:name="cvičení-téma-k-diskusi"/>
      <w:bookmarkEnd w:id="130"/>
      <w:r>
        <w:t xml:space="preserve">Cvičení téma k diskusi</w:t>
      </w:r>
    </w:p>
    <w:p>
      <w:pPr>
        <w:pStyle w:val="Compact"/>
        <w:numPr>
          <w:numId w:val="1256"/>
          <w:ilvl w:val="0"/>
        </w:numPr>
      </w:pPr>
      <w:r>
        <w:t xml:space="preserve">Příklad 1</w:t>
      </w:r>
    </w:p>
    <w:p>
      <w:pPr>
        <w:pStyle w:val="Compact"/>
        <w:numPr>
          <w:numId w:val="1256"/>
          <w:ilvl w:val="0"/>
        </w:numPr>
      </w:pPr>
      <w:r>
        <w:t xml:space="preserve">Jste poslanci a máte rozhodnout o tom, zda bude daň z příjmů rovná nebo progresivní.</w:t>
      </w:r>
    </w:p>
    <w:p>
      <w:pPr>
        <w:pStyle w:val="Compact"/>
        <w:numPr>
          <w:numId w:val="1256"/>
          <w:ilvl w:val="0"/>
        </w:numPr>
      </w:pPr>
      <w:r>
        <w:t xml:space="preserve">Podotázky:</w:t>
      </w:r>
    </w:p>
    <w:p>
      <w:pPr>
        <w:pStyle w:val="Compact"/>
        <w:numPr>
          <w:numId w:val="1257"/>
          <w:ilvl w:val="1"/>
        </w:numPr>
      </w:pPr>
      <w:r>
        <w:t xml:space="preserve">Je současná daň z příjmů rovná, když má jednotnou sazbu?</w:t>
      </w:r>
    </w:p>
    <w:p>
      <w:pPr>
        <w:pStyle w:val="Compact"/>
        <w:numPr>
          <w:numId w:val="1257"/>
          <w:ilvl w:val="1"/>
        </w:numPr>
      </w:pPr>
      <w:r>
        <w:t xml:space="preserve">Mají bohatí platit vyšší daně než chudí?</w:t>
      </w:r>
    </w:p>
    <w:p>
      <w:pPr>
        <w:pStyle w:val="Compact"/>
        <w:numPr>
          <w:numId w:val="1257"/>
          <w:ilvl w:val="1"/>
        </w:numPr>
      </w:pPr>
      <w:r>
        <w:t xml:space="preserve">Mají bezdětní platit vyšší daně než ti, co děti mají?</w:t>
      </w:r>
    </w:p>
    <w:p>
      <w:pPr>
        <w:pStyle w:val="Compact"/>
        <w:numPr>
          <w:numId w:val="1256"/>
          <w:ilvl w:val="0"/>
        </w:numPr>
      </w:pPr>
      <w:r>
        <w:t xml:space="preserve">Příklad č. 2</w:t>
      </w:r>
    </w:p>
    <w:p>
      <w:pPr>
        <w:pStyle w:val="Compact"/>
        <w:numPr>
          <w:numId w:val="1256"/>
          <w:ilvl w:val="0"/>
        </w:numPr>
      </w:pPr>
      <w:r>
        <w:t xml:space="preserve">Jste poslanci a máte rozhodnout, zda zavedete silniční daň:</w:t>
      </w:r>
    </w:p>
    <w:p>
      <w:pPr>
        <w:pStyle w:val="Compact"/>
        <w:numPr>
          <w:numId w:val="1259"/>
          <w:ilvl w:val="2"/>
        </w:numPr>
      </w:pPr>
      <w:r>
        <w:t xml:space="preserve">Jen pro podnikatele</w:t>
      </w:r>
    </w:p>
    <w:p>
      <w:pPr>
        <w:pStyle w:val="Compact"/>
        <w:numPr>
          <w:numId w:val="1260"/>
          <w:ilvl w:val="2"/>
        </w:numPr>
      </w:pPr>
      <w:r>
        <w:t xml:space="preserve">Pro všechny</w:t>
      </w:r>
    </w:p>
    <w:p>
      <w:pPr>
        <w:pStyle w:val="Compact"/>
        <w:numPr>
          <w:numId w:val="1256"/>
          <w:ilvl w:val="0"/>
        </w:numPr>
      </w:pPr>
      <w:r>
        <w:t xml:space="preserve">Podotázka – a co dálniční známky, mýtné:</w:t>
      </w:r>
    </w:p>
    <w:p>
      <w:pPr>
        <w:pStyle w:val="Compact"/>
        <w:numPr>
          <w:numId w:val="1262"/>
          <w:ilvl w:val="2"/>
        </w:numPr>
      </w:pPr>
      <w:r>
        <w:t xml:space="preserve">na všechny silnice</w:t>
      </w:r>
    </w:p>
    <w:p>
      <w:pPr>
        <w:pStyle w:val="Compact"/>
        <w:numPr>
          <w:numId w:val="1263"/>
          <w:ilvl w:val="2"/>
        </w:numPr>
      </w:pPr>
      <w:r>
        <w:t xml:space="preserve">jen na dálnice (dálnice + silnice 1. třídy)</w:t>
      </w:r>
    </w:p>
    <w:p>
      <w:pPr>
        <w:pStyle w:val="Compact"/>
        <w:numPr>
          <w:numId w:val="1264"/>
          <w:ilvl w:val="2"/>
        </w:numPr>
      </w:pPr>
      <w:r>
        <w:t xml:space="preserve">jen pro podnikatele</w:t>
      </w:r>
    </w:p>
    <w:p>
      <w:pPr>
        <w:numPr>
          <w:numId w:val="1256"/>
          <w:ilvl w:val="0"/>
        </w:numPr>
      </w:pPr>
      <w:r>
        <w:t xml:space="preserve">Obdobně parkování ve městech, nízkoemisní zóny (třídění podle druhů automobilů, občanů a firem, které v zóně bydlí apod.</w:t>
      </w:r>
    </w:p>
    <w:p>
      <w:pPr>
        <w:pStyle w:val="Compact"/>
        <w:numPr>
          <w:numId w:val="1256"/>
          <w:ilvl w:val="0"/>
        </w:numPr>
      </w:pPr>
      <w:r>
        <w:t xml:space="preserve">Příklad č. 3</w:t>
      </w:r>
    </w:p>
    <w:p>
      <w:pPr>
        <w:pStyle w:val="Compact"/>
        <w:numPr>
          <w:numId w:val="1256"/>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265"/>
          <w:ilvl w:val="1"/>
        </w:numPr>
      </w:pPr>
      <w:r>
        <w:t xml:space="preserve">Argumenty pro…………..</w:t>
      </w:r>
    </w:p>
    <w:p>
      <w:pPr>
        <w:pStyle w:val="Compact"/>
        <w:numPr>
          <w:numId w:val="1265"/>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https://cs.wikipedia.org/wiki/Spot%C5%99ebn%C3%AD_da%C5%88</w:t>
      </w:r>
    </w:p>
  </w:footnote>
  <w:footnote w:id="108">
    <w:p>
      <w:pPr>
        <w:pStyle w:val="FootnoteText"/>
      </w:pPr>
      <w:r>
        <w:rPr>
          <w:rStyle w:val="FootnoteReference"/>
        </w:rPr>
        <w:footnoteRef/>
      </w:r>
      <w:r>
        <w:t xml:space="preserve"> </w:t>
      </w:r>
      <w:r>
        <w:t xml:space="preserve">https://www.zakonyprolidi.cz/cs/2009-280#cast2-hlava6-dil3</w:t>
      </w:r>
    </w:p>
  </w:footnote>
  <w:footnote w:id="110">
    <w:p>
      <w:pPr>
        <w:pStyle w:val="FootnoteText"/>
      </w:pPr>
      <w:r>
        <w:rPr>
          <w:rStyle w:val="FootnoteReference"/>
        </w:rPr>
        <w:footnoteRef/>
      </w:r>
      <w:r>
        <w:t xml:space="preserve"> </w:t>
      </w:r>
      <w:r>
        <w:t xml:space="preserve">https://www.zakonyprolidi.cz/cs/2009-280#cast2-hlava7</w:t>
      </w:r>
    </w:p>
  </w:footnote>
  <w:footnote w:id="116">
    <w:p>
      <w:pPr>
        <w:pStyle w:val="FootnoteText"/>
      </w:pPr>
      <w:r>
        <w:rPr>
          <w:rStyle w:val="FootnoteReference"/>
        </w:rPr>
        <w:footnoteRef/>
      </w:r>
      <w:r>
        <w:t xml:space="preserve"> </w:t>
      </w:r>
      <w:r>
        <w:t xml:space="preserve">https://cs.wikipedia.org/wiki/Opravn%C3%BD_prost%C5%99edek</w:t>
      </w:r>
    </w:p>
  </w:footnote>
  <w:footnote w:id="121">
    <w:p>
      <w:pPr>
        <w:pStyle w:val="FootnoteText"/>
      </w:pPr>
      <w:r>
        <w:rPr>
          <w:rStyle w:val="FootnoteReference"/>
        </w:rPr>
        <w:footnoteRef/>
      </w:r>
      <w:r>
        <w:t xml:space="preserve"> </w:t>
      </w:r>
      <w:r>
        <w:t xml:space="preserve">https://cs.wikipedia.org/wiki/Spr%C3%A1vn%C3%AD_soudnictv%C3%AD</w:t>
      </w:r>
    </w:p>
  </w:footnote>
  <w:footnote w:id="128">
    <w:p>
      <w:pPr>
        <w:pStyle w:val="FootnoteText"/>
      </w:pPr>
      <w:r>
        <w:rPr>
          <w:rStyle w:val="FootnoteReference"/>
        </w:rPr>
        <w:footnoteRef/>
      </w:r>
      <w:r>
        <w:t xml:space="preserve"> </w:t>
      </w:r>
      <w:r>
        <w:t xml:space="preserve">https://is.muni.cz/www/6685/Danove_pravo_v_judikature_Ustavniho_soudu_CR4-nekorigovano-hruby-draft.pdf</w:t>
      </w:r>
    </w:p>
  </w:footnote>
  <w:footnote w:id="129">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ca4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b25db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ef34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13e57b1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fc68a3ff"/>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21d25008"/>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a2bc23e0"/>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ec3caec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d3f692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c41daf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f81e3a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e78be1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eeb3ff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9c3ba30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fb32d7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25">
    <w:nsid w:val="4c7e313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91ac8a7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3a28ae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1b33a604"/>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8b6b264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1ffb714a"/>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25">
    <w:nsid w:val="141c267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17c62402"/>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52425551"/>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d7049146"/>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a0ef05ae"/>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a92a576e"/>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313450d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26ec46c5"/>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7">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9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00">
    <w:abstractNumId w:val="991"/>
  </w:num>
  <w:num w:numId="1101">
    <w:abstractNumId w:val="991"/>
  </w:num>
  <w:num w:numId="1102">
    <w:abstractNumId w:val="991"/>
  </w:num>
  <w:num w:numId="1103">
    <w:abstractNumId w:val="991"/>
  </w:num>
  <w:num w:numId="11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0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1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11">
    <w:abstractNumId w:val="991"/>
  </w:num>
  <w:num w:numId="11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17">
    <w:abstractNumId w:val="991"/>
  </w:num>
  <w:num w:numId="1118">
    <w:abstractNumId w:val="991"/>
  </w:num>
  <w:num w:numId="1119">
    <w:abstractNumId w:val="991"/>
  </w:num>
  <w:num w:numId="1120">
    <w:abstractNumId w:val="991"/>
  </w:num>
  <w:num w:numId="11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3">
    <w:abstractNumId w:val="991"/>
  </w:num>
  <w:num w:numId="11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28">
    <w:abstractNumId w:val="991"/>
  </w:num>
  <w:num w:numId="1129">
    <w:abstractNumId w:val="991"/>
  </w:num>
  <w:num w:numId="1130">
    <w:abstractNumId w:val="991"/>
  </w:num>
  <w:num w:numId="1131">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2">
    <w:abstractNumId w:val="991"/>
  </w:num>
  <w:num w:numId="1133">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4">
    <w:abstractNumId w:val="991"/>
  </w:num>
  <w:num w:numId="1135">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6">
    <w:abstractNumId w:val="991"/>
  </w:num>
  <w:num w:numId="1137">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4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50">
    <w:abstractNumId w:val="991"/>
  </w:num>
  <w:num w:numId="1151">
    <w:abstractNumId w:val="991"/>
  </w:num>
  <w:num w:numId="1152">
    <w:abstractNumId w:val="991"/>
  </w:num>
  <w:num w:numId="1153">
    <w:abstractNumId w:val="991"/>
  </w:num>
  <w:num w:numId="11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1"/>
  </w:num>
  <w:num w:numId="1169">
    <w:abstractNumId w:val="991"/>
  </w:num>
  <w:num w:numId="117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4">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75">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76">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77">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78">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9">
    <w:abstractNumId w:val="991"/>
  </w:num>
  <w:num w:numId="119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1">
    <w:abstractNumId w:val="991"/>
  </w:num>
  <w:num w:numId="119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1"/>
  </w:num>
  <w:num w:numId="119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1"/>
  </w:num>
  <w:num w:numId="119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8">
    <w:abstractNumId w:val="991"/>
  </w:num>
  <w:num w:numId="12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1">
    <w:abstractNumId w:val="991"/>
  </w:num>
  <w:num w:numId="12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5">
    <w:abstractNumId w:val="991"/>
  </w:num>
  <w:num w:numId="1216">
    <w:abstractNumId w:val="991"/>
  </w:num>
  <w:num w:numId="12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1"/>
  </w:num>
  <w:num w:numId="12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1">
    <w:abstractNumId w:val="991"/>
  </w:num>
  <w:num w:numId="122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5">
    <w:abstractNumId w:val="991"/>
  </w:num>
  <w:num w:numId="1236">
    <w:abstractNumId w:val="991"/>
  </w:num>
  <w:num w:numId="12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1">
    <w:abstractNumId w:val="991"/>
  </w:num>
  <w:num w:numId="1242">
    <w:abstractNumId w:val="991"/>
  </w:num>
  <w:num w:numId="1243">
    <w:abstractNumId w:val="991"/>
  </w:num>
  <w:num w:numId="12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8">
    <w:abstractNumId w:val="991"/>
  </w:num>
  <w:num w:numId="1249">
    <w:abstractNumId w:val="991"/>
  </w:num>
  <w:num w:numId="1250">
    <w:abstractNumId w:val="991"/>
  </w:num>
  <w:num w:numId="12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1">
    <w:abstractNumId w:val="991"/>
  </w:num>
  <w:num w:numId="126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2022-05-08T17:34:16Z</dcterms:created>
  <dcterms:modified xsi:type="dcterms:W3CDTF">2022-05-08T17:34:16Z</dcterms:modified>
</cp:coreProperties>
</file>