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w:t>
      </w:r>
      <w:r>
        <w:br w:type="textWrapping"/>
      </w:r>
      <w:r>
        <w:t xml:space="preserve">ostatní daně (dědická aj.)</w:t>
      </w:r>
    </w:p>
    <w:p>
      <w:pPr>
        <w:pStyle w:val="Compact"/>
        <w:numPr>
          <w:numId w:val="1001"/>
          <w:ilvl w:val="0"/>
        </w:numPr>
      </w:pPr>
      <w:r>
        <w:t xml:space="preserve">Daň z přidané hodnoty – charakteristika, základní pojmy – zdanitelné plnění,</w:t>
      </w:r>
      <w:r>
        <w:br w:type="textWrapping"/>
      </w:r>
      <w:r>
        <w:t xml:space="preserve">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Compact"/>
        <w:numPr>
          <w:numId w:val="1001"/>
          <w:ilvl w:val="0"/>
        </w:numPr>
      </w:pPr>
      <w:r>
        <w:t xml:space="preserve">(Není součástí otázek) Cvičení téma k diskusi</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cvičení-téma-k-diskusi"/>
      <w:bookmarkEnd w:id="87"/>
      <w:r>
        <w:t xml:space="preserve">Cvičení téma k diskusi</w:t>
      </w:r>
    </w:p>
    <w:p>
      <w:pPr>
        <w:pStyle w:val="Compact"/>
        <w:numPr>
          <w:numId w:val="1089"/>
          <w:ilvl w:val="0"/>
        </w:numPr>
      </w:pPr>
      <w:r>
        <w:t xml:space="preserve">Příklad 1</w:t>
      </w:r>
    </w:p>
    <w:p>
      <w:pPr>
        <w:pStyle w:val="Compact"/>
        <w:numPr>
          <w:numId w:val="1089"/>
          <w:ilvl w:val="0"/>
        </w:numPr>
      </w:pPr>
      <w:r>
        <w:t xml:space="preserve">Jste poslanci a máte rozhodnout o tom, zda bude daň z příjmů rovná nebo progresivní.</w:t>
      </w:r>
    </w:p>
    <w:p>
      <w:pPr>
        <w:pStyle w:val="Compact"/>
        <w:numPr>
          <w:numId w:val="1089"/>
          <w:ilvl w:val="0"/>
        </w:numPr>
      </w:pPr>
      <w:r>
        <w:t xml:space="preserve">Podotázky:</w:t>
      </w:r>
    </w:p>
    <w:p>
      <w:pPr>
        <w:pStyle w:val="Compact"/>
        <w:numPr>
          <w:numId w:val="1090"/>
          <w:ilvl w:val="1"/>
        </w:numPr>
      </w:pPr>
      <w:r>
        <w:t xml:space="preserve">Je současná daň z příjmů rovná, když má jednotnou sazbu?</w:t>
      </w:r>
    </w:p>
    <w:p>
      <w:pPr>
        <w:pStyle w:val="Compact"/>
        <w:numPr>
          <w:numId w:val="1090"/>
          <w:ilvl w:val="1"/>
        </w:numPr>
      </w:pPr>
      <w:r>
        <w:t xml:space="preserve">Mají bohatí platit vyšší daně než chudí?</w:t>
      </w:r>
    </w:p>
    <w:p>
      <w:pPr>
        <w:pStyle w:val="Compact"/>
        <w:numPr>
          <w:numId w:val="1090"/>
          <w:ilvl w:val="1"/>
        </w:numPr>
      </w:pPr>
      <w:r>
        <w:t xml:space="preserve">Mají bezdětní platit vyšší daně než ti, co děti mají?</w:t>
      </w:r>
    </w:p>
    <w:p>
      <w:pPr>
        <w:pStyle w:val="Compact"/>
        <w:numPr>
          <w:numId w:val="1089"/>
          <w:ilvl w:val="0"/>
        </w:numPr>
      </w:pPr>
      <w:r>
        <w:t xml:space="preserve">Příklad č. 2</w:t>
      </w:r>
    </w:p>
    <w:p>
      <w:pPr>
        <w:pStyle w:val="Compact"/>
        <w:numPr>
          <w:numId w:val="1089"/>
          <w:ilvl w:val="0"/>
        </w:numPr>
      </w:pPr>
      <w:r>
        <w:t xml:space="preserve">Jste poslanci a máte rozhodnout, zda zavedete silniční daň:</w:t>
      </w:r>
    </w:p>
    <w:p>
      <w:pPr>
        <w:pStyle w:val="Compact"/>
        <w:numPr>
          <w:numId w:val="1092"/>
          <w:ilvl w:val="2"/>
        </w:numPr>
      </w:pPr>
      <w:r>
        <w:t xml:space="preserve">Jen pro podnikatele</w:t>
      </w:r>
    </w:p>
    <w:p>
      <w:pPr>
        <w:pStyle w:val="Compact"/>
        <w:numPr>
          <w:numId w:val="1093"/>
          <w:ilvl w:val="2"/>
        </w:numPr>
      </w:pPr>
      <w:r>
        <w:t xml:space="preserve">Pro všechny</w:t>
      </w:r>
    </w:p>
    <w:p>
      <w:pPr>
        <w:pStyle w:val="Compact"/>
        <w:numPr>
          <w:numId w:val="1089"/>
          <w:ilvl w:val="0"/>
        </w:numPr>
      </w:pPr>
      <w:r>
        <w:t xml:space="preserve">Podotázka – a co dálniční známky, mýtné:</w:t>
      </w:r>
    </w:p>
    <w:p>
      <w:pPr>
        <w:pStyle w:val="Compact"/>
        <w:numPr>
          <w:numId w:val="1095"/>
          <w:ilvl w:val="2"/>
        </w:numPr>
      </w:pPr>
      <w:r>
        <w:t xml:space="preserve">na všechny silnice</w:t>
      </w:r>
    </w:p>
    <w:p>
      <w:pPr>
        <w:pStyle w:val="Compact"/>
        <w:numPr>
          <w:numId w:val="1096"/>
          <w:ilvl w:val="2"/>
        </w:numPr>
      </w:pPr>
      <w:r>
        <w:t xml:space="preserve">jen na dálnice (dálnice + silnice 1. třídy)</w:t>
      </w:r>
    </w:p>
    <w:p>
      <w:pPr>
        <w:pStyle w:val="Compact"/>
        <w:numPr>
          <w:numId w:val="1097"/>
          <w:ilvl w:val="2"/>
        </w:numPr>
      </w:pPr>
      <w:r>
        <w:t xml:space="preserve">jen pro podnikatele</w:t>
      </w:r>
    </w:p>
    <w:p>
      <w:pPr>
        <w:numPr>
          <w:numId w:val="1089"/>
          <w:ilvl w:val="0"/>
        </w:numPr>
      </w:pPr>
      <w:r>
        <w:t xml:space="preserve">Obdobně parkování ve městech, nízkoemisní zóny (třídění podle druhů automobilů, občanů a firem, které v zóně bydlí apod.</w:t>
      </w:r>
    </w:p>
    <w:p>
      <w:pPr>
        <w:pStyle w:val="Compact"/>
        <w:numPr>
          <w:numId w:val="1089"/>
          <w:ilvl w:val="0"/>
        </w:numPr>
      </w:pPr>
      <w:r>
        <w:t xml:space="preserve">Příklad č. 3</w:t>
      </w:r>
    </w:p>
    <w:p>
      <w:pPr>
        <w:pStyle w:val="Compact"/>
        <w:numPr>
          <w:numId w:val="1089"/>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098"/>
          <w:ilvl w:val="1"/>
        </w:numPr>
      </w:pPr>
      <w:r>
        <w:t xml:space="preserve">Argumenty pro…………..</w:t>
      </w:r>
    </w:p>
    <w:p>
      <w:pPr>
        <w:pStyle w:val="Compact"/>
        <w:numPr>
          <w:numId w:val="1098"/>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6688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7effb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9018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169b4ca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7e7dee14"/>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7cf40f74"/>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81e979b1"/>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e0e0543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1ffe45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be4a0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868617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f270f2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188b9f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950037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4647eff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1"/>
  </w:num>
  <w:num w:numId="109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4">
    <w:abstractNumId w:val="991"/>
  </w:num>
  <w:num w:numId="10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2022-05-07T15:18:46Z</dcterms:created>
  <dcterms:modified xsi:type="dcterms:W3CDTF">2022-05-07T15:18:46Z</dcterms:modified>
</cp:coreProperties>
</file>