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w:t>
      </w:r>
    </w:p>
    <w:p>
      <w:pPr>
        <w:pStyle w:val="Compact"/>
        <w:numPr>
          <w:numId w:val="1001"/>
          <w:ilvl w:val="0"/>
        </w:numPr>
      </w:pPr>
      <w:r>
        <w:t xml:space="preserve">Fiskální situace států západní civilizace, včetně ČR</w:t>
      </w:r>
    </w:p>
    <w:p>
      <w:pPr>
        <w:pStyle w:val="Compact"/>
        <w:numPr>
          <w:numId w:val="1001"/>
          <w:ilvl w:val="0"/>
        </w:numPr>
      </w:pPr>
      <w:r>
        <w:t xml:space="preserve">Druhy daní; přehled daňového systému České republiky</w:t>
      </w:r>
    </w:p>
    <w:p>
      <w:pPr>
        <w:pStyle w:val="Compact"/>
        <w:numPr>
          <w:numId w:val="1001"/>
          <w:ilvl w:val="0"/>
        </w:numPr>
      </w:pPr>
      <w:r>
        <w:t xml:space="preserve">Základní pojmy – předmět daně, základ daně, zdaňovací období, subjekt daně</w:t>
      </w:r>
    </w:p>
    <w:p>
      <w:pPr>
        <w:pStyle w:val="Compact"/>
        <w:numPr>
          <w:numId w:val="1001"/>
          <w:ilvl w:val="0"/>
        </w:numPr>
      </w:pPr>
      <w:r>
        <w:t xml:space="preserve">Daně z příjmů – charakteristika</w:t>
      </w:r>
    </w:p>
    <w:p>
      <w:pPr>
        <w:pStyle w:val="Compact"/>
        <w:numPr>
          <w:numId w:val="1001"/>
          <w:ilvl w:val="0"/>
        </w:numPr>
      </w:pPr>
      <w:r>
        <w:t xml:space="preserve">Pojem příjmu, skutečného příjmu, zdánlivého příjmu</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w:t>
      </w:r>
    </w:p>
    <w:p>
      <w:pPr>
        <w:pStyle w:val="Compact"/>
        <w:numPr>
          <w:numId w:val="1001"/>
          <w:ilvl w:val="0"/>
        </w:numPr>
      </w:pPr>
      <w:r>
        <w:t xml:space="preserve">Daňový režim při úmrtí daňového subjektu – daň z příjmů fyzických osob, DPH,</w:t>
      </w:r>
      <w:r>
        <w:br w:type="textWrapping"/>
      </w:r>
      <w:r>
        <w:t xml:space="preserve">ostatní daně (dědická aj.)</w:t>
      </w:r>
    </w:p>
    <w:p>
      <w:pPr>
        <w:pStyle w:val="Compact"/>
        <w:numPr>
          <w:numId w:val="1001"/>
          <w:ilvl w:val="0"/>
        </w:numPr>
      </w:pPr>
      <w:r>
        <w:t xml:space="preserve">Daň z přidané hodnoty – charakteristika, základní pojmy – zdanitelné plnění,</w:t>
      </w:r>
      <w:r>
        <w:br w:type="textWrapping"/>
      </w:r>
      <w:r>
        <w:t xml:space="preserve">odpočet, zdaňovací období, osoba povinná k dani, plátce daně; reverse charge</w:t>
      </w:r>
    </w:p>
    <w:p>
      <w:pPr>
        <w:pStyle w:val="Compact"/>
        <w:numPr>
          <w:numId w:val="1001"/>
          <w:ilvl w:val="0"/>
        </w:numPr>
      </w:pPr>
      <w:r>
        <w:t xml:space="preserve">Nejčastější podvody na DPH</w:t>
      </w:r>
    </w:p>
    <w:p>
      <w:pPr>
        <w:pStyle w:val="Compact"/>
        <w:numPr>
          <w:numId w:val="1001"/>
          <w:ilvl w:val="0"/>
        </w:numPr>
      </w:pPr>
      <w:r>
        <w:t xml:space="preserve">Mezinárodní zdanění – pojem, charakteristika; dohody o zamezení dvojímu zdanění</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w:t>
      </w:r>
    </w:p>
    <w:p>
      <w:pPr>
        <w:pStyle w:val="Compact"/>
        <w:numPr>
          <w:numId w:val="1001"/>
          <w:ilvl w:val="0"/>
        </w:numPr>
      </w:pPr>
      <w:r>
        <w:t xml:space="preserve">Právo EU a daně – jakých daní se dotýká, jak se projevuje; přímý a nepřímý účinek</w:t>
      </w:r>
    </w:p>
    <w:p>
      <w:pPr>
        <w:pStyle w:val="Compact"/>
        <w:numPr>
          <w:numId w:val="1001"/>
          <w:ilvl w:val="0"/>
        </w:numPr>
      </w:pPr>
      <w:r>
        <w:t xml:space="preserve">Pojem zneužití práva, praktické případy</w:t>
      </w:r>
    </w:p>
    <w:p>
      <w:pPr>
        <w:pStyle w:val="Compact"/>
        <w:numPr>
          <w:numId w:val="1001"/>
          <w:ilvl w:val="0"/>
        </w:numPr>
      </w:pPr>
      <w:r>
        <w:t xml:space="preserve">Daňové tvrzení, důkazní břemeno v daňovém řízení</w:t>
      </w:r>
    </w:p>
    <w:p>
      <w:pPr>
        <w:pStyle w:val="Compact"/>
        <w:numPr>
          <w:numId w:val="1001"/>
          <w:ilvl w:val="0"/>
        </w:numPr>
      </w:pPr>
      <w:r>
        <w:t xml:space="preserve">Daňová kontrola a jiné instituty pro zjišťování a prověřování daňové povinnosti</w:t>
      </w:r>
    </w:p>
    <w:p>
      <w:pPr>
        <w:pStyle w:val="Compact"/>
        <w:numPr>
          <w:numId w:val="1001"/>
          <w:ilvl w:val="0"/>
        </w:numPr>
      </w:pPr>
      <w:r>
        <w:t xml:space="preserve">Dokazování v daňovém řízení</w:t>
      </w:r>
    </w:p>
    <w:p>
      <w:pPr>
        <w:pStyle w:val="Compact"/>
        <w:numPr>
          <w:numId w:val="1001"/>
          <w:ilvl w:val="0"/>
        </w:numPr>
      </w:pPr>
      <w:r>
        <w:t xml:space="preserve">Opravné a dozorčí prostředky v daňovém řízení</w:t>
      </w:r>
    </w:p>
    <w:p>
      <w:pPr>
        <w:pStyle w:val="Compact"/>
        <w:numPr>
          <w:numId w:val="1001"/>
          <w:ilvl w:val="0"/>
        </w:numPr>
      </w:pPr>
      <w:r>
        <w:t xml:space="preserve">Ochrana daňového subjektu ve správním soudnictví – žaloby a opravné prostředky</w:t>
      </w:r>
    </w:p>
    <w:p>
      <w:pPr>
        <w:pStyle w:val="Compact"/>
        <w:numPr>
          <w:numId w:val="1001"/>
          <w:ilvl w:val="0"/>
        </w:numPr>
      </w:pPr>
      <w:r>
        <w:t xml:space="preserve">Role judikatury správního, ústavního a evropského soudnictví v daňovém právu</w:t>
      </w:r>
    </w:p>
    <w:p>
      <w:pPr>
        <w:pStyle w:val="Compact"/>
        <w:numPr>
          <w:numId w:val="1001"/>
          <w:ilvl w:val="0"/>
        </w:numPr>
      </w:pPr>
      <w:r>
        <w:t xml:space="preserve">(Není součástí otázek) Cvičení téma k diskusi</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FirstParagraph"/>
      </w:pPr>
      <w:r>
        <w:t xml:space="preserve">TBD.</w:t>
      </w:r>
    </w:p>
    <w:p>
      <w:pPr>
        <w:pStyle w:val="Heading2"/>
      </w:pPr>
      <w:bookmarkStart w:id="45" w:name="pojem-příjmu-skutečného-příjmu-zdánlivého-příjmu"/>
      <w:bookmarkEnd w:id="45"/>
      <w:r>
        <w:t xml:space="preserve">6. Pojem příjmu, skutečného příjmu, zdánlivého příjmu</w:t>
      </w:r>
    </w:p>
    <w:p>
      <w:pPr>
        <w:pStyle w:val="FirstParagraph"/>
      </w:pPr>
    </w:p>
    <w:p>
      <w:pPr>
        <w:pStyle w:val="Compact"/>
        <w:numPr>
          <w:numId w:val="1036"/>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36"/>
          <w:ilvl w:val="0"/>
        </w:numPr>
      </w:pPr>
      <w:r>
        <w:t xml:space="preserve">Je tedy podstatné, zda dochází k navýšení majetku.</w:t>
      </w:r>
    </w:p>
    <w:p>
      <w:pPr>
        <w:pStyle w:val="Compact"/>
        <w:numPr>
          <w:numId w:val="1036"/>
          <w:ilvl w:val="0"/>
        </w:numPr>
      </w:pPr>
      <w:r>
        <w:t xml:space="preserve">Nemusí jít jen o příjem finanční</w:t>
      </w:r>
    </w:p>
    <w:p>
      <w:pPr>
        <w:pStyle w:val="Compact"/>
        <w:numPr>
          <w:numId w:val="1036"/>
          <w:ilvl w:val="0"/>
        </w:numPr>
      </w:pPr>
      <w:r>
        <w:t xml:space="preserve">Příklad</w:t>
      </w:r>
    </w:p>
    <w:p>
      <w:pPr>
        <w:numPr>
          <w:numId w:val="1036"/>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46"/>
      </w:r>
      <w:r>
        <w:t xml:space="preserve">.</w:t>
      </w:r>
    </w:p>
    <w:p>
      <w:pPr>
        <w:pStyle w:val="Compact"/>
        <w:numPr>
          <w:numId w:val="1036"/>
          <w:ilvl w:val="0"/>
        </w:numPr>
      </w:pPr>
      <w:r>
        <w:t xml:space="preserve">Od pojmu „příjem“ (s jehož existencí je spojena povinnost podání daňového přiznání) je nutno odlišovat pojem „základ daně“.</w:t>
      </w:r>
    </w:p>
    <w:p>
      <w:pPr>
        <w:pStyle w:val="Compact"/>
        <w:numPr>
          <w:numId w:val="1036"/>
          <w:ilvl w:val="0"/>
        </w:numPr>
      </w:pPr>
      <w:r>
        <w:t xml:space="preserve">Základ daně = obvykle příjmy (výnosy) – výdaje (náklady) (u daně z příjmů)</w:t>
      </w:r>
    </w:p>
    <w:p>
      <w:pPr>
        <w:pStyle w:val="Compact"/>
        <w:numPr>
          <w:numId w:val="1036"/>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36"/>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36"/>
          <w:ilvl w:val="0"/>
        </w:numPr>
      </w:pPr>
      <w:r>
        <w:t xml:space="preserve">Daním nepodléhají jen peněžní příjmy, ale i nepeněžní</w:t>
      </w:r>
    </w:p>
    <w:p>
      <w:pPr>
        <w:pStyle w:val="Compact"/>
        <w:numPr>
          <w:numId w:val="1036"/>
          <w:ilvl w:val="0"/>
        </w:numPr>
      </w:pPr>
      <w:r>
        <w:t xml:space="preserve">Příklad</w:t>
      </w:r>
    </w:p>
    <w:p>
      <w:pPr>
        <w:pStyle w:val="Compact"/>
        <w:numPr>
          <w:numId w:val="1037"/>
          <w:ilvl w:val="1"/>
        </w:numPr>
      </w:pPr>
      <w:r>
        <w:t xml:space="preserve">Firma prodá svému zaměstnanci notebook v ceně Kč 30 000 za Kč 1000. Rozdíl 29 000 Kč může být příjem ke zdanění daní z příjmů ze závislé činnosti.</w:t>
      </w:r>
    </w:p>
    <w:p>
      <w:pPr>
        <w:pStyle w:val="Compact"/>
        <w:numPr>
          <w:numId w:val="1036"/>
          <w:ilvl w:val="0"/>
        </w:numPr>
      </w:pPr>
      <w:r>
        <w:t xml:space="preserve">Příklad</w:t>
      </w:r>
    </w:p>
    <w:p>
      <w:pPr>
        <w:pStyle w:val="Compact"/>
        <w:numPr>
          <w:numId w:val="1038"/>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47" w:name="příjem"/>
      <w:bookmarkEnd w:id="47"/>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48"/>
      </w:r>
      <w:r>
        <w:t xml:space="preserve">.</w:t>
      </w:r>
    </w:p>
    <w:p>
      <w:pPr>
        <w:pStyle w:val="Heading3"/>
      </w:pPr>
      <w:bookmarkStart w:id="49" w:name="skutečný-příjem"/>
      <w:bookmarkEnd w:id="49"/>
      <w:r>
        <w:t xml:space="preserve">Skutečný příjem</w:t>
      </w:r>
    </w:p>
    <w:p>
      <w:pPr>
        <w:pStyle w:val="Compact"/>
        <w:numPr>
          <w:numId w:val="1039"/>
          <w:ilvl w:val="0"/>
        </w:numPr>
      </w:pPr>
      <w:r>
        <w:t xml:space="preserve">Příjmem podléhajícím dani z příjmů podle zákona č. 586/1992 Sb., o daních z příjmů, je zvýšení majetku daňového poplatníka.</w:t>
      </w:r>
    </w:p>
    <w:p>
      <w:pPr>
        <w:pStyle w:val="Compact"/>
        <w:numPr>
          <w:numId w:val="1039"/>
          <w:ilvl w:val="0"/>
        </w:numPr>
      </w:pPr>
      <w:r>
        <w:t xml:space="preserve">Musí se přitom jednat o příjem skutečný, a nikoliv toliko zdánlivý.</w:t>
      </w:r>
    </w:p>
    <w:p>
      <w:pPr>
        <w:pStyle w:val="Compact"/>
        <w:numPr>
          <w:numId w:val="1039"/>
          <w:ilvl w:val="0"/>
        </w:numPr>
      </w:pPr>
      <w:r>
        <w:t xml:space="preserve">To znamená, že se toto zvýšení majetku musí v právní sféře daňového poplatníka reálně projevit, a to tak, aby bylo pro poplatníka skutečně využitelné.</w:t>
      </w:r>
    </w:p>
    <w:p>
      <w:pPr>
        <w:pStyle w:val="Compact"/>
        <w:numPr>
          <w:numId w:val="1039"/>
          <w:ilvl w:val="0"/>
        </w:numPr>
      </w:pPr>
      <w:r>
        <w:t xml:space="preserve">Příklad:</w:t>
      </w:r>
    </w:p>
    <w:p>
      <w:pPr>
        <w:pStyle w:val="Compact"/>
        <w:numPr>
          <w:numId w:val="1039"/>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50" w:name="zdánlivý-příjem"/>
      <w:bookmarkEnd w:id="50"/>
      <w:r>
        <w:t xml:space="preserve">Zdánlivý příjem</w:t>
      </w:r>
    </w:p>
    <w:p>
      <w:pPr>
        <w:pStyle w:val="Compact"/>
        <w:numPr>
          <w:numId w:val="1040"/>
          <w:ilvl w:val="0"/>
        </w:numPr>
      </w:pPr>
      <w:r>
        <w:t xml:space="preserve">Příjem zdánlivý je příjem, který se dá považovat jako příjem, nikoli však jako příjem skutečný.</w:t>
      </w:r>
    </w:p>
    <w:p>
      <w:pPr>
        <w:pStyle w:val="Compact"/>
        <w:numPr>
          <w:numId w:val="1040"/>
          <w:ilvl w:val="0"/>
        </w:numPr>
      </w:pPr>
      <w:r>
        <w:t xml:space="preserve">Příkladem je technické zhodnocení prostor, která poskytovatel přenechává za úplatu k využívání jinému subjektu - nájemci.</w:t>
      </w:r>
    </w:p>
    <w:p>
      <w:pPr>
        <w:pStyle w:val="Compact"/>
        <w:numPr>
          <w:numId w:val="1040"/>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40"/>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51"/>
      </w:r>
      <w:r>
        <w:t xml:space="preserve">.</w:t>
      </w:r>
    </w:p>
    <w:p>
      <w:pPr>
        <w:pStyle w:val="Heading2"/>
      </w:pPr>
      <w:bookmarkStart w:id="52" w:name="cvičení-téma-k-diskusi"/>
      <w:bookmarkEnd w:id="52"/>
      <w:r>
        <w:t xml:space="preserve">Cvičení téma k diskusi</w:t>
      </w:r>
    </w:p>
    <w:p>
      <w:pPr>
        <w:pStyle w:val="Compact"/>
        <w:numPr>
          <w:numId w:val="1041"/>
          <w:ilvl w:val="0"/>
        </w:numPr>
      </w:pPr>
      <w:r>
        <w:t xml:space="preserve">Příklad 1</w:t>
      </w:r>
    </w:p>
    <w:p>
      <w:pPr>
        <w:pStyle w:val="Compact"/>
        <w:numPr>
          <w:numId w:val="1041"/>
          <w:ilvl w:val="0"/>
        </w:numPr>
      </w:pPr>
      <w:r>
        <w:t xml:space="preserve">Jste poslanci a máte rozhodnout o tom, zda bude daň z příjmů rovná nebo progresivní.</w:t>
      </w:r>
    </w:p>
    <w:p>
      <w:pPr>
        <w:pStyle w:val="Compact"/>
        <w:numPr>
          <w:numId w:val="1041"/>
          <w:ilvl w:val="0"/>
        </w:numPr>
      </w:pPr>
      <w:r>
        <w:t xml:space="preserve">Podotázky:</w:t>
      </w:r>
    </w:p>
    <w:p>
      <w:pPr>
        <w:pStyle w:val="Compact"/>
        <w:numPr>
          <w:numId w:val="1042"/>
          <w:ilvl w:val="1"/>
        </w:numPr>
      </w:pPr>
      <w:r>
        <w:t xml:space="preserve">Je současná daň z příjmů rovná, když má jednotnou sazbu?</w:t>
      </w:r>
    </w:p>
    <w:p>
      <w:pPr>
        <w:pStyle w:val="Compact"/>
        <w:numPr>
          <w:numId w:val="1042"/>
          <w:ilvl w:val="1"/>
        </w:numPr>
      </w:pPr>
      <w:r>
        <w:t xml:space="preserve">Mají bohatí platit vyšší daně než chudí?</w:t>
      </w:r>
    </w:p>
    <w:p>
      <w:pPr>
        <w:pStyle w:val="Compact"/>
        <w:numPr>
          <w:numId w:val="1042"/>
          <w:ilvl w:val="1"/>
        </w:numPr>
      </w:pPr>
      <w:r>
        <w:t xml:space="preserve">Mají bezdětní platit vyšší daně než ti, co děti mají?</w:t>
      </w:r>
    </w:p>
    <w:p>
      <w:pPr>
        <w:pStyle w:val="Compact"/>
        <w:numPr>
          <w:numId w:val="1041"/>
          <w:ilvl w:val="0"/>
        </w:numPr>
      </w:pPr>
      <w:r>
        <w:t xml:space="preserve">Příklad č. 2</w:t>
      </w:r>
    </w:p>
    <w:p>
      <w:pPr>
        <w:pStyle w:val="Compact"/>
        <w:numPr>
          <w:numId w:val="1041"/>
          <w:ilvl w:val="0"/>
        </w:numPr>
      </w:pPr>
      <w:r>
        <w:t xml:space="preserve">Jste poslanci a máte rozhodnout, zda zavedete silniční daň:</w:t>
      </w:r>
    </w:p>
    <w:p>
      <w:pPr>
        <w:pStyle w:val="Compact"/>
        <w:numPr>
          <w:numId w:val="1044"/>
          <w:ilvl w:val="2"/>
        </w:numPr>
      </w:pPr>
      <w:r>
        <w:t xml:space="preserve">Jen pro podnikatele</w:t>
      </w:r>
    </w:p>
    <w:p>
      <w:pPr>
        <w:pStyle w:val="Compact"/>
        <w:numPr>
          <w:numId w:val="1045"/>
          <w:ilvl w:val="2"/>
        </w:numPr>
      </w:pPr>
      <w:r>
        <w:t xml:space="preserve">Pro všechny</w:t>
      </w:r>
    </w:p>
    <w:p>
      <w:pPr>
        <w:pStyle w:val="Compact"/>
        <w:numPr>
          <w:numId w:val="1041"/>
          <w:ilvl w:val="0"/>
        </w:numPr>
      </w:pPr>
      <w:r>
        <w:t xml:space="preserve">Podotázka – a co dálniční známky, mýtné:</w:t>
      </w:r>
    </w:p>
    <w:p>
      <w:pPr>
        <w:pStyle w:val="Compact"/>
        <w:numPr>
          <w:numId w:val="1047"/>
          <w:ilvl w:val="2"/>
        </w:numPr>
      </w:pPr>
      <w:r>
        <w:t xml:space="preserve">na všechny silnice</w:t>
      </w:r>
    </w:p>
    <w:p>
      <w:pPr>
        <w:pStyle w:val="Compact"/>
        <w:numPr>
          <w:numId w:val="1048"/>
          <w:ilvl w:val="2"/>
        </w:numPr>
      </w:pPr>
      <w:r>
        <w:t xml:space="preserve">jen na dálnice (dálnice + silnice 1. třídy)</w:t>
      </w:r>
    </w:p>
    <w:p>
      <w:pPr>
        <w:pStyle w:val="Compact"/>
        <w:numPr>
          <w:numId w:val="1049"/>
          <w:ilvl w:val="2"/>
        </w:numPr>
      </w:pPr>
      <w:r>
        <w:t xml:space="preserve">jen pro podnikatele</w:t>
      </w:r>
    </w:p>
    <w:p>
      <w:pPr>
        <w:numPr>
          <w:numId w:val="1041"/>
          <w:ilvl w:val="0"/>
        </w:numPr>
      </w:pPr>
      <w:r>
        <w:t xml:space="preserve">Obdobně parkování ve městech, nízkoemisní zóny (třídění podle druhů automobilů, občanů a firem, které v zóně bydlí apod.</w:t>
      </w:r>
    </w:p>
    <w:p>
      <w:pPr>
        <w:pStyle w:val="Compact"/>
        <w:numPr>
          <w:numId w:val="1041"/>
          <w:ilvl w:val="0"/>
        </w:numPr>
      </w:pPr>
      <w:r>
        <w:t xml:space="preserve">Příklad č. 3</w:t>
      </w:r>
    </w:p>
    <w:p>
      <w:pPr>
        <w:pStyle w:val="Compact"/>
        <w:numPr>
          <w:numId w:val="1041"/>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050"/>
          <w:ilvl w:val="1"/>
        </w:numPr>
      </w:pPr>
      <w:r>
        <w:t xml:space="preserve">Argumenty pro…………..</w:t>
      </w:r>
    </w:p>
    <w:p>
      <w:pPr>
        <w:pStyle w:val="Compact"/>
        <w:numPr>
          <w:numId w:val="1050"/>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46">
    <w:p>
      <w:pPr>
        <w:pStyle w:val="FootnoteText"/>
      </w:pPr>
      <w:r>
        <w:rPr>
          <w:rStyle w:val="FootnoteReference"/>
        </w:rPr>
        <w:footnoteRef/>
      </w:r>
      <w:r>
        <w:t xml:space="preserve"> </w:t>
      </w:r>
      <w:r>
        <w:t xml:space="preserve">https://sbirka.nssoud.cz/cz/dan-z-prijmu-zvyseni-majetku-nepenezni-prijem.p820.html</w:t>
      </w:r>
    </w:p>
  </w:footnote>
  <w:footnote w:id="48">
    <w:p>
      <w:pPr>
        <w:pStyle w:val="FootnoteText"/>
      </w:pPr>
      <w:r>
        <w:rPr>
          <w:rStyle w:val="FootnoteReference"/>
        </w:rPr>
        <w:footnoteRef/>
      </w:r>
      <w:r>
        <w:t xml:space="preserve"> </w:t>
      </w:r>
      <w:r>
        <w:t xml:space="preserve">https://cs.wikipedia.org/wiki/P%C5%99%C3%ADjem_(ekonomie)</w:t>
      </w:r>
    </w:p>
  </w:footnote>
  <w:footnote w:id="51">
    <w:p>
      <w:pPr>
        <w:pStyle w:val="FootnoteText"/>
      </w:pPr>
      <w:r>
        <w:rPr>
          <w:rStyle w:val="FootnoteReference"/>
        </w:rPr>
        <w:footnoteRef/>
      </w:r>
      <w:r>
        <w:t xml:space="preserve"> </w:t>
      </w:r>
      <w:r>
        <w:t xml:space="preserve">https://sbirka.nssoud.cz/cz/dan-z-prijmu-zvyseni-majetku-nepenezni-prijem.p820.html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07ab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b7a1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63935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4c8671a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7dee267a"/>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7b2eab2b"/>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61ccacd1"/>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30a90fd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e5d872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a1d6dbe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6">
    <w:abstractNumId w:val="991"/>
  </w:num>
  <w:num w:numId="10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2022-05-07T11:44:37Z</dcterms:created>
  <dcterms:modified xsi:type="dcterms:W3CDTF">2022-05-07T11:44:37Z</dcterms:modified>
</cp:coreProperties>
</file>