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w:t>
      </w:r>
    </w:p>
    <w:p>
      <w:pPr>
        <w:pStyle w:val="Compact"/>
        <w:numPr>
          <w:numId w:val="1001"/>
          <w:ilvl w:val="0"/>
        </w:numPr>
      </w:pPr>
      <w:r>
        <w:t xml:space="preserve">Fiskální situace států západní civilizace, včetně ČR</w:t>
      </w:r>
    </w:p>
    <w:p>
      <w:pPr>
        <w:pStyle w:val="Compact"/>
        <w:numPr>
          <w:numId w:val="1001"/>
          <w:ilvl w:val="0"/>
        </w:numPr>
      </w:pPr>
      <w:r>
        <w:t xml:space="preserve">Druhy daní; přehled daňového systému České republiky</w:t>
      </w:r>
    </w:p>
    <w:p>
      <w:pPr>
        <w:pStyle w:val="Compact"/>
        <w:numPr>
          <w:numId w:val="1001"/>
          <w:ilvl w:val="0"/>
        </w:numPr>
      </w:pPr>
      <w:r>
        <w:t xml:space="preserve">Základní pojmy – předmět daně, základ daně, zdaňovací období, subjekt daně</w:t>
      </w:r>
    </w:p>
    <w:p>
      <w:pPr>
        <w:pStyle w:val="Compact"/>
        <w:numPr>
          <w:numId w:val="1001"/>
          <w:ilvl w:val="0"/>
        </w:numPr>
      </w:pPr>
      <w:r>
        <w:t xml:space="preserve">Daně z příjmů – charakteristika</w:t>
      </w:r>
    </w:p>
    <w:p>
      <w:pPr>
        <w:pStyle w:val="Compact"/>
        <w:numPr>
          <w:numId w:val="1001"/>
          <w:ilvl w:val="0"/>
        </w:numPr>
      </w:pPr>
      <w:r>
        <w:t xml:space="preserve">Pojem příjmu, skutečného příjmu, zdánlivého příjmu</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 ostatní daně (dědická aj.)</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w:t>
      </w:r>
    </w:p>
    <w:p>
      <w:pPr>
        <w:pStyle w:val="Compact"/>
        <w:numPr>
          <w:numId w:val="1001"/>
          <w:ilvl w:val="0"/>
        </w:numPr>
      </w:pPr>
      <w:r>
        <w:t xml:space="preserve">Právo EU a daně – jakých daní se dotýká, jak se projevuje; přímý a nepřímý účinek</w:t>
      </w:r>
    </w:p>
    <w:p>
      <w:pPr>
        <w:pStyle w:val="Compact"/>
        <w:numPr>
          <w:numId w:val="1001"/>
          <w:ilvl w:val="0"/>
        </w:numPr>
      </w:pPr>
      <w:r>
        <w:t xml:space="preserve">Pojem zneužití práva, praktické případy</w:t>
      </w:r>
    </w:p>
    <w:p>
      <w:pPr>
        <w:pStyle w:val="Compact"/>
        <w:numPr>
          <w:numId w:val="1001"/>
          <w:ilvl w:val="0"/>
        </w:numPr>
      </w:pPr>
      <w:r>
        <w:t xml:space="preserve">Daňové tvrzení, důkazní břemeno v daňovém řízení</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w:t>
      </w:r>
    </w:p>
    <w:p>
      <w:pPr>
        <w:pStyle w:val="Compact"/>
        <w:numPr>
          <w:numId w:val="1001"/>
          <w:ilvl w:val="0"/>
        </w:numPr>
      </w:pPr>
      <w:r>
        <w:t xml:space="preserve">Opravné a dozorčí prostředky v daňovém řízení</w:t>
      </w:r>
    </w:p>
    <w:p>
      <w:pPr>
        <w:pStyle w:val="Compact"/>
        <w:numPr>
          <w:numId w:val="1001"/>
          <w:ilvl w:val="0"/>
        </w:numPr>
      </w:pPr>
      <w:r>
        <w:t xml:space="preserve">Ochrana daňového subjektu ve správním soudnictví – žaloby a opravné prostředky</w:t>
      </w:r>
    </w:p>
    <w:p>
      <w:pPr>
        <w:pStyle w:val="Compact"/>
        <w:numPr>
          <w:numId w:val="1001"/>
          <w:ilvl w:val="0"/>
        </w:numPr>
      </w:pPr>
      <w:r>
        <w:t xml:space="preserve">Role judikatury správního, ústavního a evropského soudnictví v daňovém právu</w:t>
      </w:r>
    </w:p>
    <w:p>
      <w:pPr>
        <w:pStyle w:val="Compact"/>
        <w:numPr>
          <w:numId w:val="1001"/>
          <w:ilvl w:val="0"/>
        </w:numPr>
      </w:pPr>
      <w:r>
        <w:t xml:space="preserve">(Není součástí otázek) Cvičení téma k diskusi</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FirstParagraph"/>
      </w:pPr>
      <w:r>
        <w:t xml:space="preserve">TBD</w:t>
      </w:r>
    </w:p>
    <w:p>
      <w:pPr>
        <w:pStyle w:val="Heading2"/>
      </w:pPr>
      <w:bookmarkStart w:id="88" w:name="pojem-švarcsystému-a-problémy-s-ním-spojené"/>
      <w:bookmarkEnd w:id="88"/>
      <w:r>
        <w:t xml:space="preserve">10. Pojem „švarcsystému“ a problémy s ním spojené</w:t>
      </w:r>
    </w:p>
    <w:p>
      <w:pPr>
        <w:pStyle w:val="FirstParagraph"/>
      </w:pPr>
      <w:r>
        <w:t xml:space="preserve">TBD</w:t>
      </w:r>
    </w:p>
    <w:p>
      <w:pPr>
        <w:pStyle w:val="Heading2"/>
      </w:pPr>
      <w:bookmarkStart w:id="89" w:name="daňový-režim-při-úmrtí-daňového-subjektu-daň-z-příjmů-fyzických-osob-dph-ostatní-daně-dědická-aj."/>
      <w:bookmarkEnd w:id="89"/>
      <w:r>
        <w:t xml:space="preserve">11. Daňový režim při úmrtí daňového subjektu – daň z příjmů fyzických osob, DPH, ostatní daně (dědická aj.)</w:t>
      </w:r>
    </w:p>
    <w:p>
      <w:pPr>
        <w:pStyle w:val="FirstParagraph"/>
      </w:pPr>
      <w:r>
        <w:t xml:space="preserve">TBD</w:t>
      </w:r>
    </w:p>
    <w:p>
      <w:pPr>
        <w:pStyle w:val="Heading2"/>
      </w:pPr>
      <w:bookmarkStart w:id="90" w:name="daň-z-přidané-hodnoty-charakteristika-základní-pojmy-zdanitelné-plnění-odpočet-zdaňovací-období-osoba-povinná-k-dani-plátce-daně-reverse-charge"/>
      <w:bookmarkEnd w:id="90"/>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1" w:name="nejčastější-podvody-na-dph"/>
      <w:bookmarkEnd w:id="91"/>
      <w:r>
        <w:t xml:space="preserve">13. Nejčastější podvody na DPH</w:t>
      </w:r>
    </w:p>
    <w:p>
      <w:pPr>
        <w:pStyle w:val="FirstParagraph"/>
      </w:pPr>
      <w:r>
        <w:t xml:space="preserve">TBD</w:t>
      </w:r>
    </w:p>
    <w:p>
      <w:pPr>
        <w:pStyle w:val="Heading2"/>
      </w:pPr>
      <w:bookmarkStart w:id="92" w:name="mezinárodní-zdanění-pojem-charakteristika-dohody-o-zamezení-dvojímu-zdanění"/>
      <w:bookmarkEnd w:id="92"/>
      <w:r>
        <w:t xml:space="preserve">14. Mezinárodní zdanění – pojem, charakteristika; dohody o zamezení dvojímu zdanění</w:t>
      </w:r>
    </w:p>
    <w:p>
      <w:pPr>
        <w:pStyle w:val="FirstParagraph"/>
      </w:pPr>
      <w:r>
        <w:t xml:space="preserve">TBD</w:t>
      </w:r>
    </w:p>
    <w:p>
      <w:pPr>
        <w:pStyle w:val="Heading2"/>
      </w:pPr>
      <w:bookmarkStart w:id="93" w:name="spotřební-daně-majetkové-daně---základní-charakteristika"/>
      <w:bookmarkEnd w:id="93"/>
      <w:r>
        <w:t xml:space="preserve">16. Spotřební daně, majetkové daně - základní charakteristika</w:t>
      </w:r>
    </w:p>
    <w:p>
      <w:pPr>
        <w:pStyle w:val="FirstParagraph"/>
      </w:pPr>
      <w:r>
        <w:t xml:space="preserve">TBD</w:t>
      </w:r>
    </w:p>
    <w:p>
      <w:pPr>
        <w:pStyle w:val="Heading2"/>
      </w:pPr>
      <w:bookmarkStart w:id="94" w:name="právo-eu-a-daně-jakých-daní-se-dotýká-jak-se-projevuje-přímý-a-nepřímý-účinek"/>
      <w:bookmarkEnd w:id="94"/>
      <w:r>
        <w:t xml:space="preserve">17. Právo EU a daně – jakých daní se dotýká, jak se projevuje; přímý a nepřímý účinek</w:t>
      </w:r>
    </w:p>
    <w:p>
      <w:pPr>
        <w:pStyle w:val="FirstParagraph"/>
      </w:pPr>
      <w:r>
        <w:t xml:space="preserve">TBD</w:t>
      </w:r>
    </w:p>
    <w:p>
      <w:pPr>
        <w:pStyle w:val="Heading2"/>
      </w:pPr>
      <w:bookmarkStart w:id="95" w:name="pojem-zneužití-práva-praktické-případy"/>
      <w:bookmarkEnd w:id="95"/>
      <w:r>
        <w:t xml:space="preserve">18. Pojem zneužití práva, praktické případy</w:t>
      </w:r>
    </w:p>
    <w:p>
      <w:pPr>
        <w:pStyle w:val="FirstParagraph"/>
      </w:pPr>
      <w:r>
        <w:t xml:space="preserve">TBD</w:t>
      </w:r>
    </w:p>
    <w:p>
      <w:pPr>
        <w:pStyle w:val="Heading2"/>
      </w:pPr>
      <w:bookmarkStart w:id="96" w:name="daňové-tvrzení-důkazní-břemeno-v-daňovém-řízení"/>
      <w:bookmarkEnd w:id="96"/>
      <w:r>
        <w:t xml:space="preserve">19. Daňové tvrzení, důkazní břemeno v daňovém řízení</w:t>
      </w:r>
    </w:p>
    <w:p>
      <w:pPr>
        <w:pStyle w:val="FirstParagraph"/>
      </w:pPr>
      <w:r>
        <w:t xml:space="preserve">TBD</w:t>
      </w:r>
    </w:p>
    <w:p>
      <w:pPr>
        <w:pStyle w:val="Heading2"/>
      </w:pPr>
      <w:bookmarkStart w:id="97" w:name="daňová-kontrola-a-jiné-instituty-pro-zjišťování-a-prověřování-daňové-povinnosti"/>
      <w:bookmarkEnd w:id="97"/>
      <w:r>
        <w:t xml:space="preserve">20. Daňová kontrola a jiné instituty pro zjišťování a prověřování daňové povinnosti</w:t>
      </w:r>
    </w:p>
    <w:p>
      <w:pPr>
        <w:pStyle w:val="FirstParagraph"/>
      </w:pPr>
      <w:r>
        <w:t xml:space="preserve">TBD</w:t>
      </w:r>
    </w:p>
    <w:p>
      <w:pPr>
        <w:pStyle w:val="Heading2"/>
      </w:pPr>
      <w:bookmarkStart w:id="98" w:name="dokazování-v-daňovém-řízení"/>
      <w:bookmarkEnd w:id="98"/>
      <w:r>
        <w:t xml:space="preserve">21. Dokazování v daňovém řízení</w:t>
      </w:r>
    </w:p>
    <w:p>
      <w:pPr>
        <w:pStyle w:val="FirstParagraph"/>
      </w:pPr>
      <w:r>
        <w:t xml:space="preserve">TBD</w:t>
      </w:r>
    </w:p>
    <w:p>
      <w:pPr>
        <w:pStyle w:val="Heading2"/>
      </w:pPr>
      <w:bookmarkStart w:id="99" w:name="opravné-a-dozorčí-prostředky-v-daňovém-řízení"/>
      <w:bookmarkEnd w:id="99"/>
      <w:r>
        <w:t xml:space="preserve">22. Opravné a dozorčí prostředky v daňovém řízení</w:t>
      </w:r>
    </w:p>
    <w:p>
      <w:pPr>
        <w:pStyle w:val="FirstParagraph"/>
      </w:pPr>
      <w:r>
        <w:t xml:space="preserve">TBD</w:t>
      </w:r>
    </w:p>
    <w:p>
      <w:pPr>
        <w:pStyle w:val="Heading2"/>
      </w:pPr>
      <w:bookmarkStart w:id="100" w:name="ochrana-daňového-subjektu-ve-správním-soudnictví-žaloby-a-opravné-prostředky"/>
      <w:bookmarkEnd w:id="100"/>
      <w:r>
        <w:t xml:space="preserve">23. Ochrana daňového subjektu ve správním soudnictví – žaloby a opravné prostředky</w:t>
      </w:r>
    </w:p>
    <w:p>
      <w:pPr>
        <w:pStyle w:val="Heading3"/>
      </w:pPr>
      <w:bookmarkStart w:id="101" w:name="podklady"/>
      <w:bookmarkEnd w:id="101"/>
      <w:r>
        <w:t xml:space="preserve">Podklady</w:t>
      </w:r>
    </w:p>
    <w:p>
      <w:pPr>
        <w:pStyle w:val="Compact"/>
        <w:numPr>
          <w:numId w:val="1089"/>
          <w:ilvl w:val="0"/>
        </w:numPr>
      </w:pPr>
      <w:r>
        <w:t xml:space="preserve">Ústavní zákon č. 1/1993 Sb., Ústava České republiky</w:t>
      </w:r>
    </w:p>
    <w:p>
      <w:pPr>
        <w:pStyle w:val="Compact"/>
        <w:numPr>
          <w:numId w:val="1089"/>
          <w:ilvl w:val="0"/>
        </w:numPr>
      </w:pPr>
      <w:r>
        <w:t xml:space="preserve">Usnesení č. 2/1993 předsednictva ČNR o vyhlášení Listiny základních práv a svobod jako součásti ústavního pořádku ČR</w:t>
      </w:r>
    </w:p>
    <w:p>
      <w:pPr>
        <w:pStyle w:val="Compact"/>
        <w:numPr>
          <w:numId w:val="1089"/>
          <w:ilvl w:val="0"/>
        </w:numPr>
      </w:pPr>
      <w:r>
        <w:t xml:space="preserve">Zákon č. 99/1963 Sb., občanský soudní řád</w:t>
      </w:r>
    </w:p>
    <w:p>
      <w:pPr>
        <w:pStyle w:val="Compact"/>
        <w:numPr>
          <w:numId w:val="1089"/>
          <w:ilvl w:val="0"/>
        </w:numPr>
      </w:pPr>
      <w:r>
        <w:t xml:space="preserve">Zákon č. 150/2002 Sb., soudní řád správní</w:t>
      </w:r>
    </w:p>
    <w:p>
      <w:pPr>
        <w:pStyle w:val="Compact"/>
        <w:numPr>
          <w:numId w:val="1089"/>
          <w:ilvl w:val="0"/>
        </w:numPr>
      </w:pPr>
      <w:r>
        <w:t xml:space="preserve">Vyhláška 177/1996 Sb. – advokátní tarif</w:t>
      </w:r>
    </w:p>
    <w:p>
      <w:pPr>
        <w:pStyle w:val="Compact"/>
        <w:numPr>
          <w:numId w:val="1089"/>
          <w:ilvl w:val="0"/>
        </w:numPr>
      </w:pPr>
      <w:r>
        <w:t xml:space="preserve">Zákon č. 549/1991 Sb., o správních poplatcích</w:t>
      </w:r>
    </w:p>
    <w:p>
      <w:pPr>
        <w:pStyle w:val="Heading3"/>
      </w:pPr>
      <w:bookmarkStart w:id="102" w:name="obsah-kapitoly"/>
      <w:bookmarkEnd w:id="102"/>
      <w:r>
        <w:t xml:space="preserve">Obsah kapitoly</w:t>
      </w:r>
    </w:p>
    <w:p>
      <w:pPr>
        <w:pStyle w:val="Compact"/>
        <w:numPr>
          <w:numId w:val="1090"/>
          <w:ilvl w:val="0"/>
        </w:numPr>
      </w:pPr>
      <w:r>
        <w:t xml:space="preserve">Důvody existence správního soudnictví</w:t>
      </w:r>
    </w:p>
    <w:p>
      <w:pPr>
        <w:pStyle w:val="Compact"/>
        <w:numPr>
          <w:numId w:val="1090"/>
          <w:ilvl w:val="0"/>
        </w:numPr>
      </w:pPr>
      <w:r>
        <w:t xml:space="preserve">Správní soudnictví v ČR</w:t>
      </w:r>
    </w:p>
    <w:p>
      <w:pPr>
        <w:pStyle w:val="Compact"/>
        <w:numPr>
          <w:numId w:val="1090"/>
          <w:ilvl w:val="0"/>
        </w:numPr>
      </w:pPr>
      <w:r>
        <w:t xml:space="preserve">Druhy žalob</w:t>
      </w:r>
    </w:p>
    <w:p>
      <w:pPr>
        <w:pStyle w:val="Compact"/>
        <w:numPr>
          <w:numId w:val="1090"/>
          <w:ilvl w:val="0"/>
        </w:numPr>
      </w:pPr>
      <w:r>
        <w:t xml:space="preserve">Žaloba proti rozhodnutí správního orgánu</w:t>
      </w:r>
    </w:p>
    <w:p>
      <w:pPr>
        <w:pStyle w:val="Compact"/>
        <w:numPr>
          <w:numId w:val="1090"/>
          <w:ilvl w:val="0"/>
        </w:numPr>
      </w:pPr>
      <w:r>
        <w:t xml:space="preserve">Nečinnostní žaloba</w:t>
      </w:r>
    </w:p>
    <w:p>
      <w:pPr>
        <w:pStyle w:val="Compact"/>
        <w:numPr>
          <w:numId w:val="1090"/>
          <w:ilvl w:val="0"/>
        </w:numPr>
      </w:pPr>
      <w:r>
        <w:t xml:space="preserve">Zásahová žaloba</w:t>
      </w:r>
    </w:p>
    <w:p>
      <w:pPr>
        <w:pStyle w:val="Compact"/>
        <w:numPr>
          <w:numId w:val="1090"/>
          <w:ilvl w:val="0"/>
        </w:numPr>
      </w:pPr>
      <w:r>
        <w:t xml:space="preserve">Přezkum opatření obecné povahy</w:t>
      </w:r>
    </w:p>
    <w:p>
      <w:pPr>
        <w:pStyle w:val="Compact"/>
        <w:numPr>
          <w:numId w:val="1090"/>
          <w:ilvl w:val="0"/>
        </w:numPr>
      </w:pPr>
      <w:r>
        <w:t xml:space="preserve">Opravné prostředky ve správním soudnictví – kasační stížnost, obnova řízení</w:t>
      </w:r>
    </w:p>
    <w:p>
      <w:pPr>
        <w:pStyle w:val="Compact"/>
        <w:numPr>
          <w:numId w:val="1090"/>
          <w:ilvl w:val="0"/>
        </w:numPr>
      </w:pPr>
      <w:r>
        <w:t xml:space="preserve">Náklady na soudní řízení</w:t>
      </w:r>
    </w:p>
    <w:p>
      <w:pPr>
        <w:pStyle w:val="Heading3"/>
      </w:pPr>
      <w:bookmarkStart w:id="103" w:name="důvody-existence-správního-soudnictví"/>
      <w:bookmarkEnd w:id="103"/>
      <w:r>
        <w:t xml:space="preserve">Důvody existence správního soudnictví</w:t>
      </w:r>
    </w:p>
    <w:p>
      <w:pPr>
        <w:pStyle w:val="Compact"/>
        <w:numPr>
          <w:numId w:val="1091"/>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091"/>
          <w:ilvl w:val="0"/>
        </w:numPr>
      </w:pPr>
      <w:r>
        <w:t xml:space="preserve">(obvykle občan nebo právnická osoba na straně jedné a orgán státu nebo obce či samosprávného kraje na straně druhé).</w:t>
      </w:r>
    </w:p>
    <w:p>
      <w:pPr>
        <w:numPr>
          <w:numId w:val="1091"/>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091"/>
          <w:ilvl w:val="0"/>
        </w:numPr>
      </w:pPr>
      <w:r>
        <w:t xml:space="preserve">Veřejné právo – např. stavební, daňové, celní, živnostenská oprávnění, dopravní předpisy, různé poplatky, sociální oblast, životní prostředí, ochrana památek, právo na informace apod.</w:t>
      </w:r>
    </w:p>
    <w:p>
      <w:pPr>
        <w:numPr>
          <w:numId w:val="1091"/>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04" w:name="správní-soudnictví-v-čr"/>
      <w:bookmarkEnd w:id="104"/>
      <w:r>
        <w:t xml:space="preserve">Správní soudnictví v Čr</w:t>
      </w:r>
    </w:p>
    <w:p>
      <w:pPr>
        <w:pStyle w:val="Compact"/>
        <w:numPr>
          <w:numId w:val="1093"/>
          <w:ilvl w:val="1"/>
        </w:numPr>
      </w:pPr>
      <w:r>
        <w:t xml:space="preserve">ŽALOBA PROTI ROZHODNUTÍ SPRÁVNÍHO ORGÁNU</w:t>
      </w:r>
    </w:p>
    <w:p>
      <w:pPr>
        <w:pStyle w:val="Compact"/>
        <w:numPr>
          <w:numId w:val="1094"/>
          <w:ilvl w:val="1"/>
        </w:numPr>
      </w:pPr>
      <w:r>
        <w:t xml:space="preserve">ŽALOBA PROTI NEČINNOSTI</w:t>
      </w:r>
    </w:p>
    <w:p>
      <w:pPr>
        <w:pStyle w:val="Compact"/>
        <w:numPr>
          <w:numId w:val="1095"/>
          <w:ilvl w:val="1"/>
        </w:numPr>
      </w:pPr>
      <w:r>
        <w:t xml:space="preserve">ŽALOBA PROTI NEZÁKONNÉMU ZÁSAHU</w:t>
      </w:r>
    </w:p>
    <w:p>
      <w:pPr>
        <w:pStyle w:val="Compact"/>
        <w:numPr>
          <w:numId w:val="1096"/>
          <w:ilvl w:val="1"/>
        </w:numPr>
      </w:pPr>
      <w:r>
        <w:t xml:space="preserve">SOUDNICTVÍ VE VĚCECH VOLEBNÍCH A VE VĚCECH MÍSTNÍHO A KRAJSKÉHO REFERENDA</w:t>
      </w:r>
    </w:p>
    <w:p>
      <w:pPr>
        <w:pStyle w:val="Compact"/>
        <w:numPr>
          <w:numId w:val="1097"/>
          <w:ilvl w:val="1"/>
        </w:numPr>
      </w:pPr>
      <w:r>
        <w:t xml:space="preserve">ŘÍZENÍ VE VĚCECH POLITICKÝCH STRAN A POLITICKÝCH HNUTÍ</w:t>
      </w:r>
    </w:p>
    <w:p>
      <w:pPr>
        <w:pStyle w:val="Compact"/>
        <w:numPr>
          <w:numId w:val="1098"/>
          <w:ilvl w:val="1"/>
        </w:numPr>
      </w:pPr>
      <w:r>
        <w:t xml:space="preserve">ŘÍZENÍ O ZRUŠENÍ OPATŘENÍ OBECNÉ POVAHY NEBO JEHO ČÁSTI</w:t>
      </w:r>
    </w:p>
    <w:p>
      <w:pPr>
        <w:pStyle w:val="Compact"/>
        <w:numPr>
          <w:numId w:val="1099"/>
          <w:ilvl w:val="1"/>
        </w:numPr>
      </w:pPr>
      <w:r>
        <w:t xml:space="preserve">KOMPETENČNÍ ŽALOBY</w:t>
      </w:r>
    </w:p>
    <w:p>
      <w:pPr>
        <w:pStyle w:val="Compact"/>
        <w:numPr>
          <w:numId w:val="1100"/>
          <w:ilvl w:val="1"/>
        </w:numPr>
      </w:pPr>
      <w:r>
        <w:t xml:space="preserve">OPRAVNÉ PROSTŘEDKY PROTI ROZHODNUTÍM SPRÁVNÍCH SOUDŮ</w:t>
      </w:r>
    </w:p>
    <w:p>
      <w:pPr>
        <w:pStyle w:val="Compact"/>
        <w:numPr>
          <w:numId w:val="1101"/>
          <w:ilvl w:val="1"/>
        </w:numPr>
      </w:pPr>
      <w:r>
        <w:t xml:space="preserve">ROZHODOVÁNÍ SPRÁVNÍHO ORGÁNU O VĚCECH SOUKROMÉHO PRÁVA</w:t>
      </w:r>
    </w:p>
    <w:p>
      <w:pPr>
        <w:pStyle w:val="Compact"/>
        <w:numPr>
          <w:numId w:val="1102"/>
          <w:ilvl w:val="1"/>
        </w:numPr>
      </w:pPr>
      <w:r>
        <w:t xml:space="preserve">KONFLIKT KOMPETENCÍ MEZI MOCÍ VÝKONNOU A MOCÍ SOUDNÍ</w:t>
      </w:r>
    </w:p>
    <w:p>
      <w:pPr>
        <w:pStyle w:val="Compact"/>
        <w:numPr>
          <w:numId w:val="1092"/>
          <w:ilvl w:val="0"/>
        </w:numPr>
      </w:pPr>
      <w:r>
        <w:t xml:space="preserve">V dnešní podobně od roku 2003 (do té doby neexistoval Nejvyšší správní soud)</w:t>
      </w:r>
    </w:p>
    <w:p>
      <w:pPr>
        <w:pStyle w:val="Compact"/>
        <w:numPr>
          <w:numId w:val="1092"/>
          <w:ilvl w:val="0"/>
        </w:numPr>
      </w:pPr>
      <w:r>
        <w:t xml:space="preserve">do r. 2003 pouze krajské soudy a Ústavní soud</w:t>
      </w:r>
    </w:p>
    <w:p>
      <w:pPr>
        <w:pStyle w:val="Heading3"/>
      </w:pPr>
      <w:bookmarkStart w:id="105" w:name="druhy-žalob"/>
      <w:bookmarkEnd w:id="105"/>
      <w:r>
        <w:t xml:space="preserve">Druhy žalob</w:t>
      </w:r>
    </w:p>
    <w:p>
      <w:pPr>
        <w:pStyle w:val="Compact"/>
        <w:numPr>
          <w:numId w:val="1103"/>
          <w:ilvl w:val="0"/>
        </w:numPr>
      </w:pPr>
      <w:r>
        <w:t xml:space="preserve">Ve správním soudnictví poskytují krajské soudy (jako soudy správní)</w:t>
      </w:r>
      <w:r>
        <w:rPr>
          <w:rStyle w:val="FootnoteReference"/>
        </w:rPr>
        <w:footnoteReference w:id="106"/>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103"/>
          <w:ilvl w:val="0"/>
        </w:numPr>
      </w:pPr>
      <w:r>
        <w:t xml:space="preserve">Žaloba proti rozhodnutí správního orgánu</w:t>
      </w:r>
    </w:p>
    <w:p>
      <w:pPr>
        <w:pStyle w:val="Compact"/>
        <w:numPr>
          <w:numId w:val="1103"/>
          <w:ilvl w:val="0"/>
        </w:numPr>
      </w:pPr>
      <w:r>
        <w:t xml:space="preserve">Žaloba na odstranění nečinnosti</w:t>
      </w:r>
    </w:p>
    <w:p>
      <w:pPr>
        <w:pStyle w:val="Compact"/>
        <w:numPr>
          <w:numId w:val="1103"/>
          <w:ilvl w:val="0"/>
        </w:numPr>
      </w:pPr>
      <w:r>
        <w:t xml:space="preserve">Žaloba proti nezákonnému zásahu</w:t>
      </w:r>
    </w:p>
    <w:p>
      <w:pPr>
        <w:pStyle w:val="Compact"/>
        <w:numPr>
          <w:numId w:val="1103"/>
          <w:ilvl w:val="0"/>
        </w:numPr>
      </w:pPr>
      <w:r>
        <w:t xml:space="preserve">Řízení o zrušení opatření obecné povahy</w:t>
      </w:r>
    </w:p>
    <w:p>
      <w:pPr>
        <w:pStyle w:val="Heading3"/>
      </w:pPr>
      <w:bookmarkStart w:id="107" w:name="žaloba-proti-rozhodnutí-správního-orgánu"/>
      <w:bookmarkEnd w:id="107"/>
      <w:r>
        <w:t xml:space="preserve">Žaloba proti rozhodnutí správního orgánu</w:t>
      </w:r>
    </w:p>
    <w:p>
      <w:pPr>
        <w:pStyle w:val="FirstParagraph"/>
      </w:pPr>
      <w:r>
        <w:rPr>
          <w:b/>
        </w:rPr>
        <w:t xml:space="preserve">Kdo žalobu podává?</w:t>
      </w:r>
    </w:p>
    <w:p>
      <w:pPr>
        <w:pStyle w:val="Compact"/>
        <w:numPr>
          <w:numId w:val="1104"/>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105"/>
          <w:ilvl w:val="0"/>
        </w:numPr>
      </w:pPr>
      <w:r>
        <w:t xml:space="preserve">Chceme obvykle buď zrušení rozhodnutí, popřípadě vyslovení jeho nicotnosti.</w:t>
      </w:r>
    </w:p>
    <w:p>
      <w:pPr>
        <w:numPr>
          <w:numId w:val="1105"/>
          <w:ilvl w:val="0"/>
        </w:numPr>
      </w:pPr>
      <w:r>
        <w:t xml:space="preserve">Zvláštním případem žaloby může být snaha o upuštění od trestu za správní delikt nebo jeho snížení v mezích dovolených zákonem.</w:t>
      </w:r>
    </w:p>
    <w:p>
      <w:pPr>
        <w:pStyle w:val="Compact"/>
        <w:numPr>
          <w:numId w:val="1105"/>
          <w:ilvl w:val="0"/>
        </w:numPr>
      </w:pPr>
      <w:r>
        <w:t xml:space="preserve">Příklad:</w:t>
      </w:r>
    </w:p>
    <w:p>
      <w:pPr>
        <w:numPr>
          <w:numId w:val="1105"/>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106"/>
          <w:ilvl w:val="0"/>
        </w:numPr>
      </w:pPr>
      <w:r>
        <w:t xml:space="preserve">Žalovaným je správní orgán, který věc rozhodl v posledním stupni.</w:t>
      </w:r>
    </w:p>
    <w:p>
      <w:pPr>
        <w:pStyle w:val="Compact"/>
        <w:numPr>
          <w:numId w:val="1106"/>
          <w:ilvl w:val="0"/>
        </w:numPr>
      </w:pPr>
      <w:r>
        <w:t xml:space="preserve">Příklad:</w:t>
      </w:r>
    </w:p>
    <w:p>
      <w:pPr>
        <w:pStyle w:val="Compact"/>
        <w:numPr>
          <w:numId w:val="1107"/>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108"/>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108"/>
          <w:ilvl w:val="0"/>
        </w:numPr>
      </w:pPr>
      <w:r>
        <w:t xml:space="preserve">Příklad:</w:t>
      </w:r>
    </w:p>
    <w:p>
      <w:pPr>
        <w:pStyle w:val="Compact"/>
        <w:numPr>
          <w:numId w:val="1109"/>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110"/>
          <w:ilvl w:val="0"/>
        </w:numPr>
      </w:pPr>
      <w:r>
        <w:rPr>
          <w:b/>
        </w:rPr>
        <w:t xml:space="preserve">Ne vždy je podání žaloby možné. Žaloba není přípustná tehdy, jestliže např.:</w:t>
      </w:r>
    </w:p>
    <w:p>
      <w:pPr>
        <w:pStyle w:val="Compact"/>
        <w:numPr>
          <w:numId w:val="1111"/>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112"/>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112"/>
          <w:ilvl w:val="1"/>
        </w:numPr>
      </w:pPr>
      <w:r>
        <w:t xml:space="preserve">Žaloba je nepřípustná, protože nebyly vyčerpány řádné opravné prostředky.</w:t>
      </w:r>
    </w:p>
    <w:p>
      <w:pPr>
        <w:pStyle w:val="Compact"/>
        <w:numPr>
          <w:numId w:val="1112"/>
          <w:ilvl w:val="1"/>
        </w:numPr>
      </w:pPr>
      <w:r>
        <w:t xml:space="preserve">Příklad</w:t>
      </w:r>
    </w:p>
    <w:p>
      <w:pPr>
        <w:pStyle w:val="Compact"/>
        <w:numPr>
          <w:numId w:val="1112"/>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113"/>
          <w:ilvl w:val="1"/>
        </w:numPr>
      </w:pPr>
      <w:r>
        <w:rPr>
          <w:b/>
        </w:rPr>
        <w:t xml:space="preserve">Je-li jediným jejím důvodem tvrzená nicotnost napadeného rozhodnutí, nedomáhal-li se žalobce vyslovení této nicotnosti v řízení před správním orgánem</w:t>
      </w:r>
    </w:p>
    <w:p>
      <w:pPr>
        <w:pStyle w:val="Compact"/>
        <w:numPr>
          <w:numId w:val="1114"/>
          <w:ilvl w:val="1"/>
        </w:numPr>
      </w:pPr>
      <w:r>
        <w:t xml:space="preserve">Příklad</w:t>
      </w:r>
    </w:p>
    <w:p>
      <w:pPr>
        <w:pStyle w:val="Compact"/>
        <w:numPr>
          <w:numId w:val="1114"/>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115"/>
          <w:ilvl w:val="1"/>
        </w:numPr>
      </w:pPr>
      <w:r>
        <w:rPr>
          <w:b/>
        </w:rPr>
        <w:t xml:space="preserve">Směřuje-li jen proti důvodům rozhodnutí</w:t>
      </w:r>
    </w:p>
    <w:p>
      <w:pPr>
        <w:pStyle w:val="Compact"/>
        <w:numPr>
          <w:numId w:val="1116"/>
          <w:ilvl w:val="1"/>
        </w:numPr>
      </w:pPr>
      <w:r>
        <w:t xml:space="preserve">Příklad</w:t>
      </w:r>
    </w:p>
    <w:p>
      <w:pPr>
        <w:pStyle w:val="Compact"/>
        <w:numPr>
          <w:numId w:val="1116"/>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117"/>
          <w:ilvl w:val="1"/>
        </w:numPr>
      </w:pPr>
      <w:r>
        <w:rPr>
          <w:b/>
        </w:rPr>
        <w:t xml:space="preserve">Domáhá-li se přezkoumání rozhodnutí, které je z přezkoumání podle tohoto nebo zvláštního zákona vyloučeno.</w:t>
      </w:r>
    </w:p>
    <w:p>
      <w:pPr>
        <w:pStyle w:val="Compact"/>
        <w:numPr>
          <w:numId w:val="1118"/>
          <w:ilvl w:val="1"/>
        </w:numPr>
      </w:pPr>
      <w:r>
        <w:t xml:space="preserve">Ze soudního přezkoumání jsou vyloučeny např. následující úkony správního orgánu:</w:t>
      </w:r>
    </w:p>
    <w:p>
      <w:pPr>
        <w:pStyle w:val="Compact"/>
        <w:numPr>
          <w:numId w:val="1119"/>
          <w:ilvl w:val="2"/>
        </w:numPr>
      </w:pPr>
      <w:r>
        <w:t xml:space="preserve">které nejsou rozhodnutími</w:t>
      </w:r>
    </w:p>
    <w:p>
      <w:pPr>
        <w:pStyle w:val="Compact"/>
        <w:numPr>
          <w:numId w:val="1120"/>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121"/>
          <w:ilvl w:val="2"/>
        </w:numPr>
      </w:pPr>
      <w:r>
        <w:t xml:space="preserve">předběžné povahy</w:t>
      </w:r>
    </w:p>
    <w:p>
      <w:pPr>
        <w:pStyle w:val="Compact"/>
        <w:numPr>
          <w:numId w:val="1122"/>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123"/>
          <w:ilvl w:val="0"/>
        </w:numPr>
      </w:pPr>
      <w:r>
        <w:t xml:space="preserve">Žalobu je nutno podat do dvou měsíců od doručení rozhodnutí, které žalobou napadáme.</w:t>
      </w:r>
    </w:p>
    <w:p>
      <w:pPr>
        <w:pStyle w:val="Compact"/>
        <w:numPr>
          <w:numId w:val="1123"/>
          <w:ilvl w:val="0"/>
        </w:numPr>
      </w:pPr>
      <w:r>
        <w:t xml:space="preserve">Lhůta je zachována, byla-li žaloba ve lhůtě podána u správního orgánu, proti jehož rozhodnutí směřuje.</w:t>
      </w:r>
    </w:p>
    <w:p>
      <w:pPr>
        <w:pStyle w:val="Compact"/>
        <w:numPr>
          <w:numId w:val="1123"/>
          <w:ilvl w:val="0"/>
        </w:numPr>
      </w:pPr>
      <w:r>
        <w:t xml:space="preserve">Zmeškání lhůty pro podání žaloby nelze prominout.</w:t>
      </w:r>
    </w:p>
    <w:p>
      <w:pPr>
        <w:pStyle w:val="FirstParagraph"/>
      </w:pPr>
      <w:r>
        <w:rPr>
          <w:b/>
        </w:rPr>
        <w:t xml:space="preserve">Odkladný účinek žaloby:</w:t>
      </w:r>
    </w:p>
    <w:p>
      <w:pPr>
        <w:pStyle w:val="Compact"/>
        <w:numPr>
          <w:numId w:val="1124"/>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124"/>
          <w:ilvl w:val="0"/>
        </w:numPr>
      </w:pPr>
      <w:r>
        <w:t xml:space="preserve">Příklad:</w:t>
      </w:r>
    </w:p>
    <w:p>
      <w:pPr>
        <w:pStyle w:val="Compact"/>
        <w:numPr>
          <w:numId w:val="1125"/>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126"/>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126"/>
          <w:ilvl w:val="0"/>
        </w:numPr>
      </w:pPr>
      <w:r>
        <w:t xml:space="preserve">Rozhodnutí bez zbytečného odkladu, nejdéle do 30 dnů</w:t>
      </w:r>
    </w:p>
    <w:p>
      <w:pPr>
        <w:numPr>
          <w:numId w:val="1126"/>
          <w:ilvl w:val="0"/>
        </w:numPr>
      </w:pPr>
      <w:r>
        <w:t xml:space="preserve">Lze i u ostatních žalob, nejen proti rozhodnutí spr. org., je tedy širší</w:t>
      </w:r>
    </w:p>
    <w:p>
      <w:pPr>
        <w:pStyle w:val="Compact"/>
        <w:numPr>
          <w:numId w:val="1126"/>
          <w:ilvl w:val="0"/>
        </w:numPr>
      </w:pPr>
      <w:r>
        <w:t xml:space="preserve">Příklad:</w:t>
      </w:r>
    </w:p>
    <w:p>
      <w:pPr>
        <w:pStyle w:val="Compact"/>
        <w:numPr>
          <w:numId w:val="1126"/>
          <w:ilvl w:val="0"/>
        </w:numPr>
      </w:pPr>
      <w:r>
        <w:t xml:space="preserve">Firma ZZZ, s.r.o., požádala o posečkání daně. Byla zamítnuta, stejně tak i odvolání.</w:t>
      </w:r>
    </w:p>
    <w:p>
      <w:pPr>
        <w:pStyle w:val="Compact"/>
        <w:numPr>
          <w:numId w:val="1127"/>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128"/>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128"/>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129"/>
          <w:ilvl w:val="0"/>
        </w:numPr>
      </w:pPr>
      <w:r>
        <w:t xml:space="preserve">Ne vždy musí dojít k osobnímu jednání u soudu. K jednání nedojde v následujících případech:</w:t>
      </w:r>
    </w:p>
    <w:p>
      <w:pPr>
        <w:pStyle w:val="Compact"/>
        <w:numPr>
          <w:numId w:val="1130"/>
          <w:ilvl w:val="1"/>
        </w:numPr>
      </w:pPr>
      <w:r>
        <w:t xml:space="preserve">Důvody nezávislé na tom, zda si zúčastněné strany jednání přejí či nikoli.</w:t>
      </w:r>
    </w:p>
    <w:p>
      <w:pPr>
        <w:pStyle w:val="Compact"/>
        <w:numPr>
          <w:numId w:val="1131"/>
          <w:ilvl w:val="1"/>
        </w:numPr>
      </w:pPr>
      <w:r>
        <w:t xml:space="preserve">Soud totiž zruší napadené rozhodnutí pro vady řízení bez jednání rozsudkem:</w:t>
      </w:r>
    </w:p>
    <w:p>
      <w:pPr>
        <w:pStyle w:val="Compact"/>
        <w:numPr>
          <w:numId w:val="1132"/>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133"/>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134"/>
          <w:ilvl w:val="2"/>
        </w:numPr>
      </w:pPr>
      <w:r>
        <w:t xml:space="preserve">(Například za základ pro napadené rozhodnutí byla vzata výpověď důležitého svědka, přičemž protokol o jeho výslechu ve spise chybí).</w:t>
      </w:r>
    </w:p>
    <w:p>
      <w:pPr>
        <w:pStyle w:val="Compact"/>
        <w:numPr>
          <w:numId w:val="1135"/>
          <w:ilvl w:val="2"/>
        </w:numPr>
      </w:pPr>
      <w:r>
        <w:t xml:space="preserve">pro podstatné porušení ustanovení o řízení před správním orgánem, mohlo-li mít za následek nezákonné rozhodnutí o věci samé.</w:t>
      </w:r>
    </w:p>
    <w:p>
      <w:pPr>
        <w:pStyle w:val="Compact"/>
        <w:numPr>
          <w:numId w:val="1136"/>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137"/>
          <w:ilvl w:val="1"/>
        </w:numPr>
      </w:pPr>
      <w:r>
        <w:t xml:space="preserve">Dohoda účastníků řízení, o tom, že bude rozhodováno bez jednání.</w:t>
      </w:r>
    </w:p>
    <w:p>
      <w:pPr>
        <w:pStyle w:val="Compact"/>
        <w:numPr>
          <w:numId w:val="1138"/>
          <w:ilvl w:val="1"/>
        </w:numPr>
      </w:pPr>
      <w:r>
        <w:t xml:space="preserve">Soud může rozhodnout o věci samé bez jednání, jestliže to účastníci shodně navrhli nebo s tím souhlasí.</w:t>
      </w:r>
    </w:p>
    <w:p>
      <w:pPr>
        <w:pStyle w:val="Compact"/>
        <w:numPr>
          <w:numId w:val="1138"/>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140"/>
          <w:ilvl w:val="1"/>
        </w:numPr>
      </w:pPr>
      <w:r>
        <w:t xml:space="preserve">Žaloba není důvodná – soud žalobu zamítne</w:t>
      </w:r>
    </w:p>
    <w:p>
      <w:pPr>
        <w:pStyle w:val="Compact"/>
        <w:numPr>
          <w:numId w:val="1141"/>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139"/>
          <w:ilvl w:val="0"/>
        </w:numPr>
      </w:pPr>
      <w:r>
        <w:t xml:space="preserve">Příklad:</w:t>
      </w:r>
    </w:p>
    <w:p>
      <w:pPr>
        <w:pStyle w:val="Compact"/>
        <w:numPr>
          <w:numId w:val="1139"/>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142"/>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139"/>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139"/>
          <w:ilvl w:val="0"/>
        </w:numPr>
      </w:pPr>
      <w:r>
        <w:t xml:space="preserve">Napadené rozhodnutí soud zruší:</w:t>
      </w:r>
    </w:p>
    <w:p>
      <w:pPr>
        <w:pStyle w:val="Compact"/>
        <w:numPr>
          <w:numId w:val="1143"/>
          <w:ilvl w:val="1"/>
        </w:numPr>
      </w:pPr>
      <w:r>
        <w:t xml:space="preserve">pro nezákonnost</w:t>
      </w:r>
    </w:p>
    <w:p>
      <w:pPr>
        <w:pStyle w:val="Compact"/>
        <w:numPr>
          <w:numId w:val="1144"/>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144"/>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145"/>
          <w:ilvl w:val="1"/>
        </w:numPr>
      </w:pPr>
      <w:r>
        <w:t xml:space="preserve">pro vady řízení</w:t>
      </w:r>
    </w:p>
    <w:p>
      <w:pPr>
        <w:pStyle w:val="Compact"/>
        <w:numPr>
          <w:numId w:val="1146"/>
          <w:ilvl w:val="1"/>
        </w:numPr>
      </w:pPr>
      <w:r>
        <w:t xml:space="preserve">Příklad:</w:t>
      </w:r>
    </w:p>
    <w:p>
      <w:pPr>
        <w:pStyle w:val="Compact"/>
        <w:numPr>
          <w:numId w:val="1146"/>
          <w:ilvl w:val="1"/>
        </w:numPr>
      </w:pPr>
      <w:r>
        <w:t xml:space="preserve">Vadou řízení může být např. situace, kdy správce daně vyslechl svědka, ale neumožnil daňovému subjektu být přítomen jeho výslechu.</w:t>
      </w:r>
    </w:p>
    <w:p>
      <w:pPr>
        <w:pStyle w:val="Compact"/>
        <w:numPr>
          <w:numId w:val="1139"/>
          <w:ilvl w:val="0"/>
        </w:numPr>
      </w:pPr>
      <w:r>
        <w:t xml:space="preserve">Zvláštním případem rozsudku bude situace, kdy soud rozhoduje o žalobě proti rozhodnutí, jímž správní orgán uložil trest za správní delikt.</w:t>
      </w:r>
    </w:p>
    <w:p>
      <w:pPr>
        <w:numPr>
          <w:numId w:val="1139"/>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139"/>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147"/>
          <w:ilvl w:val="1"/>
        </w:numPr>
      </w:pPr>
      <w:r>
        <w:t xml:space="preserve">upustit od něj</w:t>
      </w:r>
    </w:p>
    <w:p>
      <w:pPr>
        <w:pStyle w:val="Compact"/>
        <w:numPr>
          <w:numId w:val="1148"/>
          <w:ilvl w:val="1"/>
        </w:numPr>
      </w:pPr>
      <w:r>
        <w:t xml:space="preserve">nebo jej snížit v mezích zákonem dovolených.</w:t>
      </w:r>
    </w:p>
    <w:p>
      <w:pPr>
        <w:pStyle w:val="Compact"/>
        <w:numPr>
          <w:numId w:val="1139"/>
          <w:ilvl w:val="0"/>
        </w:numPr>
      </w:pPr>
      <w:r>
        <w:t xml:space="preserve">To jde pouze v případě, že:</w:t>
      </w:r>
    </w:p>
    <w:p>
      <w:pPr>
        <w:pStyle w:val="Compact"/>
        <w:numPr>
          <w:numId w:val="1149"/>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149"/>
          <w:ilvl w:val="1"/>
        </w:numPr>
      </w:pPr>
      <w:r>
        <w:t xml:space="preserve">a navrhl-li takový postup žalobce v žalobě.</w:t>
      </w:r>
    </w:p>
    <w:p>
      <w:pPr>
        <w:numPr>
          <w:numId w:val="1139"/>
          <w:ilvl w:val="0"/>
        </w:numPr>
      </w:pPr>
      <w:r>
        <w:t xml:space="preserve">Soud by tedy mohl v takových případech stanovit novou, konkrétní „odpovídající“ výši pokuty.</w:t>
      </w:r>
    </w:p>
    <w:p>
      <w:pPr>
        <w:pStyle w:val="Heading3"/>
      </w:pPr>
      <w:bookmarkStart w:id="108" w:name="žaloba-proti-nečinnosti"/>
      <w:bookmarkEnd w:id="108"/>
      <w:r>
        <w:t xml:space="preserve">Žaloba proti nečinnosti</w:t>
      </w:r>
    </w:p>
    <w:p>
      <w:pPr>
        <w:pStyle w:val="Compact"/>
        <w:numPr>
          <w:numId w:val="1150"/>
          <w:ilvl w:val="0"/>
        </w:numPr>
      </w:pPr>
      <w:r>
        <w:t xml:space="preserve">V praxi se setkáváme se situací, kdy máme pocit, že správní orgány naše řízení neúměrně protahují, že mohlo být již dávno skončeno.</w:t>
      </w:r>
    </w:p>
    <w:p>
      <w:pPr>
        <w:pStyle w:val="Compact"/>
        <w:numPr>
          <w:numId w:val="1150"/>
          <w:ilvl w:val="0"/>
        </w:numPr>
      </w:pPr>
      <w:r>
        <w:t xml:space="preserve">Příklad:</w:t>
      </w:r>
    </w:p>
    <w:p>
      <w:pPr>
        <w:pStyle w:val="Compact"/>
        <w:numPr>
          <w:numId w:val="1151"/>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150"/>
          <w:ilvl w:val="0"/>
        </w:numPr>
      </w:pPr>
      <w:r>
        <w:t xml:space="preserve">Čeho se můžeme žalobou domáhat</w:t>
      </w:r>
    </w:p>
    <w:p>
      <w:pPr>
        <w:pStyle w:val="Compact"/>
        <w:numPr>
          <w:numId w:val="1150"/>
          <w:ilvl w:val="0"/>
        </w:numPr>
      </w:pPr>
      <w:r>
        <w:t xml:space="preserve">Žalobou se můžeme domáhat, aby soud uložil správnímu orgánu povinnost vydat rozhodnutí ve věci samé nebo osvědčení.</w:t>
      </w:r>
    </w:p>
    <w:p>
      <w:pPr>
        <w:pStyle w:val="Compact"/>
        <w:numPr>
          <w:numId w:val="1150"/>
          <w:ilvl w:val="0"/>
        </w:numPr>
      </w:pPr>
      <w:r>
        <w:t xml:space="preserve">Pokud se bude protahovat řízení o odvolání, rozhodnutí o registraci apod., tedy situace, kdy příslušné řízení končí vydáním nějakého rozhodnutí či osvědčení, je žaloba možná.</w:t>
      </w:r>
    </w:p>
    <w:p>
      <w:pPr>
        <w:numPr>
          <w:numId w:val="1150"/>
          <w:ilvl w:val="0"/>
        </w:numPr>
      </w:pPr>
      <w:r>
        <w:rPr>
          <w:b/>
        </w:rPr>
        <w:t xml:space="preserve">Pokud nedochází nutně k vystavení rozhodnutí (postup k odstranění pochybností, daňová kontrola) – je nutno podat žalobu na nezákonný zásah.</w:t>
      </w:r>
    </w:p>
    <w:p>
      <w:pPr>
        <w:pStyle w:val="Compact"/>
        <w:numPr>
          <w:numId w:val="1150"/>
          <w:ilvl w:val="0"/>
        </w:numPr>
      </w:pPr>
      <w:r>
        <w:t xml:space="preserve">Opravné prostředky před podáním žaloby</w:t>
      </w:r>
    </w:p>
    <w:p>
      <w:pPr>
        <w:pStyle w:val="Compact"/>
        <w:numPr>
          <w:numId w:val="1150"/>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152"/>
          <w:ilvl w:val="1"/>
        </w:numPr>
      </w:pPr>
      <w:r>
        <w:t xml:space="preserve">Příklad:</w:t>
      </w:r>
    </w:p>
    <w:p>
      <w:pPr>
        <w:pStyle w:val="Compact"/>
        <w:numPr>
          <w:numId w:val="1152"/>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150"/>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150"/>
          <w:ilvl w:val="0"/>
        </w:numPr>
      </w:pPr>
      <w:r>
        <w:t xml:space="preserve">Příklad:</w:t>
      </w:r>
    </w:p>
    <w:p>
      <w:pPr>
        <w:pStyle w:val="Compact"/>
        <w:numPr>
          <w:numId w:val="1153"/>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150"/>
          <w:ilvl w:val="0"/>
        </w:numPr>
      </w:pPr>
      <w:r>
        <w:t xml:space="preserve">Koho a kde žalovat:</w:t>
      </w:r>
    </w:p>
    <w:p>
      <w:pPr>
        <w:numPr>
          <w:numId w:val="1150"/>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150"/>
          <w:ilvl w:val="0"/>
        </w:numPr>
      </w:pPr>
      <w:r>
        <w:t xml:space="preserve">Lhůta pro podání žaloby:</w:t>
      </w:r>
    </w:p>
    <w:p>
      <w:pPr>
        <w:pStyle w:val="Compact"/>
        <w:numPr>
          <w:numId w:val="1150"/>
          <w:ilvl w:val="0"/>
        </w:numPr>
      </w:pPr>
      <w:r>
        <w:t xml:space="preserve">SŘS stanovuje dvě možné lhůty:</w:t>
      </w:r>
    </w:p>
    <w:p>
      <w:pPr>
        <w:pStyle w:val="Compact"/>
        <w:numPr>
          <w:numId w:val="1155"/>
          <w:ilvl w:val="2"/>
        </w:numPr>
      </w:pPr>
      <w:r>
        <w:t xml:space="preserve">Pro rozhodnutí správního orgánu je stanovena zákonem konkrétní lhůta, kterou správní orgán nedodržel</w:t>
      </w:r>
    </w:p>
    <w:p>
      <w:pPr>
        <w:pStyle w:val="Compact"/>
        <w:numPr>
          <w:numId w:val="1154"/>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154"/>
          <w:ilvl w:val="1"/>
        </w:numPr>
      </w:pPr>
      <w:r>
        <w:t xml:space="preserve">Příklad:</w:t>
      </w:r>
    </w:p>
    <w:p>
      <w:pPr>
        <w:pStyle w:val="Compact"/>
        <w:numPr>
          <w:numId w:val="1156"/>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157"/>
          <w:ilvl w:val="2"/>
        </w:numPr>
      </w:pPr>
      <w:r>
        <w:t xml:space="preserve">Pro rozhodnutí správního orgánu není stanovena zákonem konkrétní lhůta</w:t>
      </w:r>
    </w:p>
    <w:p>
      <w:pPr>
        <w:pStyle w:val="Compact"/>
        <w:numPr>
          <w:numId w:val="1154"/>
          <w:ilvl w:val="1"/>
        </w:numPr>
      </w:pPr>
      <w:r>
        <w:t xml:space="preserve">SŘS pak umožňuje podat žalobu do jednoho roku ode dne, kdy byl žalobcem vůči správnímu orgánu nebo správním orgánem proti žalobci učiněn poslední úkon.</w:t>
      </w:r>
    </w:p>
    <w:p>
      <w:pPr>
        <w:pStyle w:val="Compact"/>
        <w:numPr>
          <w:numId w:val="1154"/>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154"/>
          <w:ilvl w:val="1"/>
        </w:numPr>
      </w:pPr>
      <w:r>
        <w:t xml:space="preserve">Možné jsou i žaloby v případech protahování vyřízení žádostí o prominutí daně, žádostí o posečkání daně a povolení splátek, apod.</w:t>
      </w:r>
    </w:p>
    <w:p>
      <w:pPr>
        <w:pStyle w:val="Compact"/>
        <w:numPr>
          <w:numId w:val="1150"/>
          <w:ilvl w:val="0"/>
        </w:numPr>
      </w:pPr>
      <w:r>
        <w:t xml:space="preserve">Výsledek soudu – rozsudek</w:t>
      </w:r>
    </w:p>
    <w:p>
      <w:pPr>
        <w:pStyle w:val="Compact"/>
        <w:numPr>
          <w:numId w:val="1150"/>
          <w:ilvl w:val="0"/>
        </w:numPr>
      </w:pPr>
      <w:r>
        <w:t xml:space="preserve">Soud rozhoduje na základě skutkového stavu zjištěného ke dni svého rozhodnutí.</w:t>
      </w:r>
    </w:p>
    <w:p>
      <w:pPr>
        <w:numPr>
          <w:numId w:val="1150"/>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150"/>
          <w:ilvl w:val="0"/>
        </w:numPr>
      </w:pPr>
      <w:r>
        <w:t xml:space="preserve">Soud zamítne žalobu, není-li důvodná.</w:t>
      </w:r>
    </w:p>
    <w:p>
      <w:pPr>
        <w:pStyle w:val="Compact"/>
        <w:numPr>
          <w:numId w:val="1150"/>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150"/>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09" w:name="žaloba-proti-nezákonnému-zásahu"/>
      <w:bookmarkEnd w:id="109"/>
      <w:r>
        <w:t xml:space="preserve">Žaloba proti nezákonnému zásahu</w:t>
      </w:r>
    </w:p>
    <w:p>
      <w:pPr>
        <w:pStyle w:val="Compact"/>
        <w:numPr>
          <w:numId w:val="1158"/>
          <w:ilvl w:val="0"/>
        </w:numPr>
      </w:pPr>
      <w:r>
        <w:t xml:space="preserve">V jakém případě žalobu podat</w:t>
      </w:r>
    </w:p>
    <w:p>
      <w:pPr>
        <w:pStyle w:val="Compact"/>
        <w:numPr>
          <w:numId w:val="1158"/>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158"/>
          <w:ilvl w:val="0"/>
        </w:numPr>
      </w:pPr>
      <w:r>
        <w:t xml:space="preserve">Můžeme se tedy pokusit žalovat např. nezákonně prováděnou kontrolu v případě, že na ni dle našeho názoru neměl správce daně nárok.</w:t>
      </w:r>
    </w:p>
    <w:p>
      <w:pPr>
        <w:pStyle w:val="Compact"/>
        <w:numPr>
          <w:numId w:val="1158"/>
          <w:ilvl w:val="0"/>
        </w:numPr>
      </w:pPr>
      <w:r>
        <w:t xml:space="preserve">Koho žalovat</w:t>
      </w:r>
    </w:p>
    <w:p>
      <w:pPr>
        <w:numPr>
          <w:numId w:val="1158"/>
          <w:ilvl w:val="0"/>
        </w:numPr>
      </w:pPr>
      <w:r>
        <w:t xml:space="preserve">Žalovaným je správní orgán, který podle žalobního tvrzení provedl zásah.</w:t>
      </w:r>
    </w:p>
    <w:p>
      <w:pPr>
        <w:pStyle w:val="Compact"/>
        <w:numPr>
          <w:numId w:val="1158"/>
          <w:ilvl w:val="0"/>
        </w:numPr>
      </w:pPr>
      <w:r>
        <w:t xml:space="preserve">Do kdy žalobu podat?</w:t>
      </w:r>
    </w:p>
    <w:p>
      <w:pPr>
        <w:numPr>
          <w:numId w:val="1158"/>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158"/>
          <w:ilvl w:val="0"/>
        </w:numPr>
      </w:pPr>
      <w:r>
        <w:t xml:space="preserve">Náležitosti žaloby</w:t>
      </w:r>
    </w:p>
    <w:p>
      <w:pPr>
        <w:pStyle w:val="Compact"/>
        <w:numPr>
          <w:numId w:val="1158"/>
          <w:ilvl w:val="0"/>
        </w:numPr>
      </w:pPr>
      <w:r>
        <w:t xml:space="preserve">Žaloba mimo obecných náležitostí podání musí obsahovat</w:t>
      </w:r>
    </w:p>
    <w:p>
      <w:pPr>
        <w:pStyle w:val="Compact"/>
        <w:numPr>
          <w:numId w:val="1160"/>
          <w:ilvl w:val="2"/>
        </w:numPr>
      </w:pPr>
      <w:r>
        <w:t xml:space="preserve">označení zásahu, proti němuž se žalobce ochrany domáhá,</w:t>
      </w:r>
    </w:p>
    <w:p>
      <w:pPr>
        <w:pStyle w:val="Compact"/>
        <w:numPr>
          <w:numId w:val="1161"/>
          <w:ilvl w:val="2"/>
        </w:numPr>
      </w:pPr>
      <w:r>
        <w:t xml:space="preserve">vylíčení rozhodujících skutečností,</w:t>
      </w:r>
    </w:p>
    <w:p>
      <w:pPr>
        <w:pStyle w:val="Compact"/>
        <w:numPr>
          <w:numId w:val="1162"/>
          <w:ilvl w:val="2"/>
        </w:numPr>
      </w:pPr>
      <w:r>
        <w:t xml:space="preserve">označení důkazů, jichž se žalobce dovolává,</w:t>
      </w:r>
    </w:p>
    <w:p>
      <w:pPr>
        <w:pStyle w:val="Compact"/>
        <w:numPr>
          <w:numId w:val="1163"/>
          <w:ilvl w:val="2"/>
        </w:numPr>
      </w:pPr>
      <w:r>
        <w:t xml:space="preserve">návrh výroku rozsudku.</w:t>
      </w:r>
    </w:p>
    <w:p>
      <w:pPr>
        <w:pStyle w:val="Compact"/>
        <w:numPr>
          <w:numId w:val="1158"/>
          <w:ilvl w:val="0"/>
        </w:numPr>
      </w:pPr>
      <w:r>
        <w:t xml:space="preserve">Výsledek soudu – rozsudek</w:t>
      </w:r>
    </w:p>
    <w:p>
      <w:pPr>
        <w:pStyle w:val="Compact"/>
        <w:numPr>
          <w:numId w:val="1158"/>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158"/>
          <w:ilvl w:val="0"/>
        </w:numPr>
      </w:pPr>
      <w:r>
        <w:t xml:space="preserve">Soud samozřejmě může žalobu zamítnout, není-li důvodná.</w:t>
      </w:r>
    </w:p>
    <w:p>
      <w:pPr>
        <w:pStyle w:val="Heading3"/>
      </w:pPr>
      <w:bookmarkStart w:id="110" w:name="řízení-ve-věcech-opatření-obecné-povahy"/>
      <w:bookmarkEnd w:id="110"/>
      <w:r>
        <w:t xml:space="preserve">Řízení ve věcech opatření obecné povahy</w:t>
      </w:r>
    </w:p>
    <w:p>
      <w:pPr>
        <w:pStyle w:val="Compact"/>
        <w:numPr>
          <w:numId w:val="1164"/>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164"/>
          <w:ilvl w:val="0"/>
        </w:numPr>
      </w:pPr>
      <w:r>
        <w:t xml:space="preserve">Opatření obecné povahy je, jinak řečeno, správním aktem s konkrétně určeným předmětem a obecně vymezeným okruhem adresátů (§ 101a, 101b, 101d s. ř. s.).</w:t>
      </w:r>
    </w:p>
    <w:p>
      <w:pPr>
        <w:pStyle w:val="Compact"/>
        <w:numPr>
          <w:numId w:val="1164"/>
          <w:ilvl w:val="0"/>
        </w:numPr>
      </w:pPr>
      <w:r>
        <w:t xml:space="preserve">Příklady opatření obecné povahy</w:t>
      </w:r>
    </w:p>
    <w:p>
      <w:pPr>
        <w:pStyle w:val="Compact"/>
        <w:numPr>
          <w:numId w:val="1164"/>
          <w:ilvl w:val="0"/>
        </w:numPr>
      </w:pPr>
      <w:r>
        <w:t xml:space="preserve">územní plán</w:t>
      </w:r>
    </w:p>
    <w:p>
      <w:pPr>
        <w:pStyle w:val="Compact"/>
        <w:numPr>
          <w:numId w:val="1164"/>
          <w:ilvl w:val="0"/>
        </w:numPr>
      </w:pPr>
      <w:r>
        <w:t xml:space="preserve">stanovení záplavového území</w:t>
      </w:r>
    </w:p>
    <w:p>
      <w:pPr>
        <w:pStyle w:val="Compact"/>
        <w:numPr>
          <w:numId w:val="1164"/>
          <w:ilvl w:val="0"/>
        </w:numPr>
      </w:pPr>
      <w:r>
        <w:t xml:space="preserve">stanovení ochranného pásma vodních zdrojů</w:t>
      </w:r>
    </w:p>
    <w:p>
      <w:pPr>
        <w:numPr>
          <w:numId w:val="1164"/>
          <w:ilvl w:val="0"/>
        </w:numPr>
      </w:pPr>
      <w:r>
        <w:t xml:space="preserve">stanovení místní nebo přechodné úpravy provozu na pozemních komunikacích dopravními značkami a dopravními zařízeními</w:t>
      </w:r>
    </w:p>
    <w:p>
      <w:pPr>
        <w:pStyle w:val="Compact"/>
        <w:numPr>
          <w:numId w:val="1164"/>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164"/>
          <w:ilvl w:val="0"/>
        </w:numPr>
      </w:pPr>
      <w:r>
        <w:t xml:space="preserve">soulad opatření obecné povahy se zákonem,</w:t>
      </w:r>
    </w:p>
    <w:p>
      <w:pPr>
        <w:pStyle w:val="Compact"/>
        <w:numPr>
          <w:numId w:val="1164"/>
          <w:ilvl w:val="0"/>
        </w:numPr>
      </w:pPr>
      <w:r>
        <w:t xml:space="preserve">zda ten, kdo je vydal, postupoval v mezích své působnosti a pravomoci,</w:t>
      </w:r>
    </w:p>
    <w:p>
      <w:pPr>
        <w:numPr>
          <w:numId w:val="1164"/>
          <w:ilvl w:val="0"/>
        </w:numPr>
      </w:pPr>
      <w:r>
        <w:t xml:space="preserve">zda opatření obecné povahy bylo vydáno zákonem stanoveným způsobem.</w:t>
      </w:r>
    </w:p>
    <w:p>
      <w:pPr>
        <w:pStyle w:val="Heading3"/>
      </w:pPr>
      <w:bookmarkStart w:id="111" w:name="opravné-prostředky-ve-správním-soudnictví-kasační-stížnost-obnova-řízení"/>
      <w:bookmarkEnd w:id="111"/>
      <w:r>
        <w:t xml:space="preserve">Opravné prostředky ve správním soudnictví – kasační stížnost, obnova řízení</w:t>
      </w:r>
    </w:p>
    <w:p>
      <w:pPr>
        <w:pStyle w:val="Compact"/>
        <w:numPr>
          <w:numId w:val="1165"/>
          <w:ilvl w:val="0"/>
        </w:numPr>
      </w:pPr>
      <w:r>
        <w:t xml:space="preserve">Kdo může žalobu podat - zastupování</w:t>
      </w:r>
    </w:p>
    <w:p>
      <w:pPr>
        <w:pStyle w:val="Compact"/>
        <w:numPr>
          <w:numId w:val="1165"/>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165"/>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165"/>
          <w:ilvl w:val="0"/>
        </w:numPr>
      </w:pPr>
      <w:r>
        <w:t xml:space="preserve">Důvody kasační stížnosti</w:t>
      </w:r>
    </w:p>
    <w:p>
      <w:pPr>
        <w:pStyle w:val="Compact"/>
        <w:numPr>
          <w:numId w:val="1165"/>
          <w:ilvl w:val="0"/>
        </w:numPr>
      </w:pPr>
      <w:r>
        <w:t xml:space="preserve">Kasační stížnost lze podat pouze z důvodu tvrzené:</w:t>
      </w:r>
    </w:p>
    <w:p>
      <w:pPr>
        <w:pStyle w:val="Compact"/>
        <w:numPr>
          <w:numId w:val="1167"/>
          <w:ilvl w:val="2"/>
        </w:numPr>
      </w:pPr>
      <w:r>
        <w:t xml:space="preserve">nezákonnosti spočívající v nesprávném posouzení právní otázky soudem v předcházejícím řízení,</w:t>
      </w:r>
    </w:p>
    <w:p>
      <w:pPr>
        <w:pStyle w:val="Compact"/>
        <w:numPr>
          <w:numId w:val="1168"/>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169"/>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170"/>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165"/>
          <w:ilvl w:val="0"/>
        </w:numPr>
      </w:pPr>
      <w:r>
        <w:t xml:space="preserve">Nepřípustnost stížnosti</w:t>
      </w:r>
    </w:p>
    <w:p>
      <w:pPr>
        <w:pStyle w:val="Compact"/>
        <w:numPr>
          <w:numId w:val="1165"/>
          <w:ilvl w:val="0"/>
        </w:numPr>
      </w:pPr>
      <w:r>
        <w:t xml:space="preserve">Kasační stížnost je nepřípustná, jestliže:</w:t>
      </w:r>
    </w:p>
    <w:p>
      <w:pPr>
        <w:pStyle w:val="Compact"/>
        <w:numPr>
          <w:numId w:val="1171"/>
          <w:ilvl w:val="1"/>
        </w:numPr>
      </w:pPr>
      <w:r>
        <w:t xml:space="preserve">směřuje jen proti výroku o nákladech řízení nebo proti důvodům rozhodnutí soudu, je nepřípustná,</w:t>
      </w:r>
    </w:p>
    <w:p>
      <w:pPr>
        <w:pStyle w:val="Compact"/>
        <w:numPr>
          <w:numId w:val="1171"/>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171"/>
          <w:ilvl w:val="1"/>
        </w:numPr>
      </w:pPr>
      <w:r>
        <w:t xml:space="preserve">proti rozhodnutí, jímž se pouze upravuje vedení řízení</w:t>
      </w:r>
    </w:p>
    <w:p>
      <w:pPr>
        <w:pStyle w:val="Compact"/>
        <w:numPr>
          <w:numId w:val="1171"/>
          <w:ilvl w:val="1"/>
        </w:numPr>
      </w:pPr>
      <w:r>
        <w:t xml:space="preserve">proti rozhodnutí, které je podle své povahy dočasné,</w:t>
      </w:r>
    </w:p>
    <w:p>
      <w:pPr>
        <w:pStyle w:val="Compact"/>
        <w:numPr>
          <w:numId w:val="1171"/>
          <w:ilvl w:val="1"/>
        </w:numPr>
      </w:pPr>
      <w:r>
        <w:t xml:space="preserve">opírá-li se jen o jiné důvody, než které jsou uvedeny v textu týkajících se důvodů pro kasační stížnost</w:t>
      </w:r>
    </w:p>
    <w:p>
      <w:pPr>
        <w:pStyle w:val="Compact"/>
        <w:numPr>
          <w:numId w:val="1171"/>
          <w:ilvl w:val="1"/>
        </w:numPr>
      </w:pPr>
      <w:r>
        <w:t xml:space="preserve">opírá-li se o důvody, které stěžovatel neuplatnil v řízení před soudem, jehož rozhodnutí má být přezkoumáno, ač tak učinit mohl.</w:t>
      </w:r>
    </w:p>
    <w:p>
      <w:pPr>
        <w:pStyle w:val="Compact"/>
        <w:numPr>
          <w:numId w:val="1165"/>
          <w:ilvl w:val="0"/>
        </w:numPr>
      </w:pPr>
      <w:r>
        <w:t xml:space="preserve">Kdy a kam podat kasační stížnost</w:t>
      </w:r>
    </w:p>
    <w:p>
      <w:pPr>
        <w:pStyle w:val="Compact"/>
        <w:numPr>
          <w:numId w:val="1165"/>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165"/>
          <w:ilvl w:val="0"/>
        </w:numPr>
      </w:pPr>
      <w:r>
        <w:t xml:space="preserve">Kasační stížnost musí být podána do dvou týdnů po doručení rozhodnutí, které napadáme.</w:t>
      </w:r>
    </w:p>
    <w:p>
      <w:pPr>
        <w:numPr>
          <w:numId w:val="1165"/>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165"/>
          <w:ilvl w:val="0"/>
        </w:numPr>
      </w:pPr>
      <w:r>
        <w:t xml:space="preserve">Náležitosti stížnosti</w:t>
      </w:r>
    </w:p>
    <w:p>
      <w:pPr>
        <w:pStyle w:val="Compact"/>
        <w:numPr>
          <w:numId w:val="1165"/>
          <w:ilvl w:val="0"/>
        </w:numPr>
      </w:pPr>
      <w:r>
        <w:t xml:space="preserve">Kromě obecných náležitostí podání musí kasační stížnost</w:t>
      </w:r>
    </w:p>
    <w:p>
      <w:pPr>
        <w:numPr>
          <w:numId w:val="1165"/>
          <w:ilvl w:val="0"/>
        </w:numPr>
      </w:pPr>
      <w:r>
        <w:t xml:space="preserve">obsahovat označení rozhodnutí, proti němuž směřuje, v jakém rozsahu a z jakých důvodů jej stěžovatel napadá, údaj o tom, kdy mu rozhodnutí bylo doručeno.</w:t>
      </w:r>
    </w:p>
    <w:p>
      <w:pPr>
        <w:pStyle w:val="Compact"/>
        <w:numPr>
          <w:numId w:val="1165"/>
          <w:ilvl w:val="0"/>
        </w:numPr>
      </w:pPr>
      <w:r>
        <w:t xml:space="preserve">Odkladný účinek</w:t>
      </w:r>
    </w:p>
    <w:p>
      <w:pPr>
        <w:numPr>
          <w:numId w:val="1165"/>
          <w:ilvl w:val="0"/>
        </w:numPr>
      </w:pPr>
      <w:r>
        <w:t xml:space="preserve">Kasační stížnost nemá odkladný účinek, Nejvyšší správní soud jej však může na návrh stěžovatele přiznat.</w:t>
      </w:r>
    </w:p>
    <w:p>
      <w:pPr>
        <w:pStyle w:val="Compact"/>
        <w:numPr>
          <w:numId w:val="1165"/>
          <w:ilvl w:val="0"/>
        </w:numPr>
      </w:pPr>
      <w:r>
        <w:t xml:space="preserve">Řízení před Nejvyšším správním soudem</w:t>
      </w:r>
    </w:p>
    <w:p>
      <w:pPr>
        <w:pStyle w:val="Compact"/>
        <w:numPr>
          <w:numId w:val="1165"/>
          <w:ilvl w:val="0"/>
        </w:numPr>
      </w:pPr>
      <w:r>
        <w:t xml:space="preserve">NSS rozhoduje v drtivé většině případů bez jednání</w:t>
      </w:r>
    </w:p>
    <w:p>
      <w:pPr>
        <w:pStyle w:val="Compact"/>
        <w:numPr>
          <w:numId w:val="1165"/>
          <w:ilvl w:val="0"/>
        </w:numPr>
      </w:pPr>
      <w:r>
        <w:t xml:space="preserve">NSS vázán rozsahem a důvody kasační stížnosti, nebude tedy vyhledávat argumenty v náš prospěch nad rámec, který jsme uvedli ve stížnosti. To však neplatí:</w:t>
      </w:r>
    </w:p>
    <w:p>
      <w:pPr>
        <w:pStyle w:val="Compact"/>
        <w:numPr>
          <w:numId w:val="1172"/>
          <w:ilvl w:val="1"/>
        </w:numPr>
      </w:pPr>
      <w:r>
        <w:t xml:space="preserve">v případech, je-li na napadeném výroku závislý výrok, který napaden nebyl,</w:t>
      </w:r>
    </w:p>
    <w:p>
      <w:pPr>
        <w:pStyle w:val="Compact"/>
        <w:numPr>
          <w:numId w:val="1172"/>
          <w:ilvl w:val="1"/>
        </w:numPr>
      </w:pPr>
      <w:r>
        <w:t xml:space="preserve">je-li rozhodnutí správního orgánu nicotné,</w:t>
      </w:r>
    </w:p>
    <w:p>
      <w:pPr>
        <w:pStyle w:val="Compact"/>
        <w:numPr>
          <w:numId w:val="1172"/>
          <w:ilvl w:val="1"/>
        </w:numPr>
      </w:pPr>
      <w:r>
        <w:t xml:space="preserve">bylo-li řízení před krajským soudem zmatečné,</w:t>
      </w:r>
    </w:p>
    <w:p>
      <w:pPr>
        <w:pStyle w:val="Compact"/>
        <w:numPr>
          <w:numId w:val="1172"/>
          <w:ilvl w:val="1"/>
        </w:numPr>
      </w:pPr>
      <w:r>
        <w:t xml:space="preserve">bylo řízení před krajským soudem zatíženo vadou, která mohla mít za následek nezákonné rozhodnutí o věci samé</w:t>
      </w:r>
    </w:p>
    <w:p>
      <w:pPr>
        <w:pStyle w:val="Compact"/>
        <w:numPr>
          <w:numId w:val="1172"/>
          <w:ilvl w:val="1"/>
        </w:numPr>
      </w:pPr>
      <w:r>
        <w:t xml:space="preserve">je-li napadené rozhodnutí nepřezkoumatelné,</w:t>
      </w:r>
    </w:p>
    <w:p>
      <w:pPr>
        <w:numPr>
          <w:numId w:val="1165"/>
          <w:ilvl w:val="0"/>
        </w:numPr>
      </w:pPr>
      <w:r>
        <w:t xml:space="preserve">Ke skutečnostem, které stěžovatel uplatnil poté, kdy bylo vydáno napadené rozhodnutí, Nejvyšší správní soud nepřihlíží.</w:t>
      </w:r>
    </w:p>
    <w:p>
      <w:pPr>
        <w:pStyle w:val="Compact"/>
        <w:numPr>
          <w:numId w:val="1165"/>
          <w:ilvl w:val="0"/>
        </w:numPr>
      </w:pPr>
      <w:r>
        <w:t xml:space="preserve">Rozsudek:</w:t>
      </w:r>
    </w:p>
    <w:p>
      <w:pPr>
        <w:pStyle w:val="Compact"/>
        <w:numPr>
          <w:numId w:val="1165"/>
          <w:ilvl w:val="0"/>
        </w:numPr>
      </w:pPr>
      <w:r>
        <w:t xml:space="preserve">Dospěje-li Nejvyšší správní soud k tomu, že kasační stížnost je důvodná, rozsudkem zruší rozhodnutí krajského soudu a věc mu vrátí k dalšímu řízení.</w:t>
      </w:r>
    </w:p>
    <w:p>
      <w:pPr>
        <w:pStyle w:val="Compact"/>
        <w:numPr>
          <w:numId w:val="1165"/>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165"/>
          <w:ilvl w:val="0"/>
        </w:numPr>
      </w:pPr>
      <w:r>
        <w:t xml:space="preserve">Není-li kasační stížnost důvodná, Nejvyšší správní soud ji rozsudkem zamítne.</w:t>
      </w:r>
    </w:p>
    <w:p>
      <w:pPr>
        <w:pStyle w:val="Compact"/>
        <w:numPr>
          <w:numId w:val="1165"/>
          <w:ilvl w:val="0"/>
        </w:numPr>
      </w:pPr>
      <w:r>
        <w:t xml:space="preserve">Obnova řízení</w:t>
      </w:r>
    </w:p>
    <w:p>
      <w:pPr>
        <w:pStyle w:val="Compact"/>
        <w:numPr>
          <w:numId w:val="1165"/>
          <w:ilvl w:val="0"/>
        </w:numPr>
      </w:pPr>
      <w:r>
        <w:t xml:space="preserve">Je přípustná jen v řízení o žalobách proti nezákonným zásahům a v řízení ve věcech politických stran, tedy tam, kde soud sám zjišťoval skutkový stav věci.</w:t>
      </w:r>
    </w:p>
    <w:p>
      <w:pPr>
        <w:pStyle w:val="Compact"/>
        <w:numPr>
          <w:numId w:val="1165"/>
          <w:ilvl w:val="0"/>
        </w:numPr>
      </w:pPr>
      <w:r>
        <w:t xml:space="preserve">Dvě fáze:</w:t>
      </w:r>
    </w:p>
    <w:p>
      <w:pPr>
        <w:pStyle w:val="Compact"/>
        <w:numPr>
          <w:numId w:val="1174"/>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175"/>
          <w:ilvl w:val="2"/>
        </w:numPr>
      </w:pPr>
      <w:r>
        <w:t xml:space="preserve">poté, kdy je obnova řízení povolena, se provede nové řízení ve věci samé.</w:t>
      </w:r>
    </w:p>
    <w:p>
      <w:pPr>
        <w:numPr>
          <w:numId w:val="1165"/>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165"/>
          <w:ilvl w:val="0"/>
        </w:numPr>
      </w:pPr>
      <w:r>
        <w:t xml:space="preserve">Co soudní řízení stojí?</w:t>
      </w:r>
    </w:p>
    <w:p>
      <w:pPr>
        <w:pStyle w:val="Compact"/>
        <w:numPr>
          <w:numId w:val="1165"/>
          <w:ilvl w:val="0"/>
        </w:numPr>
      </w:pPr>
      <w:r>
        <w:t xml:space="preserve">Zde se postupuje dle přílohy k zákonu č. 549/1991 Sb. O soudních poplatcích</w:t>
      </w:r>
    </w:p>
    <w:p>
      <w:pPr>
        <w:pStyle w:val="Compact"/>
        <w:numPr>
          <w:numId w:val="1165"/>
          <w:ilvl w:val="0"/>
        </w:numPr>
      </w:pPr>
      <w:r>
        <w:t xml:space="preserve">Položka 18 bod 2.</w:t>
      </w:r>
    </w:p>
    <w:p>
      <w:pPr>
        <w:pStyle w:val="Compact"/>
        <w:numPr>
          <w:numId w:val="1165"/>
          <w:ilvl w:val="0"/>
        </w:numPr>
      </w:pPr>
      <w:r>
        <w:t xml:space="preserve">Za žalobu nebo jiný návrh na zahájení řízení ve věcech správního soudnictví:</w:t>
      </w:r>
    </w:p>
    <w:p>
      <w:pPr>
        <w:pStyle w:val="Compact"/>
        <w:numPr>
          <w:numId w:val="1176"/>
          <w:ilvl w:val="1"/>
        </w:numPr>
      </w:pPr>
      <w:r>
        <w:t xml:space="preserve">proti rozhodnutí správního orgánu Kč 3 000,- (=většina případů)</w:t>
      </w:r>
    </w:p>
    <w:p>
      <w:pPr>
        <w:pStyle w:val="Compact"/>
        <w:numPr>
          <w:numId w:val="1176"/>
          <w:ilvl w:val="1"/>
        </w:numPr>
      </w:pPr>
      <w:r>
        <w:t xml:space="preserve">v ostatních případech Kč 2 000,-</w:t>
      </w:r>
    </w:p>
    <w:p>
      <w:pPr>
        <w:pStyle w:val="Compact"/>
        <w:numPr>
          <w:numId w:val="1165"/>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165"/>
          <w:ilvl w:val="0"/>
        </w:numPr>
      </w:pPr>
      <w:r>
        <w:t xml:space="preserve">Položka 15</w:t>
      </w:r>
    </w:p>
    <w:p>
      <w:pPr>
        <w:pStyle w:val="Compact"/>
        <w:numPr>
          <w:numId w:val="1177"/>
          <w:ilvl w:val="1"/>
        </w:numPr>
      </w:pPr>
      <w:r>
        <w:t xml:space="preserve">Za kasační stížnost k Nejvyššímu správnímu soudu Kč 5 000,-</w:t>
      </w:r>
    </w:p>
    <w:p>
      <w:pPr>
        <w:numPr>
          <w:numId w:val="1165"/>
          <w:ilvl w:val="0"/>
        </w:numPr>
      </w:pPr>
      <w:r>
        <w:t xml:space="preserve">Soudní poplatky se hradí vylepením kolkových známek na žalobu nebo převodem na účet soudu.</w:t>
      </w:r>
    </w:p>
    <w:p>
      <w:pPr>
        <w:pStyle w:val="Compact"/>
        <w:numPr>
          <w:numId w:val="1165"/>
          <w:ilvl w:val="0"/>
        </w:numPr>
      </w:pPr>
      <w:r>
        <w:t xml:space="preserve">Náklady řízení jsou zejména:</w:t>
      </w:r>
    </w:p>
    <w:p>
      <w:pPr>
        <w:pStyle w:val="Compact"/>
        <w:numPr>
          <w:numId w:val="1165"/>
          <w:ilvl w:val="0"/>
        </w:numPr>
      </w:pPr>
      <w:r>
        <w:t xml:space="preserve">hotové výdaje účastníků a jejich zástupců,</w:t>
      </w:r>
    </w:p>
    <w:p>
      <w:pPr>
        <w:pStyle w:val="Compact"/>
        <w:numPr>
          <w:numId w:val="1165"/>
          <w:ilvl w:val="0"/>
        </w:numPr>
      </w:pPr>
      <w:r>
        <w:t xml:space="preserve">soudní poplatky,</w:t>
      </w:r>
    </w:p>
    <w:p>
      <w:pPr>
        <w:pStyle w:val="Compact"/>
        <w:numPr>
          <w:numId w:val="1165"/>
          <w:ilvl w:val="0"/>
        </w:numPr>
      </w:pPr>
      <w:r>
        <w:t xml:space="preserve">ušlý výdělek účastníků a jejich zákonných zástupců,</w:t>
      </w:r>
    </w:p>
    <w:p>
      <w:pPr>
        <w:pStyle w:val="Compact"/>
        <w:numPr>
          <w:numId w:val="1165"/>
          <w:ilvl w:val="0"/>
        </w:numPr>
      </w:pPr>
      <w:r>
        <w:t xml:space="preserve">náklady spojené s dokazováním,</w:t>
      </w:r>
    </w:p>
    <w:p>
      <w:pPr>
        <w:pStyle w:val="Compact"/>
        <w:numPr>
          <w:numId w:val="1165"/>
          <w:ilvl w:val="0"/>
        </w:numPr>
      </w:pPr>
      <w:r>
        <w:t xml:space="preserve">odměna zástupce a jeho hotové výdaje,</w:t>
      </w:r>
    </w:p>
    <w:p>
      <w:pPr>
        <w:numPr>
          <w:numId w:val="1165"/>
          <w:ilvl w:val="0"/>
        </w:numPr>
      </w:pPr>
      <w:r>
        <w:t xml:space="preserve">tlumočné.</w:t>
      </w:r>
    </w:p>
    <w:p>
      <w:pPr>
        <w:pStyle w:val="Compact"/>
        <w:numPr>
          <w:numId w:val="1165"/>
          <w:ilvl w:val="0"/>
        </w:numPr>
      </w:pPr>
      <w:r>
        <w:t xml:space="preserve">Náklady řízení</w:t>
      </w:r>
    </w:p>
    <w:p>
      <w:pPr>
        <w:pStyle w:val="Compact"/>
        <w:numPr>
          <w:numId w:val="1165"/>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165"/>
          <w:ilvl w:val="0"/>
        </w:numPr>
      </w:pPr>
      <w:r>
        <w:t xml:space="preserve">Protistrana (např. finanční úřad či jiný státní orgán) obvykle náklady řízení přiznány nedostane.</w:t>
      </w:r>
    </w:p>
    <w:p>
      <w:pPr>
        <w:pStyle w:val="Heading2"/>
      </w:pPr>
      <w:bookmarkStart w:id="112" w:name="role-judikatury-správního-ústavního-a-evropského-soudnictví-v-daňovém-právu"/>
      <w:bookmarkEnd w:id="112"/>
      <w:r>
        <w:t xml:space="preserve">24. Role judikatury správního, ústavního a evropského soudnictví v daňovém právu</w:t>
      </w:r>
    </w:p>
    <w:p>
      <w:pPr>
        <w:pStyle w:val="FirstParagraph"/>
      </w:pPr>
      <w:r>
        <w:t xml:space="preserve">TBD</w:t>
      </w:r>
    </w:p>
    <w:p>
      <w:pPr>
        <w:pStyle w:val="Heading2"/>
      </w:pPr>
      <w:bookmarkStart w:id="113" w:name="cvičení-téma-k-diskusi"/>
      <w:bookmarkEnd w:id="113"/>
      <w:r>
        <w:t xml:space="preserve">Cvičení téma k diskusi</w:t>
      </w:r>
    </w:p>
    <w:p>
      <w:pPr>
        <w:pStyle w:val="Compact"/>
        <w:numPr>
          <w:numId w:val="1178"/>
          <w:ilvl w:val="0"/>
        </w:numPr>
      </w:pPr>
      <w:r>
        <w:t xml:space="preserve">Příklad 1</w:t>
      </w:r>
    </w:p>
    <w:p>
      <w:pPr>
        <w:pStyle w:val="Compact"/>
        <w:numPr>
          <w:numId w:val="1178"/>
          <w:ilvl w:val="0"/>
        </w:numPr>
      </w:pPr>
      <w:r>
        <w:t xml:space="preserve">Jste poslanci a máte rozhodnout o tom, zda bude daň z příjmů rovná nebo progresivní.</w:t>
      </w:r>
    </w:p>
    <w:p>
      <w:pPr>
        <w:pStyle w:val="Compact"/>
        <w:numPr>
          <w:numId w:val="1178"/>
          <w:ilvl w:val="0"/>
        </w:numPr>
      </w:pPr>
      <w:r>
        <w:t xml:space="preserve">Podotázky:</w:t>
      </w:r>
    </w:p>
    <w:p>
      <w:pPr>
        <w:pStyle w:val="Compact"/>
        <w:numPr>
          <w:numId w:val="1179"/>
          <w:ilvl w:val="1"/>
        </w:numPr>
      </w:pPr>
      <w:r>
        <w:t xml:space="preserve">Je současná daň z příjmů rovná, když má jednotnou sazbu?</w:t>
      </w:r>
    </w:p>
    <w:p>
      <w:pPr>
        <w:pStyle w:val="Compact"/>
        <w:numPr>
          <w:numId w:val="1179"/>
          <w:ilvl w:val="1"/>
        </w:numPr>
      </w:pPr>
      <w:r>
        <w:t xml:space="preserve">Mají bohatí platit vyšší daně než chudí?</w:t>
      </w:r>
    </w:p>
    <w:p>
      <w:pPr>
        <w:pStyle w:val="Compact"/>
        <w:numPr>
          <w:numId w:val="1179"/>
          <w:ilvl w:val="1"/>
        </w:numPr>
      </w:pPr>
      <w:r>
        <w:t xml:space="preserve">Mají bezdětní platit vyšší daně než ti, co děti mají?</w:t>
      </w:r>
    </w:p>
    <w:p>
      <w:pPr>
        <w:pStyle w:val="Compact"/>
        <w:numPr>
          <w:numId w:val="1178"/>
          <w:ilvl w:val="0"/>
        </w:numPr>
      </w:pPr>
      <w:r>
        <w:t xml:space="preserve">Příklad č. 2</w:t>
      </w:r>
    </w:p>
    <w:p>
      <w:pPr>
        <w:pStyle w:val="Compact"/>
        <w:numPr>
          <w:numId w:val="1178"/>
          <w:ilvl w:val="0"/>
        </w:numPr>
      </w:pPr>
      <w:r>
        <w:t xml:space="preserve">Jste poslanci a máte rozhodnout, zda zavedete silniční daň:</w:t>
      </w:r>
    </w:p>
    <w:p>
      <w:pPr>
        <w:pStyle w:val="Compact"/>
        <w:numPr>
          <w:numId w:val="1181"/>
          <w:ilvl w:val="2"/>
        </w:numPr>
      </w:pPr>
      <w:r>
        <w:t xml:space="preserve">Jen pro podnikatele</w:t>
      </w:r>
    </w:p>
    <w:p>
      <w:pPr>
        <w:pStyle w:val="Compact"/>
        <w:numPr>
          <w:numId w:val="1182"/>
          <w:ilvl w:val="2"/>
        </w:numPr>
      </w:pPr>
      <w:r>
        <w:t xml:space="preserve">Pro všechny</w:t>
      </w:r>
    </w:p>
    <w:p>
      <w:pPr>
        <w:pStyle w:val="Compact"/>
        <w:numPr>
          <w:numId w:val="1178"/>
          <w:ilvl w:val="0"/>
        </w:numPr>
      </w:pPr>
      <w:r>
        <w:t xml:space="preserve">Podotázka – a co dálniční známky, mýtné:</w:t>
      </w:r>
    </w:p>
    <w:p>
      <w:pPr>
        <w:pStyle w:val="Compact"/>
        <w:numPr>
          <w:numId w:val="1184"/>
          <w:ilvl w:val="2"/>
        </w:numPr>
      </w:pPr>
      <w:r>
        <w:t xml:space="preserve">na všechny silnice</w:t>
      </w:r>
    </w:p>
    <w:p>
      <w:pPr>
        <w:pStyle w:val="Compact"/>
        <w:numPr>
          <w:numId w:val="1185"/>
          <w:ilvl w:val="2"/>
        </w:numPr>
      </w:pPr>
      <w:r>
        <w:t xml:space="preserve">jen na dálnice (dálnice + silnice 1. třídy)</w:t>
      </w:r>
    </w:p>
    <w:p>
      <w:pPr>
        <w:pStyle w:val="Compact"/>
        <w:numPr>
          <w:numId w:val="1186"/>
          <w:ilvl w:val="2"/>
        </w:numPr>
      </w:pPr>
      <w:r>
        <w:t xml:space="preserve">jen pro podnikatele</w:t>
      </w:r>
    </w:p>
    <w:p>
      <w:pPr>
        <w:numPr>
          <w:numId w:val="1178"/>
          <w:ilvl w:val="0"/>
        </w:numPr>
      </w:pPr>
      <w:r>
        <w:t xml:space="preserve">Obdobně parkování ve městech, nízkoemisní zóny (třídění podle druhů automobilů, občanů a firem, které v zóně bydlí apod.</w:t>
      </w:r>
    </w:p>
    <w:p>
      <w:pPr>
        <w:pStyle w:val="Compact"/>
        <w:numPr>
          <w:numId w:val="1178"/>
          <w:ilvl w:val="0"/>
        </w:numPr>
      </w:pPr>
      <w:r>
        <w:t xml:space="preserve">Příklad č. 3</w:t>
      </w:r>
    </w:p>
    <w:p>
      <w:pPr>
        <w:pStyle w:val="Compact"/>
        <w:numPr>
          <w:numId w:val="1178"/>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187"/>
          <w:ilvl w:val="1"/>
        </w:numPr>
      </w:pPr>
      <w:r>
        <w:t xml:space="preserve">Argumenty pro…………..</w:t>
      </w:r>
    </w:p>
    <w:p>
      <w:pPr>
        <w:pStyle w:val="Compact"/>
        <w:numPr>
          <w:numId w:val="1187"/>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106">
    <w:p>
      <w:pPr>
        <w:pStyle w:val="FootnoteText"/>
      </w:pPr>
      <w:r>
        <w:rPr>
          <w:rStyle w:val="FootnoteReference"/>
        </w:rPr>
        <w:footnoteRef/>
      </w:r>
      <w:r>
        <w:t xml:space="preserve"> </w:t>
      </w:r>
      <w:r>
        <w:t xml:space="preserve">https://cs.wikipedia.org/wiki/Spr%C3%A1vn%C3%AD_soudnictv%C3%AD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9709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e591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d4002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dcf1a8af"/>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761bab36"/>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453f3e32"/>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54530cbb"/>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c86c35f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995cc7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e5cecc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e57b447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ebac14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d5d3a86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b9fdd78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4a763aa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825">
    <w:nsid w:val="53747cdb"/>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a82506d3"/>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edccb7a8"/>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c482a42d"/>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8181b317"/>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7c16df8a"/>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1"/>
  </w:num>
  <w:num w:numId="1092">
    <w:abstractNumId w:val="991"/>
  </w:num>
  <w:num w:numId="109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6">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7">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98">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99">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00">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01">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1"/>
  </w:num>
  <w:num w:numId="111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6">
    <w:abstractNumId w:val="991"/>
  </w:num>
  <w:num w:numId="111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18">
    <w:abstractNumId w:val="991"/>
  </w:num>
  <w:num w:numId="11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1"/>
  </w:num>
  <w:num w:numId="112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1"/>
  </w:num>
  <w:num w:numId="11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1"/>
  </w:num>
  <w:num w:numId="113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2">
    <w:abstractNumId w:val="991"/>
  </w:num>
  <w:num w:numId="114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6">
    <w:abstractNumId w:val="991"/>
  </w:num>
  <w:num w:numId="114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6">
    <w:abstractNumId w:val="991"/>
  </w:num>
  <w:num w:numId="115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8">
    <w:abstractNumId w:val="991"/>
  </w:num>
  <w:num w:numId="1159">
    <w:abstractNumId w:val="991"/>
  </w:num>
  <w:num w:numId="116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64">
    <w:abstractNumId w:val="991"/>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1">
    <w:abstractNumId w:val="991"/>
  </w:num>
  <w:num w:numId="1172">
    <w:abstractNumId w:val="991"/>
  </w:num>
  <w:num w:numId="1173">
    <w:abstractNumId w:val="991"/>
  </w:num>
  <w:num w:numId="117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6">
    <w:abstractNumId w:val="991"/>
  </w:num>
  <w:num w:numId="1177">
    <w:abstractNumId w:val="991"/>
  </w:num>
  <w:num w:numId="1178">
    <w:abstractNumId w:val="991"/>
  </w:num>
  <w:num w:numId="1179">
    <w:abstractNumId w:val="991"/>
  </w:num>
  <w:num w:numId="1180">
    <w:abstractNumId w:val="991"/>
  </w:num>
  <w:num w:numId="11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1"/>
  </w:num>
  <w:num w:numId="118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2022-05-08T09:36:00Z</dcterms:created>
  <dcterms:modified xsi:type="dcterms:W3CDTF">2022-05-08T09:36:00Z</dcterms:modified>
</cp:coreProperties>
</file>