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 -</w:t>
      </w:r>
      <w:r>
        <w:t xml:space="preserve"> </w:t>
      </w:r>
      <w:r>
        <w:rPr>
          <w:b/>
        </w:rPr>
        <w:t xml:space="preserve">OK</w:t>
      </w:r>
    </w:p>
    <w:p>
      <w:pPr>
        <w:pStyle w:val="Compact"/>
        <w:numPr>
          <w:numId w:val="1001"/>
          <w:ilvl w:val="0"/>
        </w:numPr>
      </w:pPr>
      <w:r>
        <w:t xml:space="preserve">Pojem „švarcsystému“ a problémy s ním spojené -</w:t>
      </w:r>
      <w:r>
        <w:t xml:space="preserve"> </w:t>
      </w:r>
      <w:r>
        <w:rPr>
          <w:b/>
        </w:rPr>
        <w:t xml:space="preserve">OK</w:t>
      </w:r>
    </w:p>
    <w:p>
      <w:pPr>
        <w:pStyle w:val="Compact"/>
        <w:numPr>
          <w:numId w:val="1001"/>
          <w:ilvl w:val="0"/>
        </w:numPr>
      </w:pPr>
      <w:r>
        <w:t xml:space="preserve">Daňový režim při úmrtí daňového subjektu – daň z příjmů fyzických osob, DPH, ostatní daně (dědická aj.) -</w:t>
      </w:r>
      <w:r>
        <w:t xml:space="preserve"> </w:t>
      </w:r>
      <w:r>
        <w:rPr>
          <w:b/>
        </w:rPr>
        <w:t xml:space="preserve">OK</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 -</w:t>
      </w:r>
      <w:r>
        <w:t xml:space="preserve"> </w:t>
      </w:r>
      <w:r>
        <w:rPr>
          <w:b/>
        </w:rPr>
        <w:t xml:space="preserve">OK</w:t>
      </w:r>
    </w:p>
    <w:p>
      <w:pPr>
        <w:pStyle w:val="Compact"/>
        <w:numPr>
          <w:numId w:val="1001"/>
          <w:ilvl w:val="0"/>
        </w:numPr>
      </w:pPr>
      <w:r>
        <w:t xml:space="preserve">Mezinárodní zdanění – pojem, charakteristika; dohody o zamezení dvojímu zdanění -</w:t>
      </w:r>
      <w:r>
        <w:t xml:space="preserve"> </w:t>
      </w:r>
      <w:r>
        <w:rPr>
          <w:b/>
        </w:rPr>
        <w:t xml:space="preserve">OK</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 -</w:t>
      </w:r>
      <w:r>
        <w:t xml:space="preserve"> </w:t>
      </w:r>
      <w:r>
        <w:rPr>
          <w:b/>
        </w:rPr>
        <w:t xml:space="preserve">OK</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Heading3"/>
      </w:pPr>
      <w:bookmarkStart w:id="88" w:name="spojené-osoby"/>
      <w:bookmarkEnd w:id="88"/>
      <w:r>
        <w:t xml:space="preserve">Spojené osoby</w:t>
      </w:r>
    </w:p>
    <w:p>
      <w:pPr>
        <w:pStyle w:val="Compact"/>
        <w:numPr>
          <w:numId w:val="1089"/>
          <w:ilvl w:val="0"/>
        </w:numPr>
      </w:pPr>
      <w:r>
        <w:t xml:space="preserve">Podklady k přednášce</w:t>
      </w:r>
    </w:p>
    <w:p>
      <w:pPr>
        <w:pStyle w:val="Compact"/>
        <w:numPr>
          <w:numId w:val="1089"/>
          <w:ilvl w:val="0"/>
        </w:numPr>
      </w:pPr>
      <w:r>
        <w:t xml:space="preserve">Zákon č. 435/2004 Sb., o zaměstnanosti</w:t>
      </w:r>
    </w:p>
    <w:p>
      <w:pPr>
        <w:pStyle w:val="Compact"/>
        <w:numPr>
          <w:numId w:val="1089"/>
          <w:ilvl w:val="0"/>
        </w:numPr>
      </w:pPr>
      <w:r>
        <w:t xml:space="preserve">Zákon č. 280/2009 Sb., daňový řád, zejména §92 a násl. (dokazování), § 98 a násl. (pomůcky a sjednání daně)</w:t>
      </w:r>
    </w:p>
    <w:p>
      <w:pPr>
        <w:pStyle w:val="Compact"/>
        <w:numPr>
          <w:numId w:val="1089"/>
          <w:ilvl w:val="0"/>
        </w:numPr>
      </w:pPr>
      <w:r>
        <w:t xml:space="preserve">Zákon č. 586/1992 Sb., o daních z příjmů, zejména § 6, §23/7</w:t>
      </w:r>
    </w:p>
    <w:p>
      <w:pPr>
        <w:pStyle w:val="Compact"/>
        <w:numPr>
          <w:numId w:val="1089"/>
          <w:ilvl w:val="0"/>
        </w:numPr>
      </w:pPr>
      <w:r>
        <w:t xml:space="preserve">Burda Zdeněk, Ing., Stanovení daně podle pomůcek, Wolters Kluwer 2010</w:t>
      </w:r>
    </w:p>
    <w:p>
      <w:pPr>
        <w:pStyle w:val="Compact"/>
        <w:numPr>
          <w:numId w:val="1089"/>
          <w:ilvl w:val="0"/>
        </w:numPr>
      </w:pPr>
      <w:r>
        <w:t xml:space="preserve">Baxa a kol. Daňový řád – komentář, Wolters Kluwer 2011</w:t>
      </w:r>
    </w:p>
    <w:p>
      <w:pPr>
        <w:pStyle w:val="Compact"/>
        <w:numPr>
          <w:numId w:val="1089"/>
          <w:ilvl w:val="0"/>
        </w:numPr>
      </w:pPr>
      <w:r>
        <w:t xml:space="preserve">Burda Zdeněk, Ing., „Švarcsystém“ v daňové judikatuře, Daně a právo v praxi 8/2011</w:t>
      </w:r>
    </w:p>
    <w:p>
      <w:pPr>
        <w:pStyle w:val="Compact"/>
        <w:numPr>
          <w:numId w:val="1089"/>
          <w:ilvl w:val="0"/>
        </w:numPr>
      </w:pPr>
      <w:r>
        <w:t xml:space="preserve">Burda Zdeněk, Ing., Švarcsystém II ‐ společníci, jednatelé, členové statutárních orgánů a jejich práce pro společnost v daňové judikatuře, Daně a právo v praxi 9/2011</w:t>
      </w:r>
    </w:p>
    <w:p>
      <w:pPr>
        <w:pStyle w:val="Compact"/>
        <w:numPr>
          <w:numId w:val="1089"/>
          <w:ilvl w:val="0"/>
        </w:numPr>
      </w:pPr>
      <w:r>
        <w:t xml:space="preserve">BURDA, Zdeněk, Ing., "Švarcsystém" v podmínkách roku 2012. Bulletin Komory daňových poradců České republiky, 2012, č. 2, s. 14‐16.</w:t>
      </w:r>
    </w:p>
    <w:p>
      <w:pPr>
        <w:pStyle w:val="Compact"/>
        <w:numPr>
          <w:numId w:val="1089"/>
          <w:ilvl w:val="0"/>
        </w:numPr>
      </w:pPr>
      <w:r>
        <w:t xml:space="preserve">BURDA, Zdeněk, Ing, "Švarcsystém" v roce 2014“, Bulletin Komory daňových poradců České republiky, 2012, č. 2, s. 10‐18.</w:t>
      </w:r>
    </w:p>
    <w:p>
      <w:pPr>
        <w:numPr>
          <w:numId w:val="1089"/>
          <w:ilvl w:val="0"/>
        </w:numPr>
      </w:pPr>
      <w:r>
        <w:t xml:space="preserve">BURDA, Zdeněk, Ing., Dokazování, Bulletin Komory daňových poradců České republiky, 2013, č. 4, s. 15‐22.</w:t>
      </w:r>
    </w:p>
    <w:p>
      <w:pPr>
        <w:pStyle w:val="Compact"/>
        <w:numPr>
          <w:numId w:val="1089"/>
          <w:ilvl w:val="0"/>
        </w:numPr>
      </w:pPr>
      <w:r>
        <w:rPr>
          <w:strike/>
        </w:rPr>
        <w:t xml:space="preserve">Struktura přednášky</w:t>
      </w:r>
    </w:p>
    <w:p>
      <w:pPr>
        <w:pStyle w:val="Compact"/>
        <w:numPr>
          <w:numId w:val="1089"/>
          <w:ilvl w:val="0"/>
        </w:numPr>
      </w:pPr>
      <w:r>
        <w:rPr>
          <w:strike/>
        </w:rPr>
        <w:t xml:space="preserve">Daň z příjmů – vybrané obecné otázky II (spojené osoby a ceny mezi nimi, zneužití práva)</w:t>
      </w:r>
    </w:p>
    <w:p>
      <w:pPr>
        <w:pStyle w:val="Compact"/>
        <w:numPr>
          <w:numId w:val="1089"/>
          <w:ilvl w:val="0"/>
        </w:numPr>
      </w:pPr>
      <w:r>
        <w:rPr>
          <w:strike/>
        </w:rPr>
        <w:t xml:space="preserve">Daň z příjmů fyzických osob – některé složité případy II (švarcsystém a jeho rozlišení)</w:t>
      </w:r>
    </w:p>
    <w:p>
      <w:pPr>
        <w:pStyle w:val="Compact"/>
        <w:numPr>
          <w:numId w:val="1089"/>
          <w:ilvl w:val="0"/>
        </w:numPr>
      </w:pPr>
      <w:r>
        <w:rPr>
          <w:strike/>
        </w:rPr>
        <w:t xml:space="preserve">DPH I – podvody na DPH a jak jim čelit, zneužití práva</w:t>
      </w:r>
    </w:p>
    <w:p>
      <w:pPr>
        <w:pStyle w:val="Compact"/>
        <w:numPr>
          <w:numId w:val="1089"/>
          <w:ilvl w:val="0"/>
        </w:numPr>
      </w:pPr>
      <w:r>
        <w:rPr>
          <w:strike/>
        </w:rPr>
        <w:t xml:space="preserve">DPH II – evropské a vnitrostátní právo a praktické dopady dvouúrovňového právního systému, eurokonformní výklad, přímý a nepřímý účinek evropského práva</w:t>
      </w:r>
    </w:p>
    <w:p>
      <w:pPr>
        <w:pStyle w:val="Compact"/>
        <w:numPr>
          <w:numId w:val="1089"/>
          <w:ilvl w:val="0"/>
        </w:numPr>
      </w:pPr>
      <w:r>
        <w:rPr>
          <w:strike/>
        </w:rPr>
        <w:t xml:space="preserve">Procesní otázky I – důkazní břemeno, dokazování a pomůcky, dokazování ve vybraných případech (zprostředkování, reklama, manažerské služby aj.)</w:t>
      </w:r>
    </w:p>
    <w:p>
      <w:pPr>
        <w:numPr>
          <w:numId w:val="1089"/>
          <w:ilvl w:val="0"/>
        </w:numPr>
      </w:pPr>
      <w:r>
        <w:rPr>
          <w:strike/>
        </w:rPr>
        <w:t xml:space="preserve">Judikatura soudů a její význam pro daňovou praxi</w:t>
      </w:r>
    </w:p>
    <w:p>
      <w:pPr>
        <w:numPr>
          <w:numId w:val="1089"/>
          <w:ilvl w:val="0"/>
        </w:numPr>
      </w:pPr>
      <w:r>
        <w:t xml:space="preserve">Daň z příjmů – vybrané obecné otázky II (spojené osoby a ceny mezi nimi, zneužití práva)</w:t>
      </w:r>
    </w:p>
    <w:p>
      <w:pPr>
        <w:pStyle w:val="Compact"/>
        <w:numPr>
          <w:numId w:val="1089"/>
          <w:ilvl w:val="0"/>
        </w:numPr>
      </w:pPr>
      <w:r>
        <w:t xml:space="preserve">Spojené osoby</w:t>
      </w:r>
    </w:p>
    <w:p>
      <w:pPr>
        <w:pStyle w:val="Compact"/>
        <w:numPr>
          <w:numId w:val="1089"/>
          <w:ilvl w:val="0"/>
        </w:numPr>
      </w:pPr>
      <w:r>
        <w:t xml:space="preserve">Spojenými osobami se pro účely tohoto zákona rozumí</w:t>
      </w:r>
    </w:p>
    <w:p>
      <w:pPr>
        <w:pStyle w:val="Compact"/>
        <w:numPr>
          <w:numId w:val="1091"/>
          <w:ilvl w:val="2"/>
        </w:numPr>
      </w:pPr>
      <w:r>
        <w:t xml:space="preserve">kapitálově spojené osoby, přitom</w:t>
      </w:r>
    </w:p>
    <w:p>
      <w:pPr>
        <w:pStyle w:val="Compact"/>
        <w:numPr>
          <w:numId w:val="1092"/>
          <w:ilvl w:val="2"/>
        </w:numPr>
      </w:pPr>
      <w:r>
        <w:t xml:space="preserve">jestliže se jedna osoba přímo podílí na kapitálu nebo hlasovacích právech druhé osoby, anebo se jedna osoba přímo podílí na kapitálu nebo hlasovacích právech více osob; a přitom tento podíl představuje alespoň 25 % základního kapitálu nebo 25 % hlasovacích práv těchto osob, jsou všechny tyto osoby vzájemně osobami přímo kapitálově spojenými,</w:t>
      </w:r>
    </w:p>
    <w:p>
      <w:pPr>
        <w:pStyle w:val="Compact"/>
        <w:numPr>
          <w:numId w:val="1093"/>
          <w:ilvl w:val="2"/>
        </w:numPr>
      </w:pPr>
      <w:r>
        <w:t xml:space="preserve">jestliže se jedna osoba nepřímo podílí na kapitálu nebo hlasovacích právech druhé osoby, anebo se jedna osoba přímo nebo nepřímo podílí na kapitálu nebo hlasovacích právech více osob; a přitom tento podíl představuje alespoň 25 % základního kapitálu nebo 25 % hlasovacích práv těchto osob, jsou všechny tyto osoby vzájemně osobami kapitálově spojenými,</w:t>
      </w:r>
    </w:p>
    <w:p>
      <w:pPr>
        <w:pStyle w:val="Compact"/>
        <w:numPr>
          <w:numId w:val="1094"/>
          <w:ilvl w:val="2"/>
        </w:numPr>
      </w:pPr>
      <w:r>
        <w:t xml:space="preserve">jinak spojené osoby, kterými jsou osoby</w:t>
      </w:r>
    </w:p>
    <w:p>
      <w:pPr>
        <w:pStyle w:val="Compact"/>
        <w:numPr>
          <w:numId w:val="1095"/>
          <w:ilvl w:val="2"/>
        </w:numPr>
      </w:pPr>
      <w:r>
        <w:t xml:space="preserve">kdy se jedna osoba podílí na vedení nebo kontrole jiné osoby (např. jednatel),</w:t>
      </w:r>
    </w:p>
    <w:p>
      <w:pPr>
        <w:pStyle w:val="Compact"/>
        <w:numPr>
          <w:numId w:val="1096"/>
          <w:ilvl w:val="2"/>
        </w:numPr>
      </w:pPr>
      <w:r>
        <w:t xml:space="preserve">kdy se shodné osoby nebo osoby blízké podílejí na vedení nebo kontrole jiných osob, tyto jiné osoby jsou vzájemně osobami jinak spojenými. Za jinak spojené osoby se nepovažují osoby, kdy je jedna osoba členem dozorčích rad obou osob,</w:t>
      </w:r>
    </w:p>
    <w:p>
      <w:pPr>
        <w:pStyle w:val="Compact"/>
        <w:numPr>
          <w:numId w:val="1097"/>
          <w:ilvl w:val="2"/>
        </w:numPr>
      </w:pPr>
      <w:r>
        <w:t xml:space="preserve">ovládající a ovládaná a také osoby ovládané stejnou ovládající osobou, (§74 a násl. zákona o obchodních korporacích - Ovládající osobou je osoba, která může v obchodní korporaci přímo či nepřímo uplatňovat rozhodující vliv – např. většinový společník). Ovládanou osobou je obchodní korporace ovládaná ovládající osobou)</w:t>
      </w:r>
    </w:p>
    <w:p>
      <w:pPr>
        <w:pStyle w:val="Compact"/>
        <w:numPr>
          <w:numId w:val="1098"/>
          <w:ilvl w:val="2"/>
        </w:numPr>
      </w:pPr>
      <w:r>
        <w:t xml:space="preserve">blízké, (§22 NOBCZ - Osoba blízká je příbuzný v řadě přímé, sourozenec a manžel nebo partner podle jiného zákona upravujícího registrované partnerství (dále jen „partner“); jiné osoby v poměru rodinném nebo obdobném se pokládají za osoby sobě navzájem blízké, pokud by újmu, kterou utrpěla jedna z nich, druhá důvodně pociťovala jako újmu vlastní. Má se za to, že osobami blízkými jsou i osoby sešvagřené nebo osoby, které spolu trvale žijí.</w:t>
      </w:r>
    </w:p>
    <w:p>
      <w:pPr>
        <w:pStyle w:val="Compact"/>
        <w:numPr>
          <w:numId w:val="1099"/>
          <w:ilvl w:val="2"/>
        </w:numPr>
      </w:pPr>
      <w:r>
        <w:t xml:space="preserve">které vytvořily právní vztah převážně za účelem snížení základu daně nebo zvýšení daňové ztráty.</w:t>
      </w:r>
    </w:p>
    <w:p>
      <w:pPr>
        <w:pStyle w:val="Compact"/>
        <w:numPr>
          <w:numId w:val="1089"/>
          <w:ilvl w:val="0"/>
        </w:numPr>
      </w:pPr>
      <w:r>
        <w:t xml:space="preserve">Spojené osoby</w:t>
      </w:r>
    </w:p>
    <w:p>
      <w:pPr>
        <w:pStyle w:val="Compact"/>
        <w:numPr>
          <w:numId w:val="1089"/>
          <w:ilvl w:val="0"/>
        </w:numPr>
      </w:pPr>
      <w:r>
        <w:t xml:space="preserve">Podíl na základním kapitálu nebo podíl s hlasovacím právem ve zdaňovacím období nebo období, za něž je podáváno daňové přiznání, se stanoví jako aritmetický průměr měsíčních stavů.</w:t>
      </w:r>
    </w:p>
    <w:p>
      <w:pPr>
        <w:numPr>
          <w:numId w:val="1089"/>
          <w:ilvl w:val="0"/>
        </w:numPr>
      </w:pPr>
      <w:r>
        <w:t xml:space="preserve">Účast v kontrolní komisi nebo obdobném kontrolním orgánu a provádění kontroly za úplatu se nepovažuje za podílení se na kontrole.</w:t>
      </w:r>
    </w:p>
    <w:p>
      <w:pPr>
        <w:pStyle w:val="Compact"/>
        <w:numPr>
          <w:numId w:val="1089"/>
          <w:ilvl w:val="0"/>
        </w:numPr>
      </w:pPr>
      <w:r>
        <w:t xml:space="preserve">Cena obvyklá</w:t>
      </w:r>
    </w:p>
    <w:p>
      <w:pPr>
        <w:pStyle w:val="Compact"/>
        <w:numPr>
          <w:numId w:val="1089"/>
          <w:ilvl w:val="0"/>
        </w:numPr>
      </w:pPr>
      <w:r>
        <w:t xml:space="preserve">§ 23/7 ZDP</w:t>
      </w:r>
    </w:p>
    <w:p>
      <w:pPr>
        <w:pStyle w:val="Compact"/>
        <w:numPr>
          <w:numId w:val="1101"/>
          <w:ilvl w:val="2"/>
        </w:numPr>
      </w:pPr>
      <w:r>
        <w:t xml:space="preserve">Liší-li se ceny sjednané mezi spojenými osobami od cen, které by byly sjednány mezi nespojenými osobami v běžných obchodních vztazích za stejných nebo obdobných podmínek, a není-li tento rozdíl uspokojivě doložen, upraví se základ daně poplatníka o zjištěný rozdíl. Nelze-li určit cenu, která by byla sjednávána mezi nespojenými osobami v běžných obchodních vztazích za stejných nebo obdobných podmínek, použije se cena určená podle právního předpisu upravujícího oceňování majetku. Ustanovení věty první a druhé se nepoužije v případě uzavření smlouvy o výprose nebo o výpůjčce a v případě, kdy sjednaná výše úroků z úvěrového finančního nástroje mezi spojenými osobami je nižší, než by byla cena sjednaná mezi nespojenými osobami, a věřitelem je daňový nerezident nebo člen obchodní korporace, který je daňovým rezidentem České republiky nebo poplatník daně z příjmů fyzických osob.</w:t>
      </w:r>
    </w:p>
    <w:p>
      <w:pPr>
        <w:pStyle w:val="Compact"/>
        <w:numPr>
          <w:numId w:val="1089"/>
          <w:ilvl w:val="0"/>
        </w:numPr>
      </w:pPr>
      <w:r>
        <w:t xml:space="preserve">Cena obvyklá</w:t>
      </w:r>
    </w:p>
    <w:p>
      <w:pPr>
        <w:pStyle w:val="Compact"/>
        <w:numPr>
          <w:numId w:val="1089"/>
          <w:ilvl w:val="0"/>
        </w:numPr>
      </w:pPr>
      <w:r>
        <w:t xml:space="preserve">Rozdíl „ceny obvyklé“ u DPH a daně zpříjmů (NSS 7 Afs 102/2006-132 z 10. května 2007)</w:t>
      </w:r>
    </w:p>
    <w:p>
      <w:pPr>
        <w:pStyle w:val="Compact"/>
        <w:numPr>
          <w:numId w:val="1102"/>
          <w:ilvl w:val="1"/>
        </w:numPr>
      </w:pPr>
      <w:r>
        <w:t xml:space="preserve">Oba předpisy pro stanovení ceny odkazují na zákon o oceňování majetku. Zákon o DPH v případech specifikovaných v §36a odkazuje na tento zákon přímo jako jediný způsob stanovení základu daně. Zákon o daních z příjmů však nejprve preferuje možnost zjištění „obvyklé“ ceny na trhu, v další fázi pak možnost daňového subjektu správce daně přesvědčit o důvodech „odklonu“ od běžných cen a teprve v případě, že není možno využít těchto postupů, přichází na řadu zákon o oceňování majetku. Zákon o daních z příjmů tak dává podstatně větší prostor pro vyjednávání se správcem daně než zákon o DPH.</w:t>
      </w:r>
    </w:p>
    <w:p>
      <w:pPr>
        <w:pStyle w:val="Compact"/>
        <w:numPr>
          <w:numId w:val="1089"/>
          <w:ilvl w:val="0"/>
        </w:numPr>
      </w:pPr>
      <w:r>
        <w:t xml:space="preserve">Cena obvyklá</w:t>
      </w:r>
    </w:p>
    <w:p>
      <w:pPr>
        <w:pStyle w:val="Compact"/>
        <w:numPr>
          <w:numId w:val="1089"/>
          <w:ilvl w:val="0"/>
        </w:numPr>
      </w:pPr>
      <w:r>
        <w:t xml:space="preserve">Cena obvyklá v intervalu nejčastějších cen (NSS 8 Afs 80/2007 – 105 z 31.3.2009, Sbírka NSS 7/2009 č. 1852/2009)</w:t>
      </w:r>
    </w:p>
    <w:p>
      <w:pPr>
        <w:pStyle w:val="Compact"/>
        <w:numPr>
          <w:numId w:val="1103"/>
          <w:ilvl w:val="1"/>
        </w:numPr>
      </w:pPr>
      <w:r>
        <w:t xml:space="preserve">Stanovení ceny obvyklé u nájemného.</w:t>
      </w:r>
    </w:p>
    <w:p>
      <w:pPr>
        <w:pStyle w:val="Compact"/>
        <w:numPr>
          <w:numId w:val="1103"/>
          <w:ilvl w:val="1"/>
        </w:numPr>
      </w:pPr>
      <w:r>
        <w:t xml:space="preserve">Sjednaná cena činila v případě prvé smlouvy 2.090 Kč a v případě druhé smlouvy 1.500 Kč. Správce daně provedl sedm místních šetření u jiných daňových subjektů, u kterých zjistil výše nájemného v rozpětí od 747 Kč do 2.727 Kč za 1 m2/rok; průměrná cena nájemného tedy činila 1.466 Kč za 1 m2/rok.</w:t>
      </w:r>
    </w:p>
    <w:p>
      <w:pPr>
        <w:pStyle w:val="Compact"/>
        <w:numPr>
          <w:numId w:val="1089"/>
          <w:ilvl w:val="0"/>
        </w:numPr>
      </w:pPr>
      <w:r>
        <w:t xml:space="preserve">Cena obvyklá</w:t>
      </w:r>
    </w:p>
    <w:p>
      <w:pPr>
        <w:pStyle w:val="Compact"/>
        <w:numPr>
          <w:numId w:val="1089"/>
          <w:ilvl w:val="0"/>
        </w:numPr>
      </w:pPr>
      <w:r>
        <w:t xml:space="preserve">NSS 8 Afs 80/2007 pokrač.:</w:t>
      </w:r>
    </w:p>
    <w:p>
      <w:pPr>
        <w:pStyle w:val="Compact"/>
        <w:numPr>
          <w:numId w:val="1104"/>
          <w:ilvl w:val="1"/>
        </w:numPr>
      </w:pPr>
      <w:r>
        <w:t xml:space="preserve">Správce daně jako cenu obvyklou použil aritmetický průměr zjištěných nájmů u dalších („nespojených“) subjektů. Tento postup však nebyl shledán jako správný. Jestliže se totiž ceny ostatních subjektů pohybují v určitém rozpětí, měl by správce daně případný doměrek odvozovat nikoli z rozdílu ceny sjednané průměru ostatních cen „nespojených“ subjektů, ale od ceny na horním rozpětí intervalu cen „nespojených“ subjektů.</w:t>
      </w:r>
    </w:p>
    <w:p>
      <w:pPr>
        <w:pStyle w:val="Compact"/>
        <w:numPr>
          <w:numId w:val="1089"/>
          <w:ilvl w:val="0"/>
        </w:numPr>
      </w:pPr>
      <w:r>
        <w:t xml:space="preserve">Cena obvyklá</w:t>
      </w:r>
    </w:p>
    <w:p>
      <w:pPr>
        <w:pStyle w:val="Compact"/>
        <w:numPr>
          <w:numId w:val="1089"/>
          <w:ilvl w:val="0"/>
        </w:numPr>
      </w:pPr>
      <w:r>
        <w:t xml:space="preserve">8 Afs 80/2007 – pokrač.II:</w:t>
      </w:r>
    </w:p>
    <w:p>
      <w:pPr>
        <w:pStyle w:val="Compact"/>
        <w:numPr>
          <w:numId w:val="1105"/>
          <w:ilvl w:val="1"/>
        </w:numPr>
      </w:pPr>
      <w:r>
        <w:t xml:space="preserve">Určení výše ceny nezávisí na libovůli správce daně.</w:t>
      </w:r>
    </w:p>
    <w:p>
      <w:pPr>
        <w:pStyle w:val="Compact"/>
        <w:numPr>
          <w:numId w:val="1105"/>
          <w:ilvl w:val="1"/>
        </w:numPr>
      </w:pPr>
      <w:r>
        <w:t xml:space="preserve">Je na jeho uvážení, které subjekty zahrne do vzorku pro zjištění ceny obvyklé, na druhou stranu však zvolené subjekty musí korespondovat se situací daňového subjektu (osoby blízké či jinak spojené), a své úvahy o výběru musí odůvodnit. Jsou na něj kladeny takové požadavky, aby případné zvýšení daňové povinnosti bylo zákonné a spravedlivé a jeho rozhodnutí přezkoumatelné.</w:t>
      </w:r>
    </w:p>
    <w:p>
      <w:pPr>
        <w:pStyle w:val="Compact"/>
        <w:numPr>
          <w:numId w:val="1089"/>
          <w:ilvl w:val="0"/>
        </w:numPr>
      </w:pPr>
      <w:r>
        <w:t xml:space="preserve">Cena obvyklá</w:t>
      </w:r>
    </w:p>
    <w:p>
      <w:pPr>
        <w:pStyle w:val="Compact"/>
        <w:numPr>
          <w:numId w:val="1089"/>
          <w:ilvl w:val="0"/>
        </w:numPr>
      </w:pPr>
      <w:r>
        <w:t xml:space="preserve">8 Afs 80/2007 – pokrač.III:</w:t>
      </w:r>
    </w:p>
    <w:p>
      <w:pPr>
        <w:pStyle w:val="Compact"/>
        <w:numPr>
          <w:numId w:val="1106"/>
          <w:ilvl w:val="1"/>
        </w:numPr>
      </w:pPr>
      <w:r>
        <w:t xml:space="preserve">V ideálním stavu by proto měl pro výpočet volit subjekty provozující stejnou či alespoň obdobnou podnikatelskou činnost, a to ve stejném čase a po stejně dlouhé období, v prostorách obdobného stavebně technického stavu a polohy v obci a velikost pronajímaných prostor.</w:t>
      </w:r>
    </w:p>
    <w:p>
      <w:pPr>
        <w:pStyle w:val="Compact"/>
        <w:numPr>
          <w:numId w:val="1106"/>
          <w:ilvl w:val="1"/>
        </w:numPr>
      </w:pPr>
      <w:r>
        <w:t xml:space="preserve">Dále musí zohlednit, zda jsou v ceně nájemného zahrnuty pouze prostory nebo i vybavení a služby, a nesmí opomenout ani výši nájemného, jaké určil tentýž pronajímatel v jiných případech, kdy druhou smluvní stranou není osoba blízká nebo jinak spojená. Přitom musí vybrat dostatečné množství subjektů, aby na základě jejich údajů mohl učinit dostatečně objektivní a spravedlivý závěr.</w:t>
      </w:r>
    </w:p>
    <w:p>
      <w:pPr>
        <w:pStyle w:val="Compact"/>
        <w:numPr>
          <w:numId w:val="1089"/>
          <w:ilvl w:val="0"/>
        </w:numPr>
      </w:pPr>
      <w:r>
        <w:t xml:space="preserve">Cena obvyklá</w:t>
      </w:r>
    </w:p>
    <w:p>
      <w:pPr>
        <w:pStyle w:val="Compact"/>
        <w:numPr>
          <w:numId w:val="1089"/>
          <w:ilvl w:val="0"/>
        </w:numPr>
      </w:pPr>
      <w:r>
        <w:t xml:space="preserve">8 Afs 80/2007 – pokrač. IV:</w:t>
      </w:r>
    </w:p>
    <w:p>
      <w:pPr>
        <w:pStyle w:val="Compact"/>
        <w:numPr>
          <w:numId w:val="1107"/>
          <w:ilvl w:val="1"/>
        </w:numPr>
      </w:pPr>
      <w:r>
        <w:t xml:space="preserve">Právní věta</w:t>
      </w:r>
    </w:p>
    <w:p>
      <w:pPr>
        <w:pStyle w:val="Compact"/>
        <w:numPr>
          <w:numId w:val="1107"/>
          <w:ilvl w:val="1"/>
        </w:numPr>
      </w:pPr>
      <w:r>
        <w:t xml:space="preserve">„Cenu sjednanou nezávislými osobami v běžných obchodních vztazích za stejných nebo obdobných podmínek ve smyslu § 23 odst. 7 zákona č. 586/1992 Sb., o daních z příjmů, nelze obvykle stanovit jediným číslem, ale intervalem nejčastěji realizovaných cen.“</w:t>
      </w:r>
    </w:p>
    <w:p>
      <w:pPr>
        <w:pStyle w:val="Compact"/>
        <w:numPr>
          <w:numId w:val="1089"/>
          <w:ilvl w:val="0"/>
        </w:numPr>
      </w:pPr>
      <w:r>
        <w:t xml:space="preserve">Cena obvyklá</w:t>
      </w:r>
    </w:p>
    <w:p>
      <w:pPr>
        <w:pStyle w:val="Compact"/>
        <w:numPr>
          <w:numId w:val="1089"/>
          <w:ilvl w:val="0"/>
        </w:numPr>
      </w:pPr>
      <w:r>
        <w:t xml:space="preserve">Rozdílné znalecké posudky (NSS 7 Afs 50/2010 – 60 z 1. 7. 2010, Sbírka NSS 11/2010 pod č. 2138/2010)</w:t>
      </w:r>
    </w:p>
    <w:p>
      <w:pPr>
        <w:pStyle w:val="Compact"/>
        <w:numPr>
          <w:numId w:val="1108"/>
          <w:ilvl w:val="1"/>
        </w:numPr>
      </w:pPr>
      <w:r>
        <w:t xml:space="preserve">Zveřejněné právní věty</w:t>
      </w:r>
    </w:p>
    <w:p>
      <w:pPr>
        <w:pStyle w:val="Compact"/>
        <w:numPr>
          <w:numId w:val="1108"/>
          <w:ilvl w:val="1"/>
        </w:numPr>
      </w:pPr>
      <w:r>
        <w:t xml:space="preserve">I. Stanoví-li zákon o dani z přidané hodnoty, že základ daně je určen hodnotou „ceny zjištěné podle zvláštního právního předpisu bez daně“ (§ 14 odst. 7 zákona č. 588/1992 Sb., o dani z přidané hodnoty), není v kompetenci správního orgánu podle § 31 odst. 4 zákona č. 337/1992 Sb., o správě daní a poplatků, rozhodovat, který znalecký posudek je důkazem v daňovém řízení a který nikoliv.</w:t>
      </w:r>
    </w:p>
    <w:p>
      <w:pPr>
        <w:pStyle w:val="Compact"/>
        <w:numPr>
          <w:numId w:val="1089"/>
          <w:ilvl w:val="0"/>
        </w:numPr>
      </w:pPr>
      <w:r>
        <w:t xml:space="preserve">Cena obvyklá</w:t>
      </w:r>
    </w:p>
    <w:p>
      <w:pPr>
        <w:pStyle w:val="Compact"/>
        <w:numPr>
          <w:numId w:val="1089"/>
          <w:ilvl w:val="0"/>
        </w:numPr>
      </w:pPr>
      <w:r>
        <w:t xml:space="preserve">7 Afs 50/2010 pokrač.:</w:t>
      </w:r>
    </w:p>
    <w:p>
      <w:pPr>
        <w:pStyle w:val="Compact"/>
        <w:numPr>
          <w:numId w:val="1110"/>
          <w:ilvl w:val="2"/>
        </w:numPr>
      </w:pPr>
      <w:r>
        <w:t xml:space="preserve">Má-li k téže otázce správce daně k dispozici dva rovnocenné, ale co do závěru odlišné znalecké posudky, nepřísluší mu, aby sám bez dalšího uvážil, který z nich použije pro rozhodná skutková zjištění a který nikoliv. Naopak je povinen odstranit jejich vzájemné rozpory a nesrovnalosti, a to především prostřednictvím výslechu znalce, popřípadě znalců obou. Nevedly-li by tyto výpovědi k ozřejmění vzešlých nejasností, bylo by namístě přistoupit k dalšímu znaleckému zkoumání nebo reviznímu znaleckému posouzení.</w:t>
      </w:r>
    </w:p>
    <w:p>
      <w:pPr>
        <w:pStyle w:val="Compact"/>
        <w:numPr>
          <w:numId w:val="1089"/>
          <w:ilvl w:val="0"/>
        </w:numPr>
      </w:pPr>
      <w:r>
        <w:t xml:space="preserve">Cena obvyklá</w:t>
      </w:r>
    </w:p>
    <w:p>
      <w:pPr>
        <w:pStyle w:val="Compact"/>
        <w:numPr>
          <w:numId w:val="1089"/>
          <w:ilvl w:val="0"/>
        </w:numPr>
      </w:pPr>
      <w:r>
        <w:t xml:space="preserve">Zjištění referenčních cen a důkazní břemeno správce daně (NSS čj. 7 Afs 74/2010 – 81 z 27. ledna 2011, Sbírka NSS 4/2012 pod č. 2548/2012)</w:t>
      </w:r>
    </w:p>
    <w:p>
      <w:pPr>
        <w:pStyle w:val="Compact"/>
        <w:numPr>
          <w:numId w:val="1111"/>
          <w:ilvl w:val="1"/>
        </w:numPr>
      </w:pPr>
      <w:r>
        <w:t xml:space="preserve">Správce daně musí prokázat:</w:t>
      </w:r>
    </w:p>
    <w:p>
      <w:pPr>
        <w:pStyle w:val="Compact"/>
        <w:numPr>
          <w:numId w:val="1112"/>
          <w:ilvl w:val="2"/>
        </w:numPr>
      </w:pPr>
      <w:r>
        <w:t xml:space="preserve">že jde o vzájemně spojené osoby,</w:t>
      </w:r>
    </w:p>
    <w:p>
      <w:pPr>
        <w:pStyle w:val="Compact"/>
        <w:numPr>
          <w:numId w:val="1113"/>
          <w:ilvl w:val="2"/>
        </w:numPr>
      </w:pPr>
      <w:r>
        <w:t xml:space="preserve">výši „ceny obvyklé“.</w:t>
      </w:r>
    </w:p>
    <w:p>
      <w:pPr>
        <w:pStyle w:val="Compact"/>
        <w:numPr>
          <w:numId w:val="1111"/>
          <w:ilvl w:val="1"/>
        </w:numPr>
      </w:pPr>
      <w:r>
        <w:t xml:space="preserve">Jestliže v daném případě byla vzata jako srovnatelná cena pronájmu obdobných prostor, přičemž daňový subjekt tvrdil, že jeho prostory byly v mnohem horším stavu než ty srovnávané, musí skutečnost, že tomu tak nebylo prokázat správce daně a nikoli daňový subjekt!</w:t>
      </w:r>
    </w:p>
    <w:p>
      <w:pPr>
        <w:pStyle w:val="Compact"/>
        <w:numPr>
          <w:numId w:val="1111"/>
          <w:ilvl w:val="1"/>
        </w:numPr>
      </w:pPr>
      <w:r>
        <w:t xml:space="preserve">I poté, co tuto skutečnost správce daně prokáže, je třeba dát možnost daňovému subjektu rozdíl odůvodnit, důkazní břemeno zde však již nese DS.</w:t>
      </w:r>
    </w:p>
    <w:p>
      <w:pPr>
        <w:pStyle w:val="Compact"/>
        <w:numPr>
          <w:numId w:val="1089"/>
          <w:ilvl w:val="0"/>
        </w:numPr>
      </w:pPr>
      <w:r>
        <w:t xml:space="preserve">Cena obvyklá</w:t>
      </w:r>
    </w:p>
    <w:p>
      <w:pPr>
        <w:pStyle w:val="Compact"/>
        <w:numPr>
          <w:numId w:val="1089"/>
          <w:ilvl w:val="0"/>
        </w:numPr>
      </w:pPr>
      <w:r>
        <w:t xml:space="preserve">7 Afs 74/2010 pokrač</w:t>
      </w:r>
    </w:p>
    <w:p>
      <w:pPr>
        <w:pStyle w:val="Compact"/>
        <w:numPr>
          <w:numId w:val="1114"/>
          <w:ilvl w:val="1"/>
        </w:numPr>
      </w:pPr>
      <w:r>
        <w:t xml:space="preserve">I. K prokázání, že se liší ceny sjednané mezi spojenými osobami od cen, které by byly sjednány mezi nezávislými osobami v běžných obchodních vztazích za stejných nebo obdobných podmínek (referenční ceny), musí správce daně na základě zjištění výše obou těchto cen provést mezi nimi srovnání. Důkazní břemeno ke všem skutečnostem, které jsou pro to rozhodné, nese správce daně (§ 23 odst. 7 zákona č. 586/1992 Sb., o daních z příjmů)</w:t>
      </w:r>
    </w:p>
    <w:p>
      <w:pPr>
        <w:pStyle w:val="Compact"/>
        <w:numPr>
          <w:numId w:val="1089"/>
          <w:ilvl w:val="0"/>
        </w:numPr>
      </w:pPr>
      <w:r>
        <w:t xml:space="preserve">Cena obvyklá</w:t>
      </w:r>
    </w:p>
    <w:p>
      <w:pPr>
        <w:pStyle w:val="Compact"/>
        <w:numPr>
          <w:numId w:val="1089"/>
          <w:ilvl w:val="0"/>
        </w:numPr>
      </w:pPr>
      <w:r>
        <w:t xml:space="preserve">7 Afs 74/2010 pokrač.II:</w:t>
      </w:r>
    </w:p>
    <w:p>
      <w:pPr>
        <w:pStyle w:val="Compact"/>
        <w:numPr>
          <w:numId w:val="1116"/>
          <w:ilvl w:val="2"/>
        </w:numPr>
      </w:pPr>
      <w:r>
        <w:t xml:space="preserve">Referenční cenu může správce daně určit porovnáním skutečně dosažených cen shodné nebo podobné komodity mezi reálně existujícími nezávislými subjekty nebo (zejména pro neexistenci nebo nedostupnost dat o takových cenách) jen jako hypotetický odhad opřený o logickou a racionální úvahu a ekonomickou zkušenost. Referenční cena je v podstatě simulace ceny vytvořená na základě úvahy, jakou cenu by za situace shodné se situací spojených osob tyto osoby sjednaly, nebyly-li by spojené a měly-li by mezi sebou běžné obchodní vztahy.</w:t>
      </w:r>
    </w:p>
    <w:p>
      <w:pPr>
        <w:pStyle w:val="Compact"/>
        <w:numPr>
          <w:numId w:val="1089"/>
          <w:ilvl w:val="0"/>
        </w:numPr>
      </w:pPr>
      <w:r>
        <w:t xml:space="preserve">Cena obvyklá</w:t>
      </w:r>
    </w:p>
    <w:p>
      <w:pPr>
        <w:pStyle w:val="Compact"/>
        <w:numPr>
          <w:numId w:val="1089"/>
          <w:ilvl w:val="0"/>
        </w:numPr>
      </w:pPr>
      <w:r>
        <w:t xml:space="preserve">7 Afs 74/2010 pokrač. III:</w:t>
      </w:r>
    </w:p>
    <w:p>
      <w:pPr>
        <w:pStyle w:val="Compact"/>
        <w:numPr>
          <w:numId w:val="1118"/>
          <w:ilvl w:val="2"/>
        </w:numPr>
      </w:pPr>
      <w:r>
        <w:t xml:space="preserve">Pokud správce daně zjišťuje referenční cenu na základě údajů o skutečně dosažených cenách shodné nebo podobné komodity mezi reálně existujícími nezávislými subjekty, musí pečlivě zkoumat, do jaké míry byly tyto ceny dosaženy za stejných nebo obdobných podmínek, za nichž cenu sjednávaly spojené osoby, a pokud se tyto podmínky liší, provést patřičnou korekci (§ 23 odst. 7 zákona č. 586/1992 Sb. zákon o dani z příjmu.).</w:t>
      </w:r>
    </w:p>
    <w:p>
      <w:pPr>
        <w:pStyle w:val="Compact"/>
        <w:numPr>
          <w:numId w:val="1089"/>
          <w:ilvl w:val="0"/>
        </w:numPr>
      </w:pPr>
      <w:r>
        <w:t xml:space="preserve">Cena obvyklá</w:t>
      </w:r>
    </w:p>
    <w:p>
      <w:pPr>
        <w:pStyle w:val="Compact"/>
        <w:numPr>
          <w:numId w:val="1089"/>
          <w:ilvl w:val="0"/>
        </w:numPr>
      </w:pPr>
      <w:r>
        <w:t xml:space="preserve">Prodej automobilu zaměstnanci za neobvykle nízkou cenu a způsob zdanění (NSS 7 Afs 110/2007 – 55 z 26. 2. 2009, Sbírka NSS 10/2011 pod č. 2402/2011)</w:t>
      </w:r>
    </w:p>
    <w:p>
      <w:pPr>
        <w:numPr>
          <w:numId w:val="1089"/>
          <w:ilvl w:val="0"/>
        </w:numPr>
      </w:pPr>
      <w:r>
        <w:t xml:space="preserve">DS požadoval po správci dodanění do ceny obvyklé a navýšení základu daně zpříjmů. Prodal totiž svůj majetek zaměstnancům za nižší než obvyklou cenu a předmětný rozdíl nechtěl zdanit daní z příjmů fyzických osob ze závislé činnosti, ale daní z příjmů právnických osob (z titulu, že prodal spojeným osobám za cenu nižší než obvyklou). Finanční orgány ani soudy jeho názor neakceptovaly a daly přednost zdanění daní z příjmů fyzických osob ze závislé činnosti.</w:t>
      </w:r>
    </w:p>
    <w:p>
      <w:pPr>
        <w:pStyle w:val="Compact"/>
        <w:numPr>
          <w:numId w:val="1089"/>
          <w:ilvl w:val="0"/>
        </w:numPr>
      </w:pPr>
      <w:r>
        <w:t xml:space="preserve">Cena obvyklá</w:t>
      </w:r>
    </w:p>
    <w:p>
      <w:pPr>
        <w:pStyle w:val="Compact"/>
        <w:numPr>
          <w:numId w:val="1089"/>
          <w:ilvl w:val="0"/>
        </w:numPr>
      </w:pPr>
      <w:r>
        <w:t xml:space="preserve">7 Afs 110/2007 pokrač.:</w:t>
      </w:r>
    </w:p>
    <w:p>
      <w:pPr>
        <w:pStyle w:val="Compact"/>
        <w:numPr>
          <w:numId w:val="1119"/>
          <w:ilvl w:val="1"/>
        </w:numPr>
      </w:pPr>
      <w:r>
        <w:t xml:space="preserve">Zveřejněná právní věta:</w:t>
      </w:r>
    </w:p>
    <w:p>
      <w:pPr>
        <w:pStyle w:val="Compact"/>
        <w:numPr>
          <w:numId w:val="1119"/>
          <w:ilvl w:val="1"/>
        </w:numPr>
      </w:pPr>
      <w:r>
        <w:t xml:space="preserve">„Skutečnost, že daňový subjekt na základě vlastního rozhodnutí (byť správcem daně aprobovaného ve formě konkludentně vyměřené daně; § 46 odst. 5 ZSDP) nesprávně zdanil předmět daně, nemůže, s poukazem na zásadu zákazu dvojího zdanění, ve výsledku vyloučit možnost provést řádné zdanění v souladu se zákonem. V opačném případě by vyvstala situace, kdy by daňovým subjektem nesprávně zdaněný předmět daně vylučoval provedení zdanění v souladu se zákonem.</w:t>
      </w:r>
    </w:p>
    <w:p>
      <w:pPr>
        <w:pStyle w:val="Compact"/>
        <w:numPr>
          <w:numId w:val="1089"/>
          <w:ilvl w:val="0"/>
        </w:numPr>
      </w:pPr>
      <w:r>
        <w:t xml:space="preserve">Cena obvyklá</w:t>
      </w:r>
    </w:p>
    <w:p>
      <w:pPr>
        <w:pStyle w:val="Compact"/>
        <w:numPr>
          <w:numId w:val="1089"/>
          <w:ilvl w:val="0"/>
        </w:numPr>
      </w:pPr>
      <w:r>
        <w:t xml:space="preserve">7 Afs 110/2007 pokrač.II:</w:t>
      </w:r>
    </w:p>
    <w:p>
      <w:pPr>
        <w:pStyle w:val="Compact"/>
        <w:numPr>
          <w:numId w:val="1120"/>
          <w:ilvl w:val="1"/>
        </w:numPr>
      </w:pPr>
      <w:r>
        <w:t xml:space="preserve">Vzniklý stav, kdy jedna a tatáž hodnota byla zdaněna dvakrát - jednou bez právního důvodu a podruhé v souladu se zákonem, musí být jako neudržitelný napraven, a to cestou dodatečného daňového přiznání podle § 41 citovaného zákona nebo cestou obnovy řízení podle § 54 tohoto zákona; tato náprava je však možná jen v rámci řízení o daňové povinnosti, v němž byl předmět daně nesprávně zdaněn.“</w:t>
      </w:r>
    </w:p>
    <w:p>
      <w:pPr>
        <w:pStyle w:val="Heading3"/>
      </w:pPr>
      <w:bookmarkStart w:id="89" w:name="zneužití-práva"/>
      <w:bookmarkEnd w:id="89"/>
      <w:r>
        <w:t xml:space="preserve">Zneužití práva</w:t>
      </w:r>
    </w:p>
    <w:p>
      <w:pPr>
        <w:pStyle w:val="Compact"/>
        <w:numPr>
          <w:numId w:val="1121"/>
          <w:ilvl w:val="0"/>
        </w:numPr>
      </w:pPr>
      <w:r>
        <w:t xml:space="preserve">Zneužití práva</w:t>
      </w:r>
    </w:p>
    <w:p>
      <w:pPr>
        <w:pStyle w:val="Compact"/>
        <w:numPr>
          <w:numId w:val="1121"/>
          <w:ilvl w:val="0"/>
        </w:numPr>
      </w:pPr>
      <w:r>
        <w:t xml:space="preserve">Disimulace právního úkonu (§ 2 odst. 7 ZSDP, § 8 odst. 3 DŘ)</w:t>
      </w:r>
    </w:p>
    <w:p>
      <w:pPr>
        <w:pStyle w:val="Compact"/>
        <w:numPr>
          <w:numId w:val="1121"/>
          <w:ilvl w:val="0"/>
        </w:numPr>
      </w:pPr>
      <w:r>
        <w:t xml:space="preserve">Zneužití práva (§8 odst. 4 DŘ)</w:t>
      </w:r>
    </w:p>
    <w:p>
      <w:pPr>
        <w:numPr>
          <w:numId w:val="1121"/>
          <w:ilvl w:val="0"/>
        </w:numPr>
      </w:pPr>
      <w:r>
        <w:t xml:space="preserve">Obcházení zákona</w:t>
      </w:r>
    </w:p>
    <w:p>
      <w:pPr>
        <w:pStyle w:val="Compact"/>
        <w:numPr>
          <w:numId w:val="1121"/>
          <w:ilvl w:val="0"/>
        </w:numPr>
      </w:pPr>
      <w:r>
        <w:t xml:space="preserve">Disimulace</w:t>
      </w:r>
    </w:p>
    <w:p>
      <w:pPr>
        <w:pStyle w:val="Compact"/>
        <w:numPr>
          <w:numId w:val="1121"/>
          <w:ilvl w:val="0"/>
        </w:numPr>
      </w:pPr>
      <w:r>
        <w:t xml:space="preserve">§ 8 odst. 3 DŘ:</w:t>
      </w:r>
    </w:p>
    <w:p>
      <w:pPr>
        <w:pStyle w:val="Compact"/>
        <w:numPr>
          <w:numId w:val="1122"/>
          <w:ilvl w:val="1"/>
        </w:numPr>
      </w:pPr>
      <w:r>
        <w:t xml:space="preserve">„Správce daně vychází ze skutečného obsahu právního úkonu nebo jiné skutečnosti rozhodné pro správu daní.“</w:t>
      </w:r>
    </w:p>
    <w:p>
      <w:pPr>
        <w:pStyle w:val="Compact"/>
        <w:numPr>
          <w:numId w:val="1121"/>
          <w:ilvl w:val="0"/>
        </w:numPr>
      </w:pPr>
      <w:r>
        <w:t xml:space="preserve">disimulace</w:t>
      </w:r>
    </w:p>
    <w:p>
      <w:pPr>
        <w:pStyle w:val="Compact"/>
        <w:numPr>
          <w:numId w:val="1121"/>
          <w:ilvl w:val="0"/>
        </w:numPr>
      </w:pPr>
      <w:r>
        <w:t xml:space="preserve">NSS č. j. 7 Afs 72/2008 – 101 z 15. 1. 2009:</w:t>
      </w:r>
    </w:p>
    <w:p>
      <w:pPr>
        <w:pStyle w:val="Compact"/>
        <w:numPr>
          <w:numId w:val="1123"/>
          <w:ilvl w:val="1"/>
        </w:numPr>
      </w:pPr>
      <w:r>
        <w:t xml:space="preserve">„O zakrývání (dissimulaci) ve smyslu ustanovení § 2 odst. 7 ZSDP může jít jen tehdy, pokud účastníci předstírají (simulují) určitý právní úkon, ač jej nechtějí, a zastírají tím právní úkon jiný, který ve skutečnosti chtějí, popř. jím zastírají jinou právní skutečnost; zkoumání poměru mezi vůlí a projevem vůle účastníků právního vztahu je proto pro použití tohoto ustanovení určující. (…)</w:t>
      </w:r>
    </w:p>
    <w:p>
      <w:pPr>
        <w:pStyle w:val="Compact"/>
        <w:numPr>
          <w:numId w:val="1123"/>
          <w:ilvl w:val="1"/>
        </w:numPr>
      </w:pPr>
      <w:r>
        <w:t xml:space="preserve">Pouze za situace, kdy je dostatečně jasně prokázáno, že účastníci určitý právní úkon uzavřít nechtěli a zastřeli jím jiný právní úkon (právní skutečnost), který chtěli skutečně uzavřít – tedy je-li prokázána neshoda mezí vůlí a jejím projevem – přichází do úvahy aplikace ustanovení § 2 odst. 7 ZSDP.</w:t>
      </w:r>
    </w:p>
    <w:p>
      <w:pPr>
        <w:pStyle w:val="Compact"/>
        <w:numPr>
          <w:numId w:val="1121"/>
          <w:ilvl w:val="0"/>
        </w:numPr>
      </w:pPr>
      <w:r>
        <w:t xml:space="preserve">disimulace</w:t>
      </w:r>
    </w:p>
    <w:p>
      <w:pPr>
        <w:pStyle w:val="Compact"/>
        <w:numPr>
          <w:numId w:val="1121"/>
          <w:ilvl w:val="0"/>
        </w:numPr>
      </w:pPr>
      <w:r>
        <w:t xml:space="preserve">7 Afs 72/2008 – 101 – pokrač.:</w:t>
      </w:r>
    </w:p>
    <w:p>
      <w:pPr>
        <w:pStyle w:val="Compact"/>
        <w:numPr>
          <w:numId w:val="1124"/>
          <w:ilvl w:val="1"/>
        </w:numPr>
      </w:pPr>
      <w:r>
        <w:t xml:space="preserve">Správce daně až v takovém případě vychází z obsahu dissimulovaného právního úkonu (právní skutečnosti) rozhodného pro stanovení daňové povinnosti.</w:t>
      </w:r>
    </w:p>
    <w:p>
      <w:pPr>
        <w:pStyle w:val="Compact"/>
        <w:numPr>
          <w:numId w:val="1124"/>
          <w:ilvl w:val="1"/>
        </w:numPr>
      </w:pPr>
      <w:r>
        <w:t xml:space="preserve">Ustanovení § 2 odst. 7 ZSDP tak proto nemůže zcela logicky dopadat na případy, kdy projev a vůle jsou ve shodě, tedy na případy, kdy účastníci mají skutečný zájem učinit právní úkon, činí tak však z důvodu obcházení zákona.“</w:t>
      </w:r>
    </w:p>
    <w:p>
      <w:pPr>
        <w:pStyle w:val="Compact"/>
        <w:numPr>
          <w:numId w:val="1121"/>
          <w:ilvl w:val="0"/>
        </w:numPr>
      </w:pPr>
      <w:r>
        <w:t xml:space="preserve">disimulace II.</w:t>
      </w:r>
    </w:p>
    <w:p>
      <w:pPr>
        <w:pStyle w:val="Compact"/>
        <w:numPr>
          <w:numId w:val="1121"/>
          <w:ilvl w:val="0"/>
        </w:numPr>
      </w:pPr>
      <w:r>
        <w:t xml:space="preserve">NSS 8 Afs 31/2006‐59 ze dne 16. 8 2007</w:t>
      </w:r>
    </w:p>
    <w:p>
      <w:pPr>
        <w:pStyle w:val="Compact"/>
        <w:numPr>
          <w:numId w:val="1125"/>
          <w:ilvl w:val="1"/>
        </w:numPr>
      </w:pPr>
      <w:r>
        <w:t xml:space="preserve">„Pokud se finanční orgány domnívají, že formálně bezvadný právní úkon daňového subjektu je úkonem zastírajícím právní úkon jiný, je na nich, aby tuto skutečnost prokázaly.</w:t>
      </w:r>
    </w:p>
    <w:p>
      <w:pPr>
        <w:pStyle w:val="Compact"/>
        <w:numPr>
          <w:numId w:val="1125"/>
          <w:ilvl w:val="1"/>
        </w:numPr>
      </w:pPr>
      <w:r>
        <w:t xml:space="preserve">O takovou situaci se jedná pouze tehdy, pokud účastníci právního úkonu předstírají určitý úkon, ač jej nechtějí, a zastírají tím právní úkon, který ve skutečnosti chtějí, popřípadě jinou právní skutečnost.</w:t>
      </w:r>
    </w:p>
    <w:p>
      <w:pPr>
        <w:pStyle w:val="Compact"/>
        <w:numPr>
          <w:numId w:val="1125"/>
          <w:ilvl w:val="1"/>
        </w:numPr>
      </w:pPr>
      <w:r>
        <w:t xml:space="preserve">Jedná se tedy o rozpor mezi vůlí účastníků právního úkonu a jejím projevem, přičemž tato neshoda vůle a jejího projevu je u obou stran právního úkonu stejná a je vědomá.“</w:t>
      </w:r>
    </w:p>
    <w:p>
      <w:pPr>
        <w:pStyle w:val="Compact"/>
        <w:numPr>
          <w:numId w:val="1121"/>
          <w:ilvl w:val="0"/>
        </w:numPr>
      </w:pPr>
      <w:r>
        <w:t xml:space="preserve">disimulace II.</w:t>
      </w:r>
    </w:p>
    <w:p>
      <w:pPr>
        <w:pStyle w:val="Compact"/>
        <w:numPr>
          <w:numId w:val="1121"/>
          <w:ilvl w:val="0"/>
        </w:numPr>
      </w:pPr>
      <w:r>
        <w:t xml:space="preserve">8 Afs 31/2006-59 – pokrač.:</w:t>
      </w:r>
    </w:p>
    <w:p>
      <w:pPr>
        <w:pStyle w:val="Compact"/>
        <w:numPr>
          <w:numId w:val="1126"/>
          <w:ilvl w:val="1"/>
        </w:numPr>
      </w:pPr>
      <w:r>
        <w:t xml:space="preserve">O zastřený právní úkon se naopak nejedná, pokud daňový subjekt nečinil své právní úkony na oko, nepředstíral je a nesnažil se jimi zastřít právní úkony jiné, byť by i svými úkony obcházel zákon či práva zneužil. Povinností finančních orgánů je uvést nejen zjištěný, formálně právním úkonem zakrývaný skutečný stav, ale i přezkoumatelným způsobem uvést úvahy, které je k takovému závěru vedly, včetně označení a zhodnocení důkazů, o které svá zjištění opírají.“</w:t>
      </w:r>
    </w:p>
    <w:p>
      <w:pPr>
        <w:pStyle w:val="Compact"/>
        <w:numPr>
          <w:numId w:val="1121"/>
          <w:ilvl w:val="0"/>
        </w:numPr>
      </w:pPr>
      <w:r>
        <w:t xml:space="preserve">Zneužití práva – daňový řád</w:t>
      </w:r>
    </w:p>
    <w:p>
      <w:pPr>
        <w:pStyle w:val="Compact"/>
        <w:numPr>
          <w:numId w:val="1121"/>
          <w:ilvl w:val="0"/>
        </w:numPr>
      </w:pPr>
      <w:r>
        <w:t xml:space="preserve">Od 1. 4. 2019 novela §8 odst. 4 DŘ:</w:t>
      </w:r>
    </w:p>
    <w:p>
      <w:pPr>
        <w:pStyle w:val="Compact"/>
        <w:numPr>
          <w:numId w:val="1127"/>
          <w:ilvl w:val="1"/>
        </w:numPr>
      </w:pPr>
      <w:r>
        <w:t xml:space="preserve">„(4) 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21"/>
          <w:ilvl w:val="0"/>
        </w:numPr>
      </w:pPr>
      <w:r>
        <w:t xml:space="preserve">Zneužití práva – pojem, obcházení zákona</w:t>
      </w:r>
    </w:p>
    <w:p>
      <w:pPr>
        <w:pStyle w:val="Compact"/>
        <w:numPr>
          <w:numId w:val="1121"/>
          <w:ilvl w:val="0"/>
        </w:numPr>
      </w:pPr>
      <w:r>
        <w:t xml:space="preserve">„Zneužití práva jako chování zdánlivě dovolené, jímž má být dosaženo výsledku nedovoleného.</w:t>
      </w:r>
    </w:p>
    <w:p>
      <w:pPr>
        <w:pStyle w:val="Compact"/>
        <w:numPr>
          <w:numId w:val="1121"/>
          <w:ilvl w:val="0"/>
        </w:numPr>
      </w:pPr>
      <w:r>
        <w:t xml:space="preserve">O chování toliko zdánlivě dovolené jde z toho důvodu, že objektivní právo nezná chování zároveň dovolené a zároveň nedovolené; ze zásady lex specialis derogat generali vyplývá, že zákaz zneužití práva je silnější, než dovolení dané právem.</w:t>
      </w:r>
    </w:p>
    <w:p>
      <w:pPr>
        <w:numPr>
          <w:numId w:val="1121"/>
          <w:ilvl w:val="0"/>
        </w:numPr>
      </w:pPr>
      <w:r>
        <w:t xml:space="preserve">Obcházení zákona – podobný pojem – někdo se chová podle právní normy, ale tak, aby záměrně dosáhl výsledku právní normou nepředvídaného a nežádoucího. (KNAPP, Viktor. Teorie práva).</w:t>
      </w:r>
    </w:p>
    <w:p>
      <w:pPr>
        <w:pStyle w:val="Compact"/>
        <w:numPr>
          <w:numId w:val="1121"/>
          <w:ilvl w:val="0"/>
        </w:numPr>
      </w:pPr>
      <w:r>
        <w:t xml:space="preserve">Zneužití práva – daně v maximální výši?</w:t>
      </w:r>
    </w:p>
    <w:p>
      <w:pPr>
        <w:numPr>
          <w:numId w:val="1121"/>
          <w:ilvl w:val="0"/>
        </w:numPr>
      </w:pPr>
      <w:r>
        <w:t xml:space="preserve">V daňové oblasti v obecné rovině platí, že neexistuje žádná povinnost podnikat takovým způsobem, aby se zvýšil daňový příjem státu. Daňoví poplatníci si mohou uspořádat svoje podnikání tak, aby si snížili svou daňovou povinnost. (NSS 5 Afs 75/2011 – 57 12. prosince 2012 - DS ale stejně prohrál)</w:t>
      </w:r>
    </w:p>
    <w:p>
      <w:pPr>
        <w:pStyle w:val="Compact"/>
        <w:numPr>
          <w:numId w:val="1121"/>
          <w:ilvl w:val="0"/>
        </w:numPr>
      </w:pPr>
      <w:r>
        <w:t xml:space="preserve">Zneužití práva – kritéria - Halifax</w:t>
      </w:r>
    </w:p>
    <w:p>
      <w:pPr>
        <w:pStyle w:val="Compact"/>
        <w:numPr>
          <w:numId w:val="1121"/>
          <w:ilvl w:val="0"/>
        </w:numPr>
      </w:pPr>
      <w:r>
        <w:t xml:space="preserve">ESD C‐255/02 Halifax ze dne 21. 2. 2006</w:t>
      </w:r>
    </w:p>
    <w:p>
      <w:pPr>
        <w:pStyle w:val="Compact"/>
        <w:numPr>
          <w:numId w:val="1129"/>
          <w:ilvl w:val="2"/>
        </w:numPr>
      </w:pPr>
      <w:r>
        <w:t xml:space="preserve">výsledkem dotčených plnění přes formální použití podmínek stanovených relevantními ustanoveními šesté směrnice (resp. směrnice 2006/112) a vnitrostátních předpisů provádějících tuto směrnici bylo získání daňového zvýhodnění, jehož poskytnutí by bylo v rozporu s cílem sledovaným těmito ustanoveními a</w:t>
      </w:r>
    </w:p>
    <w:p>
      <w:pPr>
        <w:pStyle w:val="Compact"/>
        <w:numPr>
          <w:numId w:val="1130"/>
          <w:ilvl w:val="2"/>
        </w:numPr>
      </w:pPr>
      <w:r>
        <w:t xml:space="preserve">ze všech objektivních okolností musí vyplývat, že hlavním účelem dotčených plnění je získání daňového zvýhodnění.</w:t>
      </w:r>
    </w:p>
    <w:p>
      <w:pPr>
        <w:pStyle w:val="Compact"/>
        <w:numPr>
          <w:numId w:val="1121"/>
          <w:ilvl w:val="0"/>
        </w:numPr>
      </w:pPr>
      <w:r>
        <w:t xml:space="preserve">Zneužití práva - kritéria</w:t>
      </w:r>
    </w:p>
    <w:p>
      <w:pPr>
        <w:pStyle w:val="Compact"/>
        <w:numPr>
          <w:numId w:val="1121"/>
          <w:ilvl w:val="0"/>
        </w:numPr>
      </w:pPr>
      <w:r>
        <w:t xml:space="preserve">Halifax – pokrač.:</w:t>
      </w:r>
    </w:p>
    <w:p>
      <w:pPr>
        <w:pStyle w:val="Compact"/>
        <w:numPr>
          <w:numId w:val="1131"/>
          <w:ilvl w:val="1"/>
        </w:numPr>
      </w:pPr>
      <w:r>
        <w:t xml:space="preserve">Zákaz zneužití přitom není relevantní, pokud dotčená plnění mohou mít jiné odůvodnění než pouhé dosažení daňových zvýhodnění vůči daňovým orgánům.</w:t>
      </w:r>
    </w:p>
    <w:p>
      <w:pPr>
        <w:pStyle w:val="Heading2"/>
      </w:pPr>
      <w:bookmarkStart w:id="90" w:name="pojem-švarcsystému-a-problémy-s-ním-spojené"/>
      <w:bookmarkEnd w:id="90"/>
      <w:r>
        <w:t xml:space="preserve">10. Pojem „švarcsystému“ a problémy s ním spojené</w:t>
      </w:r>
    </w:p>
    <w:p>
      <w:pPr>
        <w:pStyle w:val="Heading3"/>
      </w:pPr>
      <w:bookmarkStart w:id="91" w:name="švarcsystém"/>
      <w:bookmarkEnd w:id="91"/>
      <w:r>
        <w:t xml:space="preserve">Švarcsystém</w:t>
      </w:r>
    </w:p>
    <w:p>
      <w:pPr>
        <w:pStyle w:val="Compact"/>
        <w:numPr>
          <w:numId w:val="1132"/>
          <w:ilvl w:val="0"/>
        </w:numPr>
      </w:pPr>
      <w:r>
        <w:t xml:space="preserve">Vymezení švarcsystému</w:t>
      </w:r>
    </w:p>
    <w:p>
      <w:pPr>
        <w:numPr>
          <w:numId w:val="1132"/>
          <w:ilvl w:val="0"/>
        </w:numPr>
      </w:pPr>
      <w:r>
        <w:t xml:space="preserve">Dva subjekty uzavřou obchodní smlouvu, přičemž příslušné úřady mají podezření, že jde o obcházení či zastírání pracovněprávního vztahu nebo o zneužití práva.</w:t>
      </w:r>
    </w:p>
    <w:p>
      <w:pPr>
        <w:pStyle w:val="Compact"/>
        <w:numPr>
          <w:numId w:val="1132"/>
          <w:ilvl w:val="0"/>
        </w:numPr>
      </w:pPr>
      <w:r>
        <w:t xml:space="preserve">Švarcsystém a související problematika</w:t>
      </w:r>
    </w:p>
    <w:p>
      <w:pPr>
        <w:pStyle w:val="Compact"/>
        <w:numPr>
          <w:numId w:val="1132"/>
          <w:ilvl w:val="0"/>
        </w:numPr>
      </w:pPr>
      <w:r>
        <w:t xml:space="preserve">Švarcsystém a zákon o zaměstnanosti</w:t>
      </w:r>
    </w:p>
    <w:p>
      <w:pPr>
        <w:pStyle w:val="Compact"/>
        <w:numPr>
          <w:numId w:val="1132"/>
          <w:ilvl w:val="0"/>
        </w:numPr>
      </w:pPr>
      <w:r>
        <w:t xml:space="preserve">Švarcystém v daních</w:t>
      </w:r>
    </w:p>
    <w:p>
      <w:pPr>
        <w:pStyle w:val="Compact"/>
        <w:numPr>
          <w:numId w:val="1132"/>
          <w:ilvl w:val="0"/>
        </w:numPr>
      </w:pPr>
      <w:r>
        <w:t xml:space="preserve">definice závislé činnosti</w:t>
      </w:r>
    </w:p>
    <w:p>
      <w:pPr>
        <w:pStyle w:val="Compact"/>
        <w:numPr>
          <w:numId w:val="1132"/>
          <w:ilvl w:val="0"/>
        </w:numPr>
      </w:pPr>
      <w:r>
        <w:t xml:space="preserve">disimulace právního úkonu x zneužití práva</w:t>
      </w:r>
    </w:p>
    <w:p>
      <w:pPr>
        <w:pStyle w:val="Compact"/>
        <w:numPr>
          <w:numId w:val="1132"/>
          <w:ilvl w:val="0"/>
        </w:numPr>
      </w:pPr>
      <w:r>
        <w:t xml:space="preserve">smluvní volnost</w:t>
      </w:r>
    </w:p>
    <w:p>
      <w:pPr>
        <w:pStyle w:val="Compact"/>
        <w:numPr>
          <w:numId w:val="1132"/>
          <w:ilvl w:val="0"/>
        </w:numPr>
      </w:pPr>
      <w:r>
        <w:t xml:space="preserve">dvojí zdanění jednoho příjmu</w:t>
      </w:r>
    </w:p>
    <w:p>
      <w:pPr>
        <w:pStyle w:val="Compact"/>
        <w:numPr>
          <w:numId w:val="1132"/>
          <w:ilvl w:val="0"/>
        </w:numPr>
      </w:pPr>
      <w:r>
        <w:t xml:space="preserve">fakturace členů a jednatelů korporace</w:t>
      </w:r>
    </w:p>
    <w:p>
      <w:pPr>
        <w:pStyle w:val="Compact"/>
        <w:numPr>
          <w:numId w:val="1132"/>
          <w:ilvl w:val="0"/>
        </w:numPr>
      </w:pPr>
      <w:r>
        <w:t xml:space="preserve">fakturace mezi manžely</w:t>
      </w:r>
    </w:p>
    <w:p>
      <w:pPr>
        <w:pStyle w:val="Compact"/>
        <w:numPr>
          <w:numId w:val="1132"/>
          <w:ilvl w:val="0"/>
        </w:numPr>
      </w:pPr>
      <w:r>
        <w:t xml:space="preserve">Švarcsystém mimo vztahy s úřady</w:t>
      </w:r>
    </w:p>
    <w:p>
      <w:pPr>
        <w:numPr>
          <w:numId w:val="1132"/>
          <w:ilvl w:val="0"/>
        </w:numPr>
      </w:pPr>
      <w:r>
        <w:t xml:space="preserve">Budoucnost švarcsystému</w:t>
      </w:r>
    </w:p>
    <w:p>
      <w:pPr>
        <w:pStyle w:val="Compact"/>
        <w:numPr>
          <w:numId w:val="1132"/>
          <w:ilvl w:val="0"/>
        </w:numPr>
      </w:pPr>
      <w:r>
        <w:t xml:space="preserve">Švarcsystém a zákon o zaměstnanosti</w:t>
      </w:r>
    </w:p>
    <w:p>
      <w:pPr>
        <w:pStyle w:val="Compact"/>
        <w:numPr>
          <w:numId w:val="1132"/>
          <w:ilvl w:val="0"/>
        </w:numPr>
      </w:pPr>
      <w:r>
        <w:t xml:space="preserve">č. 435/2004 Sb., o zaměstnanosti - §5 písm. e) nelegální práce (kromě cizinců):</w:t>
      </w:r>
    </w:p>
    <w:p>
      <w:pPr>
        <w:pStyle w:val="Compact"/>
        <w:numPr>
          <w:numId w:val="1132"/>
          <w:ilvl w:val="0"/>
        </w:numPr>
      </w:pPr>
      <w:r>
        <w:t xml:space="preserve">výkon závislé práce fyzickou osobou mimo pracovněprávní vztah.</w:t>
      </w:r>
    </w:p>
    <w:p>
      <w:pPr>
        <w:pStyle w:val="Compact"/>
        <w:numPr>
          <w:numId w:val="1133"/>
          <w:ilvl w:val="1"/>
        </w:numPr>
      </w:pPr>
      <w:r>
        <w:t xml:space="preserve">Závislá práce je pak definována v zákoníku práce jako práce, která je vykonávána (všechny podmínky najednou):</w:t>
      </w:r>
    </w:p>
    <w:p>
      <w:pPr>
        <w:pStyle w:val="Compact"/>
        <w:numPr>
          <w:numId w:val="1133"/>
          <w:ilvl w:val="1"/>
        </w:numPr>
      </w:pPr>
      <w:r>
        <w:t xml:space="preserve">ve vztahu nadřízenosti zaměstnavatele a podřízenosti zaměstnance,</w:t>
      </w:r>
    </w:p>
    <w:p>
      <w:pPr>
        <w:pStyle w:val="Compact"/>
        <w:numPr>
          <w:numId w:val="1133"/>
          <w:ilvl w:val="1"/>
        </w:numPr>
      </w:pPr>
      <w:r>
        <w:t xml:space="preserve">jménem zaměstnavatele,</w:t>
      </w:r>
    </w:p>
    <w:p>
      <w:pPr>
        <w:pStyle w:val="Compact"/>
        <w:numPr>
          <w:numId w:val="1133"/>
          <w:ilvl w:val="1"/>
        </w:numPr>
      </w:pPr>
      <w:r>
        <w:t xml:space="preserve">podle pokynů zaměstnavatele,</w:t>
      </w:r>
    </w:p>
    <w:p>
      <w:pPr>
        <w:pStyle w:val="Compact"/>
        <w:numPr>
          <w:numId w:val="1133"/>
          <w:ilvl w:val="1"/>
        </w:numPr>
      </w:pPr>
      <w:r>
        <w:t xml:space="preserve">a zaměstnanec ji pro zaměstnavatele vykonává osobně.</w:t>
      </w:r>
    </w:p>
    <w:p>
      <w:pPr>
        <w:pStyle w:val="Compact"/>
        <w:numPr>
          <w:numId w:val="1132"/>
          <w:ilvl w:val="0"/>
        </w:numPr>
      </w:pPr>
      <w:r>
        <w:t xml:space="preserve">Švarcsystém a zákon o zaměstnanosti</w:t>
      </w:r>
    </w:p>
    <w:p>
      <w:pPr>
        <w:pStyle w:val="Compact"/>
        <w:numPr>
          <w:numId w:val="1132"/>
          <w:ilvl w:val="0"/>
        </w:numPr>
      </w:pPr>
      <w:r>
        <w:t xml:space="preserve">Závislá práce pak musí být vykonávána za mzdu, plat nebo odměnu za práci, na náklady a odpovědnost zaměstnavatele, v pracovní době na pracovišti zaměstnavatele, popřípadě na jiném dohodnutém místě.</w:t>
      </w:r>
    </w:p>
    <w:p>
      <w:pPr>
        <w:numPr>
          <w:numId w:val="1132"/>
          <w:ilvl w:val="0"/>
        </w:numPr>
      </w:pPr>
      <w:r>
        <w:t xml:space="preserve">Základními pracovněprávními vztahy jsou pracovní poměr a právní vztahy založené dohodami o pracích konaných mimo pracovní poměr (dohoda o pracovní činnosti a dohoda o provedení práce).</w:t>
      </w:r>
    </w:p>
    <w:p>
      <w:pPr>
        <w:pStyle w:val="Compact"/>
        <w:numPr>
          <w:numId w:val="1132"/>
          <w:ilvl w:val="0"/>
        </w:numPr>
      </w:pPr>
      <w:r>
        <w:t xml:space="preserve">Švarcsystém a zákon o zaměstnanosti</w:t>
      </w:r>
    </w:p>
    <w:p>
      <w:pPr>
        <w:pStyle w:val="Compact"/>
        <w:numPr>
          <w:numId w:val="1134"/>
          <w:ilvl w:val="1"/>
        </w:numPr>
      </w:pPr>
      <w:r>
        <w:t xml:space="preserve">fyzická osoba – nepodnikatel – pokuta za přestupek do výše 5 mil. Kč (spodní hranice není stanovena),</w:t>
      </w:r>
    </w:p>
    <w:p>
      <w:pPr>
        <w:pStyle w:val="Compact"/>
        <w:numPr>
          <w:numId w:val="1135"/>
          <w:ilvl w:val="1"/>
        </w:numPr>
      </w:pPr>
      <w:r>
        <w:t xml:space="preserve">fyzická osoba – podnikatel či právnická osoba – pokutu do výše 10 mil. Kč (spodní hranice 50 000)</w:t>
      </w:r>
    </w:p>
    <w:p>
      <w:pPr>
        <w:pStyle w:val="Compact"/>
        <w:numPr>
          <w:numId w:val="1136"/>
          <w:ilvl w:val="1"/>
        </w:numPr>
      </w:pPr>
      <w:r>
        <w:t xml:space="preserve">fyzická osoba vykonávající nelegální práci (tedy myšlena jako „zaměstnanec“) – hrozí udělení pokuty do Kč 100 000, spodní hranice není stanovena + bude vyřazen krajskou pobočkou Úřadu práce z evidence uchazečů o zaměstnání.</w:t>
      </w:r>
    </w:p>
    <w:p>
      <w:pPr>
        <w:pStyle w:val="Compact"/>
        <w:numPr>
          <w:numId w:val="1132"/>
          <w:ilvl w:val="0"/>
        </w:numPr>
      </w:pPr>
      <w:r>
        <w:t xml:space="preserve">Švarcsystém a zákon o zaměstnanosti</w:t>
      </w:r>
    </w:p>
    <w:p>
      <w:pPr>
        <w:pStyle w:val="Compact"/>
        <w:numPr>
          <w:numId w:val="1132"/>
          <w:ilvl w:val="0"/>
        </w:numPr>
      </w:pPr>
      <w:r>
        <w:t xml:space="preserve">nález pléna Ústavního soudu Pl. ÚS 52/13 ze dne 9. 9. 2014</w:t>
      </w:r>
    </w:p>
    <w:p>
      <w:pPr>
        <w:pStyle w:val="Compact"/>
        <w:numPr>
          <w:numId w:val="1137"/>
          <w:ilvl w:val="1"/>
        </w:numPr>
      </w:pPr>
      <w:r>
        <w:t xml:space="preserve">Ústavně nepřípustné jsou přitom takové pokuty, jež mají likvidační charakter, čímž se rozumí i takové případy, v nichž pokuta natolik přesáhne možné výnosy z podnikání, že se podnikatelská činnost v podstatě stává bezúčelnou (tj. směřující pouze k úhradě uložené pokuty).</w:t>
      </w:r>
    </w:p>
    <w:p>
      <w:pPr>
        <w:pStyle w:val="Compact"/>
        <w:numPr>
          <w:numId w:val="1132"/>
          <w:ilvl w:val="0"/>
        </w:numPr>
      </w:pPr>
      <w:r>
        <w:t xml:space="preserve">Švarcsystém a daň z příjmů</w:t>
      </w:r>
    </w:p>
    <w:p>
      <w:pPr>
        <w:pStyle w:val="Compact"/>
        <w:numPr>
          <w:numId w:val="1132"/>
          <w:ilvl w:val="0"/>
        </w:numPr>
      </w:pPr>
      <w:r>
        <w:t xml:space="preserve">§ 6 odst. 1, písm. a) bod 1 zákona o daních z příjmů:</w:t>
      </w:r>
    </w:p>
    <w:p>
      <w:pPr>
        <w:pStyle w:val="Compact"/>
        <w:numPr>
          <w:numId w:val="1138"/>
          <w:ilvl w:val="1"/>
        </w:numPr>
      </w:pPr>
      <w:r>
        <w:t xml:space="preserve">„</w:t>
      </w:r>
      <w:r>
        <w:rPr>
          <w:i/>
        </w:rPr>
        <w:t xml:space="preserve">Příjmy ze závislé činnosti jsou plnění v podobě příjmu ze současného nebo dřívějšího pracovněprávního, služebního nebo členského poměru a obdobného poměru, v nichž poplatník při výkonu práce pro plátce příjmu je povinen dbát příkazů plátce</w:t>
      </w:r>
      <w:r>
        <w:t xml:space="preserve">“.</w:t>
      </w:r>
    </w:p>
    <w:p>
      <w:pPr>
        <w:pStyle w:val="Compact"/>
        <w:numPr>
          <w:numId w:val="1132"/>
          <w:ilvl w:val="0"/>
        </w:numPr>
      </w:pPr>
      <w:r>
        <w:t xml:space="preserve">Vztah zákona o zaměstnanosti a zákona o daních z příjmů</w:t>
      </w:r>
    </w:p>
    <w:p>
      <w:pPr>
        <w:pStyle w:val="Compact"/>
        <w:numPr>
          <w:numId w:val="1132"/>
          <w:ilvl w:val="0"/>
        </w:numPr>
      </w:pPr>
      <w:r>
        <w:t xml:space="preserve">NSS 5 Afs 61/2012:</w:t>
      </w:r>
    </w:p>
    <w:p>
      <w:pPr>
        <w:pStyle w:val="Compact"/>
        <w:numPr>
          <w:numId w:val="1139"/>
          <w:ilvl w:val="1"/>
        </w:numPr>
      </w:pPr>
      <w:r>
        <w:t xml:space="preserve">„</w:t>
      </w:r>
      <w:r>
        <w:rPr>
          <w:i/>
        </w:rPr>
        <w:t xml:space="preserve">Eventuální porušení zákona o zaměstnanosti nemůže mít samo o sobě vliv na posouzení, zda jsou předmětné smluvní vztahy zastřenými právními úkony z hlediska daně z příjmů ze závislé činnosti.</w:t>
      </w:r>
      <w:r>
        <w:t xml:space="preserve">“</w:t>
      </w:r>
    </w:p>
    <w:p>
      <w:pPr>
        <w:pStyle w:val="Compact"/>
        <w:numPr>
          <w:numId w:val="1132"/>
          <w:ilvl w:val="0"/>
        </w:numPr>
      </w:pPr>
      <w:r>
        <w:t xml:space="preserve">Švarcsystém a daň z příjmů</w:t>
      </w:r>
    </w:p>
    <w:p>
      <w:pPr>
        <w:pStyle w:val="Compact"/>
        <w:numPr>
          <w:numId w:val="1132"/>
          <w:ilvl w:val="0"/>
        </w:numPr>
      </w:pPr>
      <w:r>
        <w:t xml:space="preserve">Pokyn D 285 MF</w:t>
      </w:r>
    </w:p>
    <w:p>
      <w:pPr>
        <w:pStyle w:val="Compact"/>
        <w:numPr>
          <w:numId w:val="1140"/>
          <w:ilvl w:val="1"/>
        </w:numPr>
      </w:pPr>
      <w:r>
        <w:t xml:space="preserve">Zákonné vymezení prostřednictvím pouhého plnění příkazů plátce, se totiž ukázalo a ukazuje jako nedostačující</w:t>
      </w:r>
    </w:p>
    <w:p>
      <w:pPr>
        <w:pStyle w:val="Compact"/>
        <w:numPr>
          <w:numId w:val="1140"/>
          <w:ilvl w:val="1"/>
        </w:numPr>
      </w:pPr>
      <w:r>
        <w:t xml:space="preserve">nezbytné stanovit materiální kritéria</w:t>
      </w:r>
    </w:p>
    <w:p>
      <w:pPr>
        <w:pStyle w:val="Compact"/>
        <w:numPr>
          <w:numId w:val="1132"/>
          <w:ilvl w:val="0"/>
        </w:numPr>
      </w:pPr>
      <w:r>
        <w:t xml:space="preserve">Švarcsystém a daň z příjmů</w:t>
      </w:r>
    </w:p>
    <w:p>
      <w:pPr>
        <w:pStyle w:val="Compact"/>
        <w:numPr>
          <w:numId w:val="1132"/>
          <w:ilvl w:val="0"/>
        </w:numPr>
      </w:pPr>
      <w:r>
        <w:t xml:space="preserve">Pokyn D 285 MF – pokrač.:</w:t>
      </w:r>
    </w:p>
    <w:p>
      <w:pPr>
        <w:pStyle w:val="Compact"/>
        <w:numPr>
          <w:numId w:val="1141"/>
          <w:ilvl w:val="1"/>
        </w:numPr>
      </w:pPr>
      <w:r>
        <w:t xml:space="preserve">plátce příjmu přímo či nepřímo ukládá úkoly, řídí a kontroluje fyzickou osobu a nese odpovědnost související s její činností, fyzická osoba má ve vztahu k plátci příjmu obdobné postavení jako zaměstnanec,</w:t>
      </w:r>
    </w:p>
    <w:p>
      <w:pPr>
        <w:pStyle w:val="Compact"/>
        <w:numPr>
          <w:numId w:val="1141"/>
          <w:ilvl w:val="1"/>
        </w:numPr>
      </w:pPr>
      <w:r>
        <w:t xml:space="preserve">odměna za práci je vypočítána na základě délky pracovní doby nebo obdobným způsobem běžným při odměňování osoby v pracovněprávním vztahu, materiál, pracovní pomůcky, stroje a zařízení potřebné pro výkon činnosti jsou fyzické osobě poskytovány plátcem příjmu,</w:t>
      </w:r>
    </w:p>
    <w:p>
      <w:pPr>
        <w:pStyle w:val="Compact"/>
        <w:numPr>
          <w:numId w:val="1132"/>
          <w:ilvl w:val="0"/>
        </w:numPr>
      </w:pPr>
      <w:r>
        <w:t xml:space="preserve">Švarcsystém a daň z příjmů</w:t>
      </w:r>
    </w:p>
    <w:p>
      <w:pPr>
        <w:pStyle w:val="Compact"/>
        <w:numPr>
          <w:numId w:val="1132"/>
          <w:ilvl w:val="0"/>
        </w:numPr>
      </w:pPr>
      <w:r>
        <w:t xml:space="preserve">Pokyn D 285 MF – pokrač. II:</w:t>
      </w:r>
    </w:p>
    <w:p>
      <w:pPr>
        <w:pStyle w:val="Compact"/>
        <w:numPr>
          <w:numId w:val="1142"/>
          <w:ilvl w:val="1"/>
        </w:numPr>
      </w:pPr>
      <w:r>
        <w:t xml:space="preserve">vztah mezi plátcem příjmu a fyzickou osobou je dlouhodobý anebo soustavný, resp. fyzická osoba vykonává činnost dlouhodobě pouze pro jednoho plátce příjmu, a to osobně nebo prostřednictvím spolupracující osoby ve smyslu § 13 zákona o daních z příjmu</w:t>
      </w:r>
    </w:p>
    <w:p>
      <w:pPr>
        <w:pStyle w:val="Compact"/>
        <w:numPr>
          <w:numId w:val="1132"/>
          <w:ilvl w:val="0"/>
        </w:numPr>
      </w:pPr>
      <w:r>
        <w:t xml:space="preserve">Švarcsystém a daň z příjmů – druhy činnosti</w:t>
      </w:r>
    </w:p>
    <w:p>
      <w:pPr>
        <w:pStyle w:val="Compact"/>
        <w:numPr>
          <w:numId w:val="1132"/>
          <w:ilvl w:val="0"/>
        </w:numPr>
      </w:pPr>
      <w:r>
        <w:t xml:space="preserve">NSS 6 Afs 85/2014</w:t>
      </w:r>
    </w:p>
    <w:p>
      <w:pPr>
        <w:pStyle w:val="Compact"/>
        <w:numPr>
          <w:numId w:val="1144"/>
          <w:ilvl w:val="2"/>
        </w:numPr>
      </w:pPr>
      <w:r>
        <w:t xml:space="preserve">činnosti provozovatelné výlučně jako nezávislá činnost, ať již kvůli zákonné úpravě (např. soudní exekutor, notář) či z povahy věci (s ohledem na rozsah, druh činnosti, např. komplexní výrobní činnosti, určité typy obchodní činnosti, velká realitní kancelář aj.),</w:t>
      </w:r>
    </w:p>
    <w:p>
      <w:pPr>
        <w:pStyle w:val="Compact"/>
        <w:numPr>
          <w:numId w:val="1145"/>
          <w:ilvl w:val="2"/>
        </w:numPr>
      </w:pPr>
      <w:r>
        <w:t xml:space="preserve">činnosti ryze závislé (např. pokladní supermarketu).</w:t>
      </w:r>
    </w:p>
    <w:p>
      <w:pPr>
        <w:pStyle w:val="Compact"/>
        <w:numPr>
          <w:numId w:val="1132"/>
          <w:ilvl w:val="0"/>
        </w:numPr>
      </w:pPr>
      <w:r>
        <w:t xml:space="preserve">Švarcsystém a daň z příjmů – druhy činnosti</w:t>
      </w:r>
    </w:p>
    <w:p>
      <w:pPr>
        <w:pStyle w:val="Compact"/>
        <w:numPr>
          <w:numId w:val="1146"/>
          <w:ilvl w:val="1"/>
        </w:numPr>
      </w:pPr>
      <w:r>
        <w:t xml:space="preserve">činnosti „obojetné“ povahy (drtivá většina menších živnostníků jako zedník, instalatér; svobodná povolání, asistenční činnosti; nejrůznější služby jako účetní, kadeřník atd.),</w:t>
      </w:r>
    </w:p>
    <w:p>
      <w:pPr>
        <w:numPr>
          <w:numId w:val="1132"/>
          <w:ilvl w:val="0"/>
        </w:numPr>
      </w:pPr>
      <w:r>
        <w:t xml:space="preserve">Nejednoznačné spory se pochopitelně z povahy věci vedou zejména o „obojetnou“ kategorii.</w:t>
      </w:r>
    </w:p>
    <w:p>
      <w:pPr>
        <w:pStyle w:val="Compact"/>
        <w:numPr>
          <w:numId w:val="1132"/>
          <w:ilvl w:val="0"/>
        </w:numPr>
      </w:pPr>
      <w:r>
        <w:t xml:space="preserve">Zneužití práva - švarcsystém</w:t>
      </w:r>
    </w:p>
    <w:p>
      <w:pPr>
        <w:pStyle w:val="Compact"/>
        <w:numPr>
          <w:numId w:val="1132"/>
          <w:ilvl w:val="0"/>
        </w:numPr>
      </w:pPr>
      <w:r>
        <w:t xml:space="preserve">NSS č. j. 7 Afs 72/2008 – 101 z 15. 1. 2009:</w:t>
      </w:r>
    </w:p>
    <w:p>
      <w:pPr>
        <w:pStyle w:val="Compact"/>
        <w:numPr>
          <w:numId w:val="1147"/>
          <w:ilvl w:val="1"/>
        </w:numPr>
      </w:pPr>
      <w:r>
        <w:t xml:space="preserve">Pokud se smluvní strany rozhodnou, v souladu s obecnými principy (smluvní svoboda, dobrá víra, nezneužívání ekonomicky silnějšího postavení apod.) do právního vztahu vstoupit se všemi důsledky z toho plynoucími a dojde k jeho skutečné realizaci, nejedná se o právní úkon zastřený. Jinak by tomu ovšem bylo, pokud by stěžovatel např. přiměl k uzavření smluv o dílo druhou smluvní stranu za pomoci ekonomického nátlaku, zneužívaje jejich faktické ekonomické závislosti, a přiměl je tak uzavřít takovou smlouvu, kterou ve skutečnosti neměli zájem uzavřít.</w:t>
      </w:r>
    </w:p>
    <w:p>
      <w:pPr>
        <w:pStyle w:val="Compact"/>
        <w:numPr>
          <w:numId w:val="1132"/>
          <w:ilvl w:val="0"/>
        </w:numPr>
      </w:pPr>
      <w:r>
        <w:t xml:space="preserve">Zneužití práva – švarcsystém I.</w:t>
      </w:r>
    </w:p>
    <w:p>
      <w:pPr>
        <w:pStyle w:val="Compact"/>
        <w:numPr>
          <w:numId w:val="1132"/>
          <w:ilvl w:val="0"/>
        </w:numPr>
      </w:pPr>
      <w:r>
        <w:t xml:space="preserve">7 Afs 72/2008 – 101 – pokrač.:</w:t>
      </w:r>
    </w:p>
    <w:p>
      <w:pPr>
        <w:pStyle w:val="Compact"/>
        <w:numPr>
          <w:numId w:val="1148"/>
          <w:ilvl w:val="1"/>
        </w:numPr>
      </w:pPr>
      <w:r>
        <w:t xml:space="preserve">V daném případě nedošlo ani ke zneužití práva. Snaha o minimalizaci nákladů a maximalizaci zisku realizovaná tím, že podnikatel zajišťuje specifické činnosti na základě smluv o dílo uzavřených s reálně ekonomicky samostatnými, i když z hlediska objemu tržeb a vlastního kapitálu nepoměrně slabšími zhotoviteli, je racionálním, nikoho nepoškozujícím, a tedy i právem dovoleným chování.</w:t>
      </w:r>
    </w:p>
    <w:p>
      <w:pPr>
        <w:pStyle w:val="Compact"/>
        <w:numPr>
          <w:numId w:val="1132"/>
          <w:ilvl w:val="0"/>
        </w:numPr>
      </w:pPr>
      <w:r>
        <w:t xml:space="preserve">Zneužití práva – švarcsystém I.</w:t>
      </w:r>
    </w:p>
    <w:p>
      <w:pPr>
        <w:pStyle w:val="Compact"/>
        <w:numPr>
          <w:numId w:val="1132"/>
          <w:ilvl w:val="0"/>
        </w:numPr>
      </w:pPr>
      <w:r>
        <w:t xml:space="preserve">7 Afs 72/2008 – 101 – pokrač. II.:</w:t>
      </w:r>
    </w:p>
    <w:p>
      <w:pPr>
        <w:pStyle w:val="Compact"/>
        <w:numPr>
          <w:numId w:val="1149"/>
          <w:ilvl w:val="1"/>
        </w:numPr>
      </w:pPr>
      <w:r>
        <w:t xml:space="preserve">Aby mohla být činnost považována za závislou, musí být vztah podřízenosti založen přímo, tj. obsahem dvoustranného právního vztahu. V uvedených smluvních vztazích nebyla koordinace a kontrola provádění díla zhotoviteli stěžovatelem prováděna z titulu nadřízeného postavení smluvních stran.</w:t>
      </w:r>
    </w:p>
    <w:p>
      <w:pPr>
        <w:pStyle w:val="Compact"/>
        <w:numPr>
          <w:numId w:val="1132"/>
          <w:ilvl w:val="0"/>
        </w:numPr>
      </w:pPr>
      <w:r>
        <w:t xml:space="preserve">Zneužití práva – švarcsystém II.</w:t>
      </w:r>
    </w:p>
    <w:p>
      <w:pPr>
        <w:pStyle w:val="Compact"/>
        <w:numPr>
          <w:numId w:val="1132"/>
          <w:ilvl w:val="0"/>
        </w:numPr>
      </w:pPr>
      <w:r>
        <w:t xml:space="preserve">NSS 2 Afs 173/2005-69 z 27. 7. 2006</w:t>
      </w:r>
    </w:p>
    <w:p>
      <w:pPr>
        <w:pStyle w:val="Compact"/>
        <w:numPr>
          <w:numId w:val="1150"/>
          <w:ilvl w:val="1"/>
        </w:numPr>
      </w:pPr>
      <w:r>
        <w:t xml:space="preserve">Smluvní partneři (bývalí zaměstnanci) pracovali s vlastními pracovními prostředky (např. motorové pily, motyčky, vidle, kosy, ochranné pomůcky), na svoje náklady pořizovali benzín, olej apod. Samostatně se též dopravovali na místo, kde bylo dílo prováděno. Sami si zajišťovali školení potřebné k výkonu své profese.</w:t>
      </w:r>
    </w:p>
    <w:p>
      <w:pPr>
        <w:pStyle w:val="Compact"/>
        <w:numPr>
          <w:numId w:val="1150"/>
          <w:ilvl w:val="1"/>
        </w:numPr>
      </w:pPr>
      <w:r>
        <w:t xml:space="preserve">To, že se jedná o vztah trvající povahy, ještě neznamená, že se nutně musí jednat o závislou činnost.</w:t>
      </w:r>
    </w:p>
    <w:p>
      <w:pPr>
        <w:pStyle w:val="Compact"/>
        <w:numPr>
          <w:numId w:val="1132"/>
          <w:ilvl w:val="0"/>
        </w:numPr>
      </w:pPr>
      <w:r>
        <w:t xml:space="preserve">Zneužití práva – švarcsystém II.</w:t>
      </w:r>
    </w:p>
    <w:p>
      <w:pPr>
        <w:pStyle w:val="Compact"/>
        <w:numPr>
          <w:numId w:val="1132"/>
          <w:ilvl w:val="0"/>
        </w:numPr>
      </w:pPr>
      <w:r>
        <w:t xml:space="preserve">NSS 2 Afs 173/2005-69 – pokrač.:</w:t>
      </w:r>
    </w:p>
    <w:p>
      <w:pPr>
        <w:pStyle w:val="Compact"/>
        <w:numPr>
          <w:numId w:val="1151"/>
          <w:ilvl w:val="1"/>
        </w:numPr>
      </w:pPr>
      <w:r>
        <w:t xml:space="preserve">koordinace a kontrola provádění díla smluvních partnerů jednateli prováděna z titulu nadřízeného postavení těchto osob</w:t>
      </w:r>
    </w:p>
    <w:p>
      <w:pPr>
        <w:pStyle w:val="Compact"/>
        <w:numPr>
          <w:numId w:val="1151"/>
          <w:ilvl w:val="1"/>
        </w:numPr>
      </w:pPr>
      <w:r>
        <w:t xml:space="preserve">dílem může být provedení těžebních činností byť i na jediném stromu a je možné dílčí části díla upřesnit ústně na místě,</w:t>
      </w:r>
    </w:p>
    <w:p>
      <w:pPr>
        <w:pStyle w:val="Compact"/>
        <w:numPr>
          <w:numId w:val="1151"/>
          <w:ilvl w:val="1"/>
        </w:numPr>
      </w:pPr>
      <w:r>
        <w:t xml:space="preserve">cenu za provedení díla či jeho částí je možno určit podle odpracovaných hodin,</w:t>
      </w:r>
    </w:p>
    <w:p>
      <w:pPr>
        <w:pStyle w:val="Compact"/>
        <w:numPr>
          <w:numId w:val="1132"/>
          <w:ilvl w:val="0"/>
        </w:numPr>
      </w:pPr>
      <w:r>
        <w:t xml:space="preserve">Zneužití práva – švarcsystém II.</w:t>
      </w:r>
    </w:p>
    <w:p>
      <w:pPr>
        <w:pStyle w:val="Compact"/>
        <w:numPr>
          <w:numId w:val="1132"/>
          <w:ilvl w:val="0"/>
        </w:numPr>
      </w:pPr>
      <w:r>
        <w:t xml:space="preserve">NSS 2 Afs 173/2005-69 – pokrač. II.:</w:t>
      </w:r>
    </w:p>
    <w:p>
      <w:pPr>
        <w:pStyle w:val="Compact"/>
        <w:numPr>
          <w:numId w:val="1152"/>
          <w:ilvl w:val="1"/>
        </w:numPr>
      </w:pPr>
      <w:r>
        <w:t xml:space="preserve">Racionálním ekonomickým chováním podnikatele je i snaha o minimalizaci nákladů a maximalizaci zisku. Přirozeným projevem tohoto chování je i snaha o optimalizaci povinností vůči státu</w:t>
      </w:r>
    </w:p>
    <w:p>
      <w:pPr>
        <w:pStyle w:val="Compact"/>
        <w:numPr>
          <w:numId w:val="1152"/>
          <w:ilvl w:val="1"/>
        </w:numPr>
      </w:pPr>
      <w:r>
        <w:t xml:space="preserve">Případné porušení zákona o zaměstnanosti nemůže mít vliv na daňové posuzování</w:t>
      </w:r>
    </w:p>
    <w:p>
      <w:pPr>
        <w:pStyle w:val="Compact"/>
        <w:numPr>
          <w:numId w:val="1152"/>
          <w:ilvl w:val="1"/>
        </w:numPr>
      </w:pPr>
      <w:r>
        <w:t xml:space="preserve">Ke zneužití práva zde tedy nedošlo</w:t>
      </w:r>
    </w:p>
    <w:p>
      <w:pPr>
        <w:pStyle w:val="Compact"/>
        <w:numPr>
          <w:numId w:val="1132"/>
          <w:ilvl w:val="0"/>
        </w:numPr>
      </w:pPr>
      <w:r>
        <w:t xml:space="preserve">Zneužití práva – judikatura - OSVČ pracující vedle zaměstnanců</w:t>
      </w:r>
    </w:p>
    <w:p>
      <w:pPr>
        <w:pStyle w:val="Compact"/>
        <w:numPr>
          <w:numId w:val="1132"/>
          <w:ilvl w:val="0"/>
        </w:numPr>
      </w:pPr>
      <w:r>
        <w:t xml:space="preserve">NSS 5 Afs 65/2010 – 138 ze dne 30. září 2011 (Sbírka NSS 2/2012 č. 2488/2012)</w:t>
      </w:r>
    </w:p>
    <w:p>
      <w:pPr>
        <w:pStyle w:val="Compact"/>
        <w:numPr>
          <w:numId w:val="1153"/>
          <w:ilvl w:val="1"/>
        </w:numPr>
      </w:pPr>
      <w:r>
        <w:t xml:space="preserve">„Nejedná-li se o zneužití daňového práva, nelze náklady vynaložené v souvislosti s výrobou produktů, jejichž prodej je hlavním zdrojem zdanitelných příjmů daňového subjektu, vyloučit z daňově uznatelných výdajů podle § 24 zákona č. 586/1992 Sb., o daních z příjmů, jen z toho důvodu, že se na této výrobě podílely vedle zaměstnanců daňového subjektu také osoby samostatně výdělečně činné.“</w:t>
      </w:r>
    </w:p>
    <w:p>
      <w:pPr>
        <w:pStyle w:val="Compact"/>
        <w:numPr>
          <w:numId w:val="1132"/>
          <w:ilvl w:val="0"/>
        </w:numPr>
      </w:pPr>
      <w:r>
        <w:t xml:space="preserve">Dvojí zdanění jednoho příjmu</w:t>
      </w:r>
    </w:p>
    <w:p>
      <w:pPr>
        <w:pStyle w:val="Compact"/>
        <w:numPr>
          <w:numId w:val="1132"/>
          <w:ilvl w:val="0"/>
        </w:numPr>
      </w:pPr>
      <w:r>
        <w:t xml:space="preserve">Příjem zdanila FO ve svém daňovém přiznání</w:t>
      </w:r>
    </w:p>
    <w:p>
      <w:pPr>
        <w:pStyle w:val="Compact"/>
        <w:numPr>
          <w:numId w:val="1132"/>
          <w:ilvl w:val="0"/>
        </w:numPr>
      </w:pPr>
      <w:r>
        <w:t xml:space="preserve">Kontrola doměřila zaměstnavateli švarcsystém</w:t>
      </w:r>
    </w:p>
    <w:p>
      <w:pPr>
        <w:pStyle w:val="Compact"/>
        <w:numPr>
          <w:numId w:val="1132"/>
          <w:ilvl w:val="0"/>
        </w:numPr>
      </w:pPr>
      <w:r>
        <w:t xml:space="preserve">Daň tedy zaplacena 2 x</w:t>
      </w:r>
    </w:p>
    <w:p>
      <w:pPr>
        <w:numPr>
          <w:numId w:val="1132"/>
          <w:ilvl w:val="0"/>
        </w:numPr>
      </w:pPr>
      <w:r>
        <w:t xml:space="preserve">Dá se řešit dodatečným DP fyzickou osobou</w:t>
      </w:r>
    </w:p>
    <w:p>
      <w:pPr>
        <w:pStyle w:val="Compact"/>
        <w:numPr>
          <w:numId w:val="1132"/>
          <w:ilvl w:val="0"/>
        </w:numPr>
      </w:pPr>
      <w:r>
        <w:t xml:space="preserve">Švarcsystém – shrnutí zákl. kritérií</w:t>
      </w:r>
    </w:p>
    <w:p>
      <w:pPr>
        <w:numPr>
          <w:numId w:val="1132"/>
          <w:ilvl w:val="0"/>
        </w:numPr>
      </w:pPr>
      <w:r>
        <w:t xml:space="preserve">Formální znaky závislé práce (pro posouzení závislosti poskytované činnosti nejsou rozhodné formální znaky vztahu mezi poskytovatelem a příjemcem práce, tzn. smluvní typ podle soukromého práva)</w:t>
      </w:r>
    </w:p>
    <w:p>
      <w:pPr>
        <w:pStyle w:val="Compact"/>
        <w:numPr>
          <w:numId w:val="1132"/>
          <w:ilvl w:val="0"/>
        </w:numPr>
      </w:pPr>
      <w:r>
        <w:t xml:space="preserve">Švarcsystém – shrnutí zákl. kritérií II.</w:t>
      </w:r>
    </w:p>
    <w:p>
      <w:pPr>
        <w:pStyle w:val="Compact"/>
        <w:numPr>
          <w:numId w:val="1132"/>
          <w:ilvl w:val="0"/>
        </w:numPr>
      </w:pPr>
      <w:r>
        <w:t xml:space="preserve">Materiální kritéria závislé činnosti</w:t>
      </w:r>
    </w:p>
    <w:p>
      <w:pPr>
        <w:pStyle w:val="Compact"/>
        <w:numPr>
          <w:numId w:val="1154"/>
          <w:ilvl w:val="1"/>
        </w:numPr>
      </w:pPr>
      <w:r>
        <w:t xml:space="preserve">typicky práce vykonávaná na jednom místě výhradně pro jednoho zaměstnavatele</w:t>
      </w:r>
    </w:p>
    <w:p>
      <w:pPr>
        <w:pStyle w:val="Compact"/>
        <w:numPr>
          <w:numId w:val="1154"/>
          <w:ilvl w:val="1"/>
        </w:numPr>
      </w:pPr>
      <w:r>
        <w:t xml:space="preserve">činnost dlouhodobá</w:t>
      </w:r>
    </w:p>
    <w:p>
      <w:pPr>
        <w:pStyle w:val="Compact"/>
        <w:numPr>
          <w:numId w:val="1154"/>
          <w:ilvl w:val="1"/>
        </w:numPr>
      </w:pPr>
      <w:r>
        <w:t xml:space="preserve">a pokud k uzavření pracovněprávního vztahu mělo dojít především v zájmu osoby tuto činnost vykonávající, jejíž právní sféru neuzavření tohoto vztahu v konečném důsledku poškozuje.</w:t>
      </w:r>
    </w:p>
    <w:p>
      <w:pPr>
        <w:pStyle w:val="Compact"/>
        <w:numPr>
          <w:numId w:val="1132"/>
          <w:ilvl w:val="0"/>
        </w:numPr>
      </w:pPr>
      <w:r>
        <w:t xml:space="preserve">Švarcsystém – shrnutí zákl. kritérií III.</w:t>
      </w:r>
    </w:p>
    <w:p>
      <w:pPr>
        <w:pStyle w:val="Compact"/>
        <w:numPr>
          <w:numId w:val="1132"/>
          <w:ilvl w:val="0"/>
        </w:numPr>
      </w:pPr>
      <w:r>
        <w:t xml:space="preserve">o závislou činnost zpravidla nejde:</w:t>
      </w:r>
    </w:p>
    <w:p>
      <w:pPr>
        <w:pStyle w:val="Compact"/>
        <w:numPr>
          <w:numId w:val="1155"/>
          <w:ilvl w:val="1"/>
        </w:numPr>
      </w:pPr>
      <w:r>
        <w:t xml:space="preserve">jedná-li se o specializovanou činnost vykonávanou pouze krátkodobě či nesoustavně,</w:t>
      </w:r>
    </w:p>
    <w:p>
      <w:pPr>
        <w:pStyle w:val="Compact"/>
        <w:numPr>
          <w:numId w:val="1155"/>
          <w:ilvl w:val="1"/>
        </w:numPr>
      </w:pPr>
      <w:r>
        <w:t xml:space="preserve">jejíž výkon je podmíněn faktory do značné míry nezávislými na vůli zadavatele (např. sezónní práce, práce závislé na počasí, práce podmíněné realizací jednorázově získané zakázky apod.).</w:t>
      </w:r>
    </w:p>
    <w:p>
      <w:pPr>
        <w:pStyle w:val="Compact"/>
        <w:numPr>
          <w:numId w:val="1132"/>
          <w:ilvl w:val="0"/>
        </w:numPr>
      </w:pPr>
      <w:r>
        <w:t xml:space="preserve">Švarcsystém – shrnutí zákl. kritérií IV.</w:t>
      </w:r>
    </w:p>
    <w:p>
      <w:pPr>
        <w:pStyle w:val="Compact"/>
        <w:numPr>
          <w:numId w:val="1132"/>
          <w:ilvl w:val="0"/>
        </w:numPr>
      </w:pPr>
      <w:r>
        <w:t xml:space="preserve">Délka trvání vztahu, pracovní doba</w:t>
      </w:r>
    </w:p>
    <w:p>
      <w:pPr>
        <w:pStyle w:val="Compact"/>
        <w:numPr>
          <w:numId w:val="1156"/>
          <w:ilvl w:val="1"/>
        </w:numPr>
      </w:pPr>
      <w:r>
        <w:t xml:space="preserve">To, že se jedná o vztah trvající povahy, ještě neznamená, že se nutně musí jednat o závislou činnost</w:t>
      </w:r>
    </w:p>
    <w:p>
      <w:pPr>
        <w:pStyle w:val="Compact"/>
        <w:numPr>
          <w:numId w:val="1156"/>
          <w:ilvl w:val="1"/>
        </w:numPr>
      </w:pPr>
      <w:r>
        <w:t xml:space="preserve">malý podnikatel, který nemá zaměstnance, má velmi podobný fond pracovní doby, respektive fond své podnikatelské činnosti, kterou má k dispozici zaměstnanec</w:t>
      </w:r>
    </w:p>
    <w:p>
      <w:pPr>
        <w:pStyle w:val="Compact"/>
        <w:numPr>
          <w:numId w:val="1156"/>
          <w:ilvl w:val="1"/>
        </w:numPr>
      </w:pPr>
      <w:r>
        <w:t xml:space="preserve">Není nutně na závadu ani fakturace podle hodin</w:t>
      </w:r>
    </w:p>
    <w:p>
      <w:pPr>
        <w:pStyle w:val="Compact"/>
        <w:numPr>
          <w:numId w:val="1132"/>
          <w:ilvl w:val="0"/>
        </w:numPr>
      </w:pPr>
      <w:r>
        <w:t xml:space="preserve">Švarcsystém – shrnutí zákl. kritérií V.</w:t>
      </w:r>
    </w:p>
    <w:p>
      <w:pPr>
        <w:pStyle w:val="Compact"/>
        <w:numPr>
          <w:numId w:val="1132"/>
          <w:ilvl w:val="0"/>
        </w:numPr>
      </w:pPr>
      <w:r>
        <w:t xml:space="preserve">Ekonomický nátlak, smluvní svoboda</w:t>
      </w:r>
    </w:p>
    <w:p>
      <w:pPr>
        <w:pStyle w:val="Compact"/>
        <w:numPr>
          <w:numId w:val="1157"/>
          <w:ilvl w:val="1"/>
        </w:numPr>
      </w:pPr>
      <w:r>
        <w:t xml:space="preserve">Nepřípustné, pokud by např. smlouva o dílo byla uzavřena pomocí ekonomického nátlaku, zneužívaje faktické ekonomické závislosti jedné smluvní strany na druhé, a uzavření takové smlouvy, kterou ve skutečnosti neměli zájem uzavřít.</w:t>
      </w:r>
    </w:p>
    <w:p>
      <w:pPr>
        <w:pStyle w:val="Compact"/>
        <w:numPr>
          <w:numId w:val="1132"/>
          <w:ilvl w:val="0"/>
        </w:numPr>
      </w:pPr>
      <w:r>
        <w:t xml:space="preserve">Švarcsystém – shrnutí zákl. kritérií VI.</w:t>
      </w:r>
    </w:p>
    <w:p>
      <w:pPr>
        <w:numPr>
          <w:numId w:val="1132"/>
          <w:ilvl w:val="0"/>
        </w:numPr>
      </w:pPr>
      <w:r>
        <w:t xml:space="preserve">Důležitým faktorem je i materiální samostatnost (vlastní nářadí, materiál, kancelář, automobil, hrazení si nákladů na školení atd. – nemusí být splněno vše najednou)</w:t>
      </w:r>
    </w:p>
    <w:p>
      <w:pPr>
        <w:pStyle w:val="Compact"/>
        <w:numPr>
          <w:numId w:val="1132"/>
          <w:ilvl w:val="0"/>
        </w:numPr>
      </w:pPr>
      <w:r>
        <w:t xml:space="preserve">Švarcsystém – shrnutí zákl. kritérií VII.</w:t>
      </w:r>
    </w:p>
    <w:p>
      <w:pPr>
        <w:pStyle w:val="Compact"/>
        <w:numPr>
          <w:numId w:val="1132"/>
          <w:ilvl w:val="0"/>
        </w:numPr>
      </w:pPr>
      <w:r>
        <w:t xml:space="preserve">ustanovení § 2 odst. 3 zákona č. 262/2006 Sb., zákoník práce - závislá práce - nadřízenost zaměstnavatele a podřízenosti zaměstnance:</w:t>
      </w:r>
    </w:p>
    <w:p>
      <w:pPr>
        <w:pStyle w:val="Compact"/>
        <w:numPr>
          <w:numId w:val="1132"/>
          <w:ilvl w:val="0"/>
        </w:numPr>
      </w:pPr>
      <w:r>
        <w:t xml:space="preserve">výlučně osobní výkon práce zaměstnance pro zaměstnavatele, podle pokynů zaměstnavatele, jeho jménem, za mzdu, plat nebo odměnu za práci, v pracovní době nebo jinak stanovené nebo dohodnuté době na pracovišti zaměstnavatele, popřípadě na jiném dohodnutém místě, na náklady zaměstnavatele a na jeho odpovědnost.</w:t>
      </w:r>
    </w:p>
    <w:p>
      <w:pPr>
        <w:numPr>
          <w:numId w:val="1132"/>
          <w:ilvl w:val="0"/>
        </w:numPr>
      </w:pPr>
      <w:r>
        <w:t xml:space="preserve">§ 3 ZP - závislá práce může být vykonávána výlučně v pracovněprávním vztahu podle tohoto zákona, není-li upravena zvláštními právními předpisy.</w:t>
      </w:r>
    </w:p>
    <w:p>
      <w:pPr>
        <w:pStyle w:val="Compact"/>
        <w:numPr>
          <w:numId w:val="1132"/>
          <w:ilvl w:val="0"/>
        </w:numPr>
      </w:pPr>
      <w:r>
        <w:t xml:space="preserve">Švarcsystém – shrnutí zákl. kritérií VIII.</w:t>
      </w:r>
    </w:p>
    <w:p>
      <w:pPr>
        <w:numPr>
          <w:numId w:val="1132"/>
          <w:ilvl w:val="0"/>
        </w:numPr>
      </w:pPr>
      <w:r>
        <w:t xml:space="preserve">Mezí přípustnosti přijímání práce mimo závislou činnost je tak zejména kombinace „podezřelých“ činností (typicky závislých dělnických činností) a ekonomického nátlaku na slabší stranu (typická situace přechodu pracovních vztahů s dřívějšími zaměstnanci na jiné formy poskytování práce).</w:t>
      </w:r>
    </w:p>
    <w:p>
      <w:pPr>
        <w:pStyle w:val="Compact"/>
        <w:numPr>
          <w:numId w:val="1132"/>
          <w:ilvl w:val="0"/>
        </w:numPr>
      </w:pPr>
      <w:r>
        <w:t xml:space="preserve">Švarcsystém u společníků a jednatelů</w:t>
      </w:r>
    </w:p>
    <w:p>
      <w:pPr>
        <w:pStyle w:val="Compact"/>
        <w:numPr>
          <w:numId w:val="1132"/>
          <w:ilvl w:val="0"/>
        </w:numPr>
      </w:pPr>
      <w:r>
        <w:t xml:space="preserve">§ 6 odst. 1 písm. b) do příjmů ze závislé činnosti zařazuje: příjmy za práci</w:t>
      </w:r>
    </w:p>
    <w:p>
      <w:pPr>
        <w:pStyle w:val="Compact"/>
        <w:numPr>
          <w:numId w:val="1158"/>
          <w:ilvl w:val="1"/>
        </w:numPr>
      </w:pPr>
      <w:r>
        <w:t xml:space="preserve">člena družstva,</w:t>
      </w:r>
    </w:p>
    <w:p>
      <w:pPr>
        <w:pStyle w:val="Compact"/>
        <w:numPr>
          <w:numId w:val="1158"/>
          <w:ilvl w:val="1"/>
        </w:numPr>
      </w:pPr>
      <w:r>
        <w:t xml:space="preserve">společníka společnosti s ručením omezeným,</w:t>
      </w:r>
    </w:p>
    <w:p>
      <w:pPr>
        <w:pStyle w:val="Compact"/>
        <w:numPr>
          <w:numId w:val="1158"/>
          <w:ilvl w:val="1"/>
        </w:numPr>
      </w:pPr>
      <w:r>
        <w:t xml:space="preserve">komanditisty komanditní společnosti.</w:t>
      </w:r>
    </w:p>
    <w:p>
      <w:pPr>
        <w:numPr>
          <w:numId w:val="1132"/>
          <w:ilvl w:val="0"/>
        </w:numPr>
      </w:pPr>
      <w:r>
        <w:t xml:space="preserve">Podle písm. c) téhož ustanovení pak i odměny člena orgánu právnické osoby (zde se již nehovoří ani o nutnosti pracovat).</w:t>
      </w:r>
    </w:p>
    <w:p>
      <w:pPr>
        <w:pStyle w:val="Compact"/>
        <w:numPr>
          <w:numId w:val="1132"/>
          <w:ilvl w:val="0"/>
        </w:numPr>
      </w:pPr>
      <w:r>
        <w:t xml:space="preserve">Švarcsystém u společníků a jednatelů</w:t>
      </w:r>
    </w:p>
    <w:p>
      <w:pPr>
        <w:pStyle w:val="Compact"/>
        <w:numPr>
          <w:numId w:val="1132"/>
          <w:ilvl w:val="0"/>
        </w:numPr>
      </w:pPr>
      <w:r>
        <w:t xml:space="preserve">zákaz konkurence (§432 nového občanského zákoníku):</w:t>
      </w:r>
    </w:p>
    <w:p>
      <w:pPr>
        <w:numPr>
          <w:numId w:val="1132"/>
          <w:ilvl w:val="0"/>
        </w:numPr>
      </w:pPr>
      <w:r>
        <w:t xml:space="preserve">„Osoba, která vystupuje jako podnikatelův zástupce při provozu obchodního závodu, nesmí bez souhlasu podnikatele činit na vlastní nebo cizí účet nic, co spadá do oboru obchodního závodu. Stane-li se tak, může se podnikatel domáhat, aby se jeho zástupce takového jednání zdržel.“ Může též požadovat náhradu škody apod.</w:t>
      </w:r>
    </w:p>
    <w:p>
      <w:pPr>
        <w:pStyle w:val="Compact"/>
        <w:numPr>
          <w:numId w:val="1132"/>
          <w:ilvl w:val="0"/>
        </w:numPr>
      </w:pPr>
      <w:r>
        <w:t xml:space="preserve">Švarcsystém u společníků a jednatelů</w:t>
      </w:r>
    </w:p>
    <w:p>
      <w:pPr>
        <w:pStyle w:val="Compact"/>
        <w:numPr>
          <w:numId w:val="1132"/>
          <w:ilvl w:val="0"/>
        </w:numPr>
      </w:pPr>
      <w:r>
        <w:t xml:space="preserve">Příklad NSS 6 Afs 9/2003 + IV. ÚS 385/04 advokát:</w:t>
      </w:r>
    </w:p>
    <w:p>
      <w:pPr>
        <w:pStyle w:val="Compact"/>
        <w:numPr>
          <w:numId w:val="1159"/>
          <w:ilvl w:val="1"/>
        </w:numPr>
      </w:pPr>
      <w:r>
        <w:t xml:space="preserve">Společník společnosti – advokát, vykonával pro svoji společnost práce, které jí fakturoval. Práce byly vykonávány v prostorách společnosti a s použitím jejích prostředků (telefon, fax apod.). Jeho činnost byla finančními orgány posouzena jako příjem ze závislé činnosti, to potvrdil i NSS a ÚS</w:t>
      </w:r>
    </w:p>
    <w:p>
      <w:pPr>
        <w:pStyle w:val="Compact"/>
        <w:numPr>
          <w:numId w:val="1159"/>
          <w:ilvl w:val="1"/>
        </w:numPr>
      </w:pPr>
      <w:r>
        <w:t xml:space="preserve">Na druhé straně ale ÚS konstatoval, že překvalifikování na závislou činnost není ve všech případech automatické - jinak by zřejmě bylo třeba hodnotit situaci, pokud by advokát - ač společník - vykonával pro společnost právní služby na základě mandátní smlouvy, aniž by byl při výkonu této činnosti úzce propojen s obchodní společností.</w:t>
      </w:r>
    </w:p>
    <w:p>
      <w:pPr>
        <w:pStyle w:val="Compact"/>
        <w:numPr>
          <w:numId w:val="1132"/>
          <w:ilvl w:val="0"/>
        </w:numPr>
      </w:pPr>
      <w:r>
        <w:t xml:space="preserve">Švarcsystém u společníků a jednatelů</w:t>
      </w:r>
    </w:p>
    <w:p>
      <w:pPr>
        <w:pStyle w:val="Compact"/>
        <w:numPr>
          <w:numId w:val="1132"/>
          <w:ilvl w:val="0"/>
        </w:numPr>
      </w:pPr>
      <w:r>
        <w:t xml:space="preserve">NSS 2 Afs 4/2005</w:t>
      </w:r>
    </w:p>
    <w:p>
      <w:pPr>
        <w:pStyle w:val="Compact"/>
        <w:numPr>
          <w:numId w:val="1160"/>
          <w:ilvl w:val="1"/>
        </w:numPr>
      </w:pPr>
      <w:r>
        <w:t xml:space="preserve">Pokud společníky a jednateli auditorské obchodní společnosti byli za účinnosti zákona ČNR č. 524/1992 Sb., o auditorech a Komoře auditorů České republiky, auditoři s oprávněním podle tohoto zákona, představovaly částky jim vyplacené za auditorskou činnost příjem ze závislé činnosti podle ustanovení § 6 odst. 1 písm. b) zákona ČNR č. 586/1992 Sb., o daních z příjmů.“</w:t>
      </w:r>
    </w:p>
    <w:p>
      <w:pPr>
        <w:pStyle w:val="Compact"/>
        <w:numPr>
          <w:numId w:val="1132"/>
          <w:ilvl w:val="0"/>
        </w:numPr>
      </w:pPr>
      <w:r>
        <w:t xml:space="preserve">Švarcsystém u společníků a jednatelů</w:t>
      </w:r>
    </w:p>
    <w:p>
      <w:pPr>
        <w:pStyle w:val="Compact"/>
        <w:numPr>
          <w:numId w:val="1132"/>
          <w:ilvl w:val="0"/>
        </w:numPr>
      </w:pPr>
      <w:r>
        <w:t xml:space="preserve">NSS 2 Afs 22/2005 Autobazar a příprava vozidel k prodeji prováděná firmou společníka</w:t>
      </w:r>
    </w:p>
    <w:p>
      <w:pPr>
        <w:numPr>
          <w:numId w:val="1132"/>
          <w:ilvl w:val="0"/>
        </w:numPr>
      </w:pPr>
      <w:r>
        <w:t xml:space="preserve">činnost společníka a jednatele s.r.o., byla vyhodnocena jako jiná činnost než je předmět činnosti s.r.o. a byla vykonávána v provozovnách a prostřednictvím zaměstnanců společníka (nikoli tedy v provozovnách či prostřednictvím zaměstnanců s.r.o.).</w:t>
      </w:r>
    </w:p>
    <w:p>
      <w:pPr>
        <w:pStyle w:val="Compact"/>
        <w:numPr>
          <w:numId w:val="1132"/>
          <w:ilvl w:val="0"/>
        </w:numPr>
      </w:pPr>
      <w:r>
        <w:t xml:space="preserve">Švarcsystém u společníků a jednatelů</w:t>
      </w:r>
    </w:p>
    <w:p>
      <w:pPr>
        <w:pStyle w:val="Compact"/>
        <w:numPr>
          <w:numId w:val="1132"/>
          <w:ilvl w:val="0"/>
        </w:numPr>
      </w:pPr>
      <w:r>
        <w:t xml:space="preserve">NSS 2 Afs 24/2010</w:t>
      </w:r>
    </w:p>
    <w:p>
      <w:pPr>
        <w:pStyle w:val="Compact"/>
        <w:numPr>
          <w:numId w:val="1161"/>
          <w:ilvl w:val="1"/>
        </w:numPr>
      </w:pPr>
      <w:r>
        <w:t xml:space="preserve">„Pokud společník a jednatel společnosti poskytuje společnosti služby prostřednictvím své živnosti s odlišným předmětem činnosti, kterou provozuje v samostatných provozovnách, vlastními pracovníky a na vlastní náklady, není cena společností jemu zaplacená příjmem ze závislé činnosti ve smyslu § 6 odst. 1 písm. b) zákona č. 586/1992 Sb., o daních z příjmů“</w:t>
      </w:r>
    </w:p>
    <w:p>
      <w:pPr>
        <w:pStyle w:val="Heading3"/>
      </w:pPr>
      <w:bookmarkStart w:id="92" w:name="fakturace-mezi-manžely"/>
      <w:bookmarkEnd w:id="92"/>
      <w:r>
        <w:t xml:space="preserve">Fakturace mezi manžely</w:t>
      </w:r>
    </w:p>
    <w:p>
      <w:pPr>
        <w:pStyle w:val="Compact"/>
        <w:numPr>
          <w:numId w:val="1162"/>
          <w:ilvl w:val="0"/>
        </w:numPr>
      </w:pPr>
      <w:r>
        <w:t xml:space="preserve">Fakturace mezi manžely</w:t>
      </w:r>
    </w:p>
    <w:p>
      <w:pPr>
        <w:pStyle w:val="Compact"/>
        <w:numPr>
          <w:numId w:val="1162"/>
          <w:ilvl w:val="0"/>
        </w:numPr>
      </w:pPr>
      <w:r>
        <w:t xml:space="preserve">Společné jmění manželů a fakturace mezi nimi v případě, že jeden z manželů nepodniká (podle rozsudku Nejvyššího správního soudu ze dne 27. 10. 2004, čj. 5 Afs 21/2003-66, zveřejněno ve Sbírce rozhodnutí Nejvyššího správního soudu 9/2006 pod č. 935/2006) Veškeré úvahy a závěry o neuznání výdaje vedl soud teprve poté, co vyloučil, že by mezi manžely šlo v daném případě o podnikatelský vztah. (Přitom obecnou možnost existenci podnikatelského vztahu mezi manžely nevyloučil!)</w:t>
      </w:r>
    </w:p>
    <w:p>
      <w:pPr>
        <w:numPr>
          <w:numId w:val="1162"/>
          <w:ilvl w:val="0"/>
        </w:numPr>
      </w:pPr>
      <w:r>
        <w:t xml:space="preserve">Manželka připravovala pro manžela účetní doklady a vyfakturovala mu tuto práci.</w:t>
      </w:r>
    </w:p>
    <w:p>
      <w:pPr>
        <w:pStyle w:val="Compact"/>
        <w:numPr>
          <w:numId w:val="1162"/>
          <w:ilvl w:val="0"/>
        </w:numPr>
      </w:pPr>
      <w:r>
        <w:t xml:space="preserve">Fakturace mezi manžely</w:t>
      </w:r>
    </w:p>
    <w:p>
      <w:pPr>
        <w:pStyle w:val="Compact"/>
        <w:numPr>
          <w:numId w:val="1162"/>
          <w:ilvl w:val="0"/>
        </w:numPr>
      </w:pPr>
      <w:r>
        <w:t xml:space="preserve">5 Afs 21/2003-66 pokrač.:</w:t>
      </w:r>
    </w:p>
    <w:p>
      <w:pPr>
        <w:pStyle w:val="Compact"/>
        <w:numPr>
          <w:numId w:val="1163"/>
          <w:ilvl w:val="1"/>
        </w:numPr>
      </w:pPr>
      <w:r>
        <w:t xml:space="preserve">Zveřejněné právní věty:</w:t>
      </w:r>
    </w:p>
    <w:p>
      <w:pPr>
        <w:pStyle w:val="Compact"/>
        <w:numPr>
          <w:numId w:val="1163"/>
          <w:ilvl w:val="1"/>
        </w:numPr>
      </w:pPr>
      <w:r>
        <w:t xml:space="preserve">I. Jestliže daňový subjekt netvrdil, že smlouvou upravil rozsah společného jmění manželů ve smyslu § 143a a § 144 občanského zákoníku, ani takovou smlouvu nedoložil, musí správce daně za součást společného jmění manželů považovat i prostředky daňového subjektu určené k podnikání. V důsledku toho nemohlo dojít k plnění ze smlouvy o dílo uzavřené mezi daňovým subjektem a jeho manželkou.</w:t>
      </w:r>
    </w:p>
    <w:p>
      <w:pPr>
        <w:pStyle w:val="Compact"/>
        <w:numPr>
          <w:numId w:val="1162"/>
          <w:ilvl w:val="0"/>
        </w:numPr>
      </w:pPr>
      <w:r>
        <w:t xml:space="preserve">Fakturace mezi manžely</w:t>
      </w:r>
    </w:p>
    <w:p>
      <w:pPr>
        <w:pStyle w:val="Compact"/>
        <w:numPr>
          <w:numId w:val="1162"/>
          <w:ilvl w:val="0"/>
        </w:numPr>
      </w:pPr>
      <w:r>
        <w:t xml:space="preserve">NSS 5 Afs 21/2003-66 pokrač. II:</w:t>
      </w:r>
    </w:p>
    <w:p>
      <w:pPr>
        <w:pStyle w:val="Compact"/>
        <w:numPr>
          <w:numId w:val="1164"/>
          <w:ilvl w:val="1"/>
        </w:numPr>
      </w:pPr>
      <w:r>
        <w:t xml:space="preserve">V případě, kdy daňový subjekt nerozdělí své příjmy z podnikání nebo z jiné samostatné činnosti dle § 13 zákona ČNR č. 586/1992 Sb., o daních z příjmů, je správce daně oprávněn zkoumat, zda výdaj daňového subjektu, tj. částka uhrazená na základě účetního dokladu manželce daňového subjektu za provedené práce (služby), není výdajem na osobní potřebu poplatníka [§ 25 odst. 1 písm. u) citovaného zákona].</w:t>
      </w:r>
    </w:p>
    <w:p>
      <w:pPr>
        <w:pStyle w:val="Compact"/>
        <w:numPr>
          <w:numId w:val="1162"/>
          <w:ilvl w:val="0"/>
        </w:numPr>
      </w:pPr>
      <w:r>
        <w:t xml:space="preserve">Fakturace mezi manžely</w:t>
      </w:r>
    </w:p>
    <w:p>
      <w:pPr>
        <w:pStyle w:val="Compact"/>
        <w:numPr>
          <w:numId w:val="1162"/>
          <w:ilvl w:val="0"/>
        </w:numPr>
      </w:pPr>
      <w:r>
        <w:t xml:space="preserve">NSS 5 Afs 113/2006-70 ze dne 5. září 2007</w:t>
      </w:r>
    </w:p>
    <w:p>
      <w:pPr>
        <w:pStyle w:val="Compact"/>
        <w:numPr>
          <w:numId w:val="1162"/>
          <w:ilvl w:val="0"/>
        </w:numPr>
      </w:pPr>
      <w:r>
        <w:t xml:space="preserve">„Úvaha stěžovatele, že zásada rovnosti mezi manžely a institut společného jmění v podstatě brání jejich vzájemné fakturaci, tedy není správná.</w:t>
      </w:r>
    </w:p>
    <w:p>
      <w:pPr>
        <w:numPr>
          <w:numId w:val="1162"/>
          <w:ilvl w:val="0"/>
        </w:numPr>
      </w:pPr>
      <w:r>
        <w:t xml:space="preserve">V dalším řízení bude proto nutné se zaměřit na to, zda byl žalobkyní deklarovaný výdaj skutečně vynaložen v rámci její podnikatelské činnosti (tedy posoudit, zda manžel fakturoval manželce v rámci své podnikatelské činnosti, či zda se pouze podílel na podnikání žalobkyně, a šlo toliko o spolupráci mezi manžely)“</w:t>
      </w:r>
    </w:p>
    <w:p>
      <w:pPr>
        <w:pStyle w:val="Compact"/>
        <w:numPr>
          <w:numId w:val="1162"/>
          <w:ilvl w:val="0"/>
        </w:numPr>
      </w:pPr>
      <w:r>
        <w:t xml:space="preserve">Fakturace mezi manžely</w:t>
      </w:r>
    </w:p>
    <w:p>
      <w:pPr>
        <w:pStyle w:val="Compact"/>
        <w:numPr>
          <w:numId w:val="1162"/>
          <w:ilvl w:val="0"/>
        </w:numPr>
      </w:pPr>
      <w:r>
        <w:t xml:space="preserve">NSS 8 Afs 64/2005-66 ze dne 3. 5. 2007, Sbírka NSS 9/2007 pod č. 1305/2007</w:t>
      </w:r>
    </w:p>
    <w:p>
      <w:pPr>
        <w:pStyle w:val="Compact"/>
        <w:numPr>
          <w:numId w:val="1165"/>
          <w:ilvl w:val="1"/>
        </w:numPr>
      </w:pPr>
      <w:r>
        <w:t xml:space="preserve">„Dohodli-li se manželé - podnikatelé na tom, že ve zdaňovacím období roku 1999 jeden bude spolupracovat na podnikání druhého a tuto spolupráci daňově uplatňovat, mohli postupovat jen způsobem upraveným v § 13 zákona ČNR č. 586/1992 Sb., o daních z příjmů, a jen v souladu s tímto ustanovením příjmy a výdaje rozdělit. Dosáhli-li proto manželé příjmů jak z vlastní podnikatelské činnosti, a navíc se podíleli na podnikání druhého, v daňovém přiznání uvedou výši daňových příjmů a výdajů z vlastního podnikání a vykáží i podíl příjmů a výdajů ze spolupráce na podnikání druhého z manželů.“</w:t>
      </w:r>
    </w:p>
    <w:p>
      <w:pPr>
        <w:pStyle w:val="Compact"/>
        <w:numPr>
          <w:numId w:val="1162"/>
          <w:ilvl w:val="0"/>
        </w:numPr>
      </w:pPr>
      <w:r>
        <w:t xml:space="preserve">Fakturace mezi manžely</w:t>
      </w:r>
    </w:p>
    <w:p>
      <w:pPr>
        <w:pStyle w:val="Compact"/>
        <w:numPr>
          <w:numId w:val="1162"/>
          <w:ilvl w:val="0"/>
        </w:numPr>
      </w:pPr>
      <w:r>
        <w:t xml:space="preserve">NSS 8 Afs 64/2005-66 pokrač.:</w:t>
      </w:r>
    </w:p>
    <w:p>
      <w:pPr>
        <w:pStyle w:val="Compact"/>
        <w:numPr>
          <w:numId w:val="1166"/>
          <w:ilvl w:val="1"/>
        </w:numPr>
      </w:pPr>
      <w:r>
        <w:t xml:space="preserve">Předmětem fakturace byla spolupráce na odkupu akcií a ve fakturované částce jsou zahrnuty úhrady na cestovné, odpisy automobilu a výplata za uzavřené smlouvy.</w:t>
      </w:r>
    </w:p>
    <w:p>
      <w:pPr>
        <w:pStyle w:val="Compact"/>
        <w:numPr>
          <w:numId w:val="1166"/>
          <w:ilvl w:val="1"/>
        </w:numPr>
      </w:pPr>
      <w:r>
        <w:t xml:space="preserve">konkrétní podklady pro fakturaci s manželem nebyly, neboť vycházeli z nákladů na cestovné a z objemu uzavřených smluv.</w:t>
      </w:r>
    </w:p>
    <w:p>
      <w:pPr>
        <w:pStyle w:val="Compact"/>
        <w:numPr>
          <w:numId w:val="1166"/>
          <w:ilvl w:val="1"/>
        </w:numPr>
      </w:pPr>
      <w:r>
        <w:t xml:space="preserve">Veškeré smlouvy byly uzavřeny manželovým jménem.</w:t>
      </w:r>
    </w:p>
    <w:p>
      <w:pPr>
        <w:pStyle w:val="Compact"/>
        <w:numPr>
          <w:numId w:val="1166"/>
          <w:ilvl w:val="1"/>
        </w:numPr>
      </w:pPr>
      <w:r>
        <w:t xml:space="preserve">Žalobkyně v předmětném zdaňovacím období vystavila pouze tuto jedinou fakturu, jinou podnikatelskou činnost odrážející se v příjmech a výdajích již nevykonávala.</w:t>
      </w:r>
    </w:p>
    <w:p>
      <w:pPr>
        <w:pStyle w:val="Compact"/>
        <w:numPr>
          <w:numId w:val="1162"/>
          <w:ilvl w:val="0"/>
        </w:numPr>
      </w:pPr>
      <w:r>
        <w:t xml:space="preserve">Fakturace mezi manžely - shrnutí</w:t>
      </w:r>
    </w:p>
    <w:p>
      <w:pPr>
        <w:pStyle w:val="Compact"/>
        <w:numPr>
          <w:numId w:val="1162"/>
          <w:ilvl w:val="0"/>
        </w:numPr>
      </w:pPr>
      <w:r>
        <w:t xml:space="preserve">Vztahy mezi manžely:</w:t>
      </w:r>
    </w:p>
    <w:p>
      <w:pPr>
        <w:pStyle w:val="Compact"/>
        <w:numPr>
          <w:numId w:val="1168"/>
          <w:ilvl w:val="2"/>
        </w:numPr>
      </w:pPr>
      <w:r>
        <w:t xml:space="preserve">dosahování příjmů za spolupráce druhého z manželů,</w:t>
      </w:r>
    </w:p>
    <w:p>
      <w:pPr>
        <w:pStyle w:val="Compact"/>
        <w:numPr>
          <w:numId w:val="1169"/>
          <w:ilvl w:val="2"/>
        </w:numPr>
      </w:pPr>
      <w:r>
        <w:t xml:space="preserve">podnikatelská činnost obou manželů (dříve v rámci sdružení bez právní subjektivity podle ustanovení § 829 a násl. občanského zákoníku) dnes § 2716 a násl obč. zák- - společnost, nebo</w:t>
      </w:r>
    </w:p>
    <w:p>
      <w:pPr>
        <w:pStyle w:val="Compact"/>
        <w:numPr>
          <w:numId w:val="1170"/>
          <w:ilvl w:val="2"/>
        </w:numPr>
      </w:pPr>
      <w:r>
        <w:t xml:space="preserve">manžel i manželka provozují vlastní podnikatelskou činnost nezávisle na sobě (a vzájemně si fakturují).</w:t>
      </w:r>
    </w:p>
    <w:p>
      <w:pPr>
        <w:pStyle w:val="Compact"/>
        <w:numPr>
          <w:numId w:val="1162"/>
          <w:ilvl w:val="0"/>
        </w:numPr>
      </w:pPr>
      <w:r>
        <w:t xml:space="preserve">Fakturace mezi manžely - shrnutí</w:t>
      </w:r>
    </w:p>
    <w:p>
      <w:pPr>
        <w:pStyle w:val="Compact"/>
        <w:numPr>
          <w:numId w:val="1162"/>
          <w:ilvl w:val="0"/>
        </w:numPr>
      </w:pPr>
      <w:r>
        <w:t xml:space="preserve">V případě fakturace je vhodné:</w:t>
      </w:r>
    </w:p>
    <w:p>
      <w:pPr>
        <w:pStyle w:val="Compact"/>
        <w:numPr>
          <w:numId w:val="1171"/>
          <w:ilvl w:val="1"/>
        </w:numPr>
      </w:pPr>
      <w:r>
        <w:t xml:space="preserve">mít více zákazníků než jen svého manžela,</w:t>
      </w:r>
    </w:p>
    <w:p>
      <w:pPr>
        <w:pStyle w:val="Compact"/>
        <w:numPr>
          <w:numId w:val="1171"/>
          <w:ilvl w:val="1"/>
        </w:numPr>
      </w:pPr>
      <w:r>
        <w:t xml:space="preserve">mít vlastní nářadí, materiál, počítač, kancelář apod. a nebude jen využívat majetek, který ve svém podnikání vykazuje manžel, kterému je fakturováno,</w:t>
      </w:r>
    </w:p>
    <w:p>
      <w:pPr>
        <w:pStyle w:val="Compact"/>
        <w:numPr>
          <w:numId w:val="1171"/>
          <w:ilvl w:val="1"/>
        </w:numPr>
      </w:pPr>
      <w:r>
        <w:t xml:space="preserve">manželovi nebude fakturovat „spolupráci“, ale konkrétní činnosti či zboží, které fakturuje i ostatním zákazníkům,</w:t>
      </w:r>
    </w:p>
    <w:p>
      <w:pPr>
        <w:pStyle w:val="Compact"/>
        <w:numPr>
          <w:numId w:val="1171"/>
          <w:ilvl w:val="1"/>
        </w:numPr>
      </w:pPr>
      <w:r>
        <w:t xml:space="preserve">pokud bude mít stejný předmět činnosti, jako manžel, kterému je fakturováno, tak opět bude vhodné, aby všechny smlouvy se zákazníky nebyly uzavřeny jen na druhého z manželů, ale některé i na fakturujícího manžela.</w:t>
      </w:r>
    </w:p>
    <w:p>
      <w:pPr>
        <w:pStyle w:val="Heading3"/>
      </w:pPr>
      <w:bookmarkStart w:id="93" w:name="švarcsystém-mimo-spory-s-úřady"/>
      <w:bookmarkEnd w:id="93"/>
      <w:r>
        <w:t xml:space="preserve">Švarcsystém mimo spory s úřady</w:t>
      </w:r>
    </w:p>
    <w:p>
      <w:pPr>
        <w:pStyle w:val="Compact"/>
        <w:numPr>
          <w:numId w:val="1172"/>
          <w:ilvl w:val="0"/>
        </w:numPr>
      </w:pPr>
      <w:r>
        <w:t xml:space="preserve">NS 21 Cdo 2687/2012 – fotograf v ateliéru</w:t>
      </w:r>
    </w:p>
    <w:p>
      <w:pPr>
        <w:numPr>
          <w:numId w:val="1172"/>
          <w:ilvl w:val="0"/>
        </w:numPr>
      </w:pPr>
      <w:r>
        <w:t xml:space="preserve">nastolen vztah nadřízenosti právního předchůdce žalovaného a podřízenosti žalobce, fotograf vykonával práce podle pokynů žalovaného a jeho jménem, předmětem smlouvy byla opětující se činnost ("práce"), kterou byl žalobce povinen vykonávat osobně, po předem stanovenou dobu a za sjednanou "úplatu", žalovaný poskytoval 4 týdny placeného volna (dovolené) v kalendářním roce" a že evidoval jeho docházku "do zaměstnání – vráceno k dalšímu řízení</w:t>
      </w:r>
    </w:p>
    <w:p>
      <w:pPr>
        <w:pStyle w:val="Compact"/>
        <w:numPr>
          <w:numId w:val="1172"/>
          <w:ilvl w:val="0"/>
        </w:numPr>
      </w:pPr>
      <w:r>
        <w:t xml:space="preserve">Švarcsystém mimo spory s úřady</w:t>
      </w:r>
    </w:p>
    <w:p>
      <w:pPr>
        <w:pStyle w:val="Compact"/>
        <w:numPr>
          <w:numId w:val="1172"/>
          <w:ilvl w:val="0"/>
        </w:numPr>
      </w:pPr>
      <w:r>
        <w:t xml:space="preserve">NS 21 Cdo 920/2010 řidiči České televize</w:t>
      </w:r>
    </w:p>
    <w:p>
      <w:pPr>
        <w:pStyle w:val="Compact"/>
        <w:numPr>
          <w:numId w:val="1173"/>
          <w:ilvl w:val="1"/>
        </w:numPr>
      </w:pPr>
      <w:r>
        <w:t xml:space="preserve">Propuštění řidiči nadále pracovali pro ČT jako živnostníci, autoobily však byly vlastnictvím ČT, ta nesla též náklady na údržbu, PHM CCS karty patřící ČT), pojištění atd.</w:t>
      </w:r>
    </w:p>
    <w:p>
      <w:pPr>
        <w:pStyle w:val="Compact"/>
        <w:numPr>
          <w:numId w:val="1173"/>
          <w:ilvl w:val="1"/>
        </w:numPr>
      </w:pPr>
      <w:r>
        <w:t xml:space="preserve">Nebylo uznáno jako podnikání</w:t>
      </w:r>
    </w:p>
    <w:p>
      <w:pPr>
        <w:pStyle w:val="Compact"/>
        <w:numPr>
          <w:numId w:val="1172"/>
          <w:ilvl w:val="0"/>
        </w:numPr>
      </w:pPr>
      <w:r>
        <w:t xml:space="preserve">Švarcsystém mimo spory s úřady</w:t>
      </w:r>
    </w:p>
    <w:p>
      <w:pPr>
        <w:pStyle w:val="Compact"/>
        <w:numPr>
          <w:numId w:val="1172"/>
          <w:ilvl w:val="0"/>
        </w:numPr>
      </w:pPr>
      <w:r>
        <w:t xml:space="preserve">Souběh pracovních a obchodních smluv k témuž zaměstnavateli</w:t>
      </w:r>
    </w:p>
    <w:p>
      <w:pPr>
        <w:pStyle w:val="Compact"/>
        <w:numPr>
          <w:numId w:val="1172"/>
          <w:ilvl w:val="0"/>
        </w:numPr>
      </w:pPr>
      <w:r>
        <w:t xml:space="preserve">NS 21 Cdo 3862/2012</w:t>
      </w:r>
    </w:p>
    <w:p>
      <w:pPr>
        <w:pStyle w:val="Compact"/>
        <w:numPr>
          <w:numId w:val="1172"/>
          <w:ilvl w:val="0"/>
        </w:numPr>
      </w:pPr>
      <w:r>
        <w:t xml:space="preserve">Zaměstnanec dostal výpověď, soudil se úspěšně o vyslovení její neplatnosti.</w:t>
      </w:r>
    </w:p>
    <w:p>
      <w:pPr>
        <w:pStyle w:val="Compact"/>
        <w:numPr>
          <w:numId w:val="1172"/>
          <w:ilvl w:val="0"/>
        </w:numPr>
      </w:pPr>
      <w:r>
        <w:t xml:space="preserve">Náležela mu proto náhrada mzdy. V rámci posuzování náhrady mzdy došlo i na zkoumání uzavřené obchodní smlouvy, která byla posouzena jako zastírání reálné pracovní smlouvy.</w:t>
      </w:r>
    </w:p>
    <w:p>
      <w:pPr>
        <w:numPr>
          <w:numId w:val="1172"/>
          <w:ilvl w:val="0"/>
        </w:numPr>
      </w:pPr>
      <w:r>
        <w:t xml:space="preserve">Zaměstnanec měl proto při výpočtu průměrného výdělku pro účely jeho nároků z neplatné výpovědi nárok i na náhradu z „obchodní“ smlouvy, která byla posouzena jako švarcsystém.</w:t>
      </w:r>
    </w:p>
    <w:p>
      <w:pPr>
        <w:pStyle w:val="Compact"/>
        <w:numPr>
          <w:numId w:val="1172"/>
          <w:ilvl w:val="0"/>
        </w:numPr>
      </w:pPr>
      <w:r>
        <w:t xml:space="preserve">Švarcsystém mimo spory s úřady</w:t>
      </w:r>
    </w:p>
    <w:p>
      <w:pPr>
        <w:pStyle w:val="Compact"/>
        <w:numPr>
          <w:numId w:val="1172"/>
          <w:ilvl w:val="0"/>
        </w:numPr>
      </w:pPr>
      <w:r>
        <w:t xml:space="preserve">Švarcsystém a náhrada škody za úraz NS 25 Cdo 5262/2008</w:t>
      </w:r>
    </w:p>
    <w:p>
      <w:pPr>
        <w:pStyle w:val="Compact"/>
        <w:numPr>
          <w:numId w:val="1174"/>
          <w:ilvl w:val="1"/>
        </w:numPr>
      </w:pPr>
      <w:r>
        <w:t xml:space="preserve">Živnostník pracoval na stavbě, měl uzavřenou obchodní smlouvu a své činnosti fakturoval. Poté utrpěl na stavbě úraz, změnil názor a tvrdil, že jeho smlouva byla zastřenou pracovní a požadoval náhradu škody podle zákoníku práce. Soudy mu nevyhověly, došly k závěru, že v jeho případě šlo o skutečný obchodní vztah a nikoli o zastřený pracovní.</w:t>
      </w:r>
    </w:p>
    <w:p>
      <w:pPr>
        <w:pStyle w:val="Heading3"/>
      </w:pPr>
      <w:bookmarkStart w:id="94" w:name="švarcsystém-možný-budoucí-vývoj"/>
      <w:bookmarkEnd w:id="94"/>
      <w:r>
        <w:t xml:space="preserve">Švarcsystém – možný budoucí vývoj</w:t>
      </w:r>
    </w:p>
    <w:p>
      <w:pPr>
        <w:pStyle w:val="Compact"/>
        <w:numPr>
          <w:numId w:val="1175"/>
          <w:ilvl w:val="0"/>
        </w:numPr>
      </w:pPr>
      <w:r>
        <w:t xml:space="preserve">Omezování výdajových paušálů</w:t>
      </w:r>
    </w:p>
    <w:p>
      <w:pPr>
        <w:pStyle w:val="Compact"/>
        <w:numPr>
          <w:numId w:val="1175"/>
          <w:ilvl w:val="0"/>
        </w:numPr>
      </w:pPr>
      <w:r>
        <w:t xml:space="preserve">Kontroly</w:t>
      </w:r>
    </w:p>
    <w:p>
      <w:pPr>
        <w:pStyle w:val="Compact"/>
        <w:numPr>
          <w:numId w:val="1175"/>
          <w:ilvl w:val="0"/>
        </w:numPr>
      </w:pPr>
      <w:r>
        <w:t xml:space="preserve">Další zpřísňování zákonů</w:t>
      </w:r>
    </w:p>
    <w:p>
      <w:pPr>
        <w:pStyle w:val="Heading2"/>
      </w:pPr>
      <w:bookmarkStart w:id="95" w:name="daňový-režim-při-úmrtí-daňového-subjektu-daň-z-příjmů-fyzických-osob-dph-ostatní-daně-dědická-aj."/>
      <w:bookmarkEnd w:id="95"/>
      <w:r>
        <w:t xml:space="preserve">11. Daňový režim při úmrtí daňového subjektu – daň z příjmů fyzických osob, DPH, ostatní daně (dědická aj.)</w:t>
      </w:r>
    </w:p>
    <w:p>
      <w:pPr>
        <w:pStyle w:val="Compact"/>
        <w:numPr>
          <w:numId w:val="1176"/>
          <w:ilvl w:val="0"/>
        </w:numPr>
      </w:pPr>
      <w:r>
        <w:t xml:space="preserve">Příjmy v podobě dědictví jsou zcela osvobozeny od daně z příjmů (§4a/a) ZDP)</w:t>
      </w:r>
    </w:p>
    <w:p>
      <w:pPr>
        <w:pStyle w:val="Compact"/>
        <w:numPr>
          <w:numId w:val="1176"/>
          <w:ilvl w:val="0"/>
        </w:numPr>
      </w:pPr>
      <w:r>
        <w:t xml:space="preserve">Nevztahují se zde ani dědické třídy</w:t>
      </w:r>
    </w:p>
    <w:p>
      <w:pPr>
        <w:pStyle w:val="Compact"/>
        <w:numPr>
          <w:numId w:val="1176"/>
          <w:ilvl w:val="0"/>
        </w:numPr>
      </w:pPr>
      <w:r>
        <w:t xml:space="preserve">Daňová povinnost zůstavitele = daňová povinnost do dne předcházejícího dni skončení řízení o pozůstalosti (§ 98-288 zák. č. 292/2013 Sb. - Zákon o zvláštních řízeních soudních)</w:t>
      </w:r>
    </w:p>
    <w:p>
      <w:pPr>
        <w:pStyle w:val="Compact"/>
        <w:numPr>
          <w:numId w:val="1176"/>
          <w:ilvl w:val="0"/>
        </w:numPr>
      </w:pPr>
      <w:r>
        <w:t xml:space="preserve">Přechází na dědice rozhodnutím soudu o dědictví – dědic získává postavení DS (§ 239a/3 daňového řádu, dále také DŘ)</w:t>
      </w:r>
    </w:p>
    <w:p>
      <w:pPr>
        <w:pStyle w:val="Compact"/>
        <w:numPr>
          <w:numId w:val="1176"/>
          <w:ilvl w:val="0"/>
        </w:numPr>
      </w:pPr>
      <w:r>
        <w:t xml:space="preserve">Osoba spravující pozůstalost (správce pozůstalosti, vykonatel závěti, potenciální dědic) - DPH, Silniční daň, Daň z příjmu:</w:t>
      </w:r>
    </w:p>
    <w:p>
      <w:pPr>
        <w:pStyle w:val="Compact"/>
        <w:numPr>
          <w:numId w:val="1176"/>
          <w:ilvl w:val="0"/>
        </w:numPr>
      </w:pPr>
      <w:r>
        <w:t xml:space="preserve">Plní po smrti zůstavitele jeho daňové povinnosti, a to vlastním jménem na účet zůstavitele</w:t>
      </w:r>
    </w:p>
    <w:p>
      <w:pPr>
        <w:pStyle w:val="Compact"/>
        <w:numPr>
          <w:numId w:val="1176"/>
          <w:ilvl w:val="0"/>
        </w:numPr>
      </w:pPr>
      <w:r>
        <w:t xml:space="preserve">Podat přiznání do 3 měsíců od smrti zůstavitele (§ 239b/4 DŘ)</w:t>
      </w:r>
    </w:p>
    <w:p>
      <w:pPr>
        <w:pStyle w:val="Compact"/>
        <w:numPr>
          <w:numId w:val="1177"/>
          <w:ilvl w:val="1"/>
        </w:numPr>
      </w:pPr>
      <w:r>
        <w:t xml:space="preserve">za období přede dnem smrti</w:t>
      </w:r>
    </w:p>
    <w:p>
      <w:pPr>
        <w:pStyle w:val="Compact"/>
        <w:numPr>
          <w:numId w:val="1176"/>
          <w:ilvl w:val="0"/>
        </w:numPr>
      </w:pPr>
      <w:r>
        <w:t xml:space="preserve">V průběhu řízení o pozůstalosti</w:t>
      </w:r>
    </w:p>
    <w:p>
      <w:pPr>
        <w:pStyle w:val="Compact"/>
        <w:numPr>
          <w:numId w:val="1178"/>
          <w:ilvl w:val="1"/>
        </w:numPr>
      </w:pPr>
      <w:r>
        <w:t xml:space="preserve">Standardní přiznání (do 3 měsíců po uplynutí zdaňovacího období – viz § 136 DŘ)</w:t>
      </w:r>
    </w:p>
    <w:p>
      <w:pPr>
        <w:pStyle w:val="Compact"/>
        <w:numPr>
          <w:numId w:val="1176"/>
          <w:ilvl w:val="0"/>
        </w:numPr>
      </w:pPr>
      <w:r>
        <w:t xml:space="preserve">Podat přiznání do 30 dnů ode dne skončení řízení o pozůstalosti (§ 239b/5 DŘ)</w:t>
      </w:r>
    </w:p>
    <w:p>
      <w:pPr>
        <w:pStyle w:val="Compact"/>
        <w:numPr>
          <w:numId w:val="1179"/>
          <w:ilvl w:val="1"/>
        </w:numPr>
      </w:pPr>
      <w:r>
        <w:t xml:space="preserve">za období před dnem skončení řízení o pozůstalosti</w:t>
      </w:r>
    </w:p>
    <w:p>
      <w:pPr>
        <w:pStyle w:val="Compact"/>
        <w:numPr>
          <w:numId w:val="1179"/>
          <w:ilvl w:val="1"/>
        </w:numPr>
      </w:pPr>
      <w:r>
        <w:t xml:space="preserve">Provedou se zde úpravy dle § 23/8 ZDP</w:t>
      </w:r>
    </w:p>
    <w:p>
      <w:pPr>
        <w:pStyle w:val="Compact"/>
        <w:numPr>
          <w:numId w:val="1179"/>
          <w:ilvl w:val="1"/>
        </w:numPr>
      </w:pPr>
      <w:r>
        <w:t xml:space="preserve">(+) Zásoby, (+) Pohledávky</w:t>
      </w:r>
    </w:p>
    <w:p>
      <w:pPr>
        <w:pStyle w:val="Compact"/>
        <w:numPr>
          <w:numId w:val="1179"/>
          <w:ilvl w:val="1"/>
        </w:numPr>
      </w:pPr>
      <w:r>
        <w:t xml:space="preserve">(-) Závazky</w:t>
      </w:r>
    </w:p>
    <w:p>
      <w:pPr>
        <w:pStyle w:val="Heading2"/>
      </w:pPr>
      <w:bookmarkStart w:id="96" w:name="daň-z-přidané-hodnoty-charakteristika-základní-pojmy-zdanitelné-plnění-odpočet-zdaňovací-období-osoba-povinná-k-dani-plátce-daně-reverse-charge"/>
      <w:bookmarkEnd w:id="96"/>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7" w:name="nejčastější-podvody-na-dph"/>
      <w:bookmarkEnd w:id="97"/>
      <w:r>
        <w:t xml:space="preserve">13. Nejčastější podvody na DPH</w:t>
      </w:r>
    </w:p>
    <w:p>
      <w:pPr>
        <w:pStyle w:val="Compact"/>
        <w:numPr>
          <w:numId w:val="1180"/>
          <w:ilvl w:val="0"/>
        </w:numPr>
      </w:pPr>
      <w:r>
        <w:t xml:space="preserve">DPH I – podvody na DPH a jak jim čelit, zneužití práva</w:t>
      </w:r>
    </w:p>
    <w:p>
      <w:pPr>
        <w:pStyle w:val="Compact"/>
        <w:numPr>
          <w:numId w:val="1180"/>
          <w:ilvl w:val="0"/>
        </w:numPr>
      </w:pPr>
      <w:r>
        <w:t xml:space="preserve">Podvody na DPH</w:t>
      </w:r>
    </w:p>
    <w:p>
      <w:pPr>
        <w:pStyle w:val="Compact"/>
        <w:numPr>
          <w:numId w:val="1181"/>
          <w:ilvl w:val="1"/>
        </w:numPr>
      </w:pPr>
      <w:r>
        <w:t xml:space="preserve">Falešné doklady</w:t>
      </w:r>
    </w:p>
    <w:p>
      <w:pPr>
        <w:pStyle w:val="Compact"/>
        <w:numPr>
          <w:numId w:val="1181"/>
          <w:ilvl w:val="1"/>
        </w:numPr>
      </w:pPr>
      <w:r>
        <w:t xml:space="preserve">Fiktivní plnění</w:t>
      </w:r>
    </w:p>
    <w:p>
      <w:pPr>
        <w:pStyle w:val="Compact"/>
        <w:numPr>
          <w:numId w:val="1181"/>
          <w:ilvl w:val="1"/>
        </w:numPr>
      </w:pPr>
      <w:r>
        <w:t xml:space="preserve">Cena obvyklá</w:t>
      </w:r>
    </w:p>
    <w:p>
      <w:pPr>
        <w:pStyle w:val="Compact"/>
        <w:numPr>
          <w:numId w:val="1181"/>
          <w:ilvl w:val="1"/>
        </w:numPr>
      </w:pPr>
      <w:r>
        <w:t xml:space="preserve">Řetězové podvody</w:t>
      </w:r>
    </w:p>
    <w:p>
      <w:pPr>
        <w:pStyle w:val="Compact"/>
        <w:numPr>
          <w:numId w:val="1181"/>
          <w:ilvl w:val="1"/>
        </w:numPr>
      </w:pPr>
      <w:r>
        <w:t xml:space="preserve">Zneužití práva</w:t>
      </w:r>
    </w:p>
    <w:p>
      <w:pPr>
        <w:pStyle w:val="Compact"/>
        <w:numPr>
          <w:numId w:val="1180"/>
          <w:ilvl w:val="0"/>
        </w:numPr>
      </w:pPr>
      <w:r>
        <w:rPr>
          <w:b/>
        </w:rPr>
        <w:t xml:space="preserve">Falešné doklady</w:t>
      </w:r>
    </w:p>
    <w:p>
      <w:pPr>
        <w:pStyle w:val="Compact"/>
        <w:numPr>
          <w:numId w:val="1180"/>
          <w:ilvl w:val="0"/>
        </w:numPr>
      </w:pPr>
      <w:r>
        <w:t xml:space="preserve">Falšovaná razítka, podpisy</w:t>
      </w:r>
    </w:p>
    <w:p>
      <w:pPr>
        <w:pStyle w:val="Compact"/>
        <w:numPr>
          <w:numId w:val="1180"/>
          <w:ilvl w:val="0"/>
        </w:numPr>
      </w:pPr>
      <w:r>
        <w:t xml:space="preserve">Jednání jménem neexistující firmy</w:t>
      </w:r>
    </w:p>
    <w:p>
      <w:pPr>
        <w:numPr>
          <w:numId w:val="1180"/>
          <w:ilvl w:val="0"/>
        </w:numPr>
      </w:pPr>
      <w:r>
        <w:t xml:space="preserve">Jménem existující firmy jedná neoprávněná osoba, kterou ve firmě neznají</w:t>
      </w:r>
    </w:p>
    <w:p>
      <w:pPr>
        <w:pStyle w:val="Compact"/>
        <w:numPr>
          <w:numId w:val="1180"/>
          <w:ilvl w:val="0"/>
        </w:numPr>
      </w:pPr>
      <w:r>
        <w:t xml:space="preserve">Fiktivní plnění</w:t>
      </w:r>
    </w:p>
    <w:p>
      <w:pPr>
        <w:pStyle w:val="Compact"/>
        <w:numPr>
          <w:numId w:val="1180"/>
          <w:ilvl w:val="0"/>
        </w:numPr>
      </w:pPr>
      <w:r>
        <w:t xml:space="preserve">Doklady obvykle formálně v pořádku</w:t>
      </w:r>
    </w:p>
    <w:p>
      <w:pPr>
        <w:numPr>
          <w:numId w:val="1180"/>
          <w:ilvl w:val="0"/>
        </w:numPr>
      </w:pPr>
      <w:r>
        <w:t xml:space="preserve">Deklarované plnění se neuskutečnilo nebo uskutečnilo v podstatně menším rozsahu</w:t>
      </w:r>
    </w:p>
    <w:p>
      <w:pPr>
        <w:pStyle w:val="Compact"/>
        <w:numPr>
          <w:numId w:val="1180"/>
          <w:ilvl w:val="0"/>
        </w:numPr>
      </w:pPr>
      <w:r>
        <w:t xml:space="preserve">Cena obvyklá</w:t>
      </w:r>
    </w:p>
    <w:p>
      <w:pPr>
        <w:pStyle w:val="Compact"/>
        <w:numPr>
          <w:numId w:val="1180"/>
          <w:ilvl w:val="0"/>
        </w:numPr>
      </w:pPr>
      <w:r>
        <w:t xml:space="preserve">§ 36a ZDPH - Základ daně ve zvláštních případech</w:t>
      </w:r>
    </w:p>
    <w:p>
      <w:pPr>
        <w:numPr>
          <w:numId w:val="1180"/>
          <w:ilvl w:val="0"/>
        </w:numPr>
      </w:pPr>
      <w:r>
        <w:t xml:space="preserve">Základem daně je cena obvyklá bez daně, určená ke dni uskutečnění zdanitelného plnění, je-li zdanitelné plnění uskutečněno pro vybrané osoby v případech specifikovaných v tomto ustanovení.</w:t>
      </w:r>
    </w:p>
    <w:p>
      <w:pPr>
        <w:pStyle w:val="Compact"/>
        <w:numPr>
          <w:numId w:val="1180"/>
          <w:ilvl w:val="0"/>
        </w:numPr>
      </w:pPr>
      <w:r>
        <w:t xml:space="preserve">Cena obvyklá</w:t>
      </w:r>
    </w:p>
    <w:p>
      <w:pPr>
        <w:pStyle w:val="Compact"/>
        <w:numPr>
          <w:numId w:val="1180"/>
          <w:ilvl w:val="0"/>
        </w:numPr>
      </w:pPr>
      <w:r>
        <w:t xml:space="preserve">Těmito osobami jsou:</w:t>
      </w:r>
    </w:p>
    <w:p>
      <w:pPr>
        <w:pStyle w:val="Compact"/>
        <w:numPr>
          <w:numId w:val="1183"/>
          <w:ilvl w:val="2"/>
        </w:numPr>
      </w:pPr>
      <w:r>
        <w:t xml:space="preserve">kapitálově spojené osoby podle s tím, že výše podílu představuje alespoň 25 % základního kapitálu nebo 25 % hlasovacích práv těchto osob,</w:t>
      </w:r>
    </w:p>
    <w:p>
      <w:pPr>
        <w:pStyle w:val="Compact"/>
        <w:numPr>
          <w:numId w:val="1184"/>
          <w:ilvl w:val="2"/>
        </w:numPr>
      </w:pPr>
      <w:r>
        <w:t xml:space="preserve">jinak spojené osoby (osoby, na jejichž vedení se podílí alespoň jedna shodná osoba) za jinak spojené osoby se nepovažují osoby, kdy je jedna osoba členem dozorčích rad obou osob,</w:t>
      </w:r>
    </w:p>
    <w:p>
      <w:pPr>
        <w:pStyle w:val="Compact"/>
        <w:numPr>
          <w:numId w:val="1185"/>
          <w:ilvl w:val="2"/>
        </w:numPr>
      </w:pPr>
      <w:r>
        <w:t xml:space="preserve">osoby blízké,</w:t>
      </w:r>
    </w:p>
    <w:p>
      <w:pPr>
        <w:pStyle w:val="Compact"/>
        <w:numPr>
          <w:numId w:val="1186"/>
          <w:ilvl w:val="2"/>
        </w:numPr>
      </w:pPr>
      <w:r>
        <w:t xml:space="preserve">společníci téže společnosti, jsou-li plátci.</w:t>
      </w:r>
    </w:p>
    <w:p>
      <w:pPr>
        <w:pStyle w:val="Compact"/>
        <w:numPr>
          <w:numId w:val="1180"/>
          <w:ilvl w:val="0"/>
        </w:numPr>
      </w:pPr>
      <w:r>
        <w:t xml:space="preserve">Řetězové podvody</w:t>
      </w:r>
    </w:p>
    <w:p>
      <w:pPr>
        <w:numPr>
          <w:numId w:val="1180"/>
          <w:ilvl w:val="0"/>
        </w:numPr>
      </w:pPr>
      <w:r>
        <w:t xml:space="preserve">Řetězové (kolotočové, karuselové) podvody</w:t>
      </w:r>
    </w:p>
    <w:p>
      <w:pPr>
        <w:pStyle w:val="FirstParagraph"/>
      </w:pPr>
      <w:r>
        <w:drawing>
          <wp:inline>
            <wp:extent cx="5334000" cy="2945974"/>
            <wp:effectExtent b="0" l="0" r="0" t="0"/>
            <wp:docPr descr="Řetězové podvody" title="" id="1" name="Picture"/>
            <a:graphic>
              <a:graphicData uri="http://schemas.openxmlformats.org/drawingml/2006/picture">
                <pic:pic>
                  <pic:nvPicPr>
                    <pic:cNvPr descr="Retezove_podvody.png" id="0" name="Picture"/>
                    <pic:cNvPicPr>
                      <a:picLocks noChangeArrowheads="1" noChangeAspect="1"/>
                    </pic:cNvPicPr>
                  </pic:nvPicPr>
                  <pic:blipFill>
                    <a:blip r:embed="rId98"/>
                    <a:stretch>
                      <a:fillRect/>
                    </a:stretch>
                  </pic:blipFill>
                  <pic:spPr bwMode="auto">
                    <a:xfrm>
                      <a:off x="0" y="0"/>
                      <a:ext cx="5334000" cy="2945974"/>
                    </a:xfrm>
                    <a:prstGeom prst="rect">
                      <a:avLst/>
                    </a:prstGeom>
                    <a:noFill/>
                    <a:ln w="9525">
                      <a:noFill/>
                      <a:headEnd/>
                      <a:tailEnd/>
                    </a:ln>
                  </pic:spPr>
                </pic:pic>
              </a:graphicData>
            </a:graphic>
          </wp:inline>
        </w:drawing>
      </w:r>
    </w:p>
    <w:p>
      <w:pPr>
        <w:pStyle w:val="Compact"/>
        <w:numPr>
          <w:numId w:val="1187"/>
          <w:ilvl w:val="0"/>
        </w:numPr>
      </w:pPr>
      <w:r>
        <w:t xml:space="preserve">Řetězové podvody – poctivé subjekty</w:t>
      </w:r>
    </w:p>
    <w:p>
      <w:pPr>
        <w:pStyle w:val="Compact"/>
        <w:numPr>
          <w:numId w:val="1187"/>
          <w:ilvl w:val="0"/>
        </w:numPr>
      </w:pPr>
      <w:r>
        <w:t xml:space="preserve">Jak to funguje při poctivých účastnících obchodu</w:t>
      </w:r>
    </w:p>
    <w:p>
      <w:pPr>
        <w:pStyle w:val="Compact"/>
        <w:numPr>
          <w:numId w:val="1188"/>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88"/>
          <w:ilvl w:val="1"/>
        </w:numPr>
      </w:pPr>
      <w:r>
        <w:t xml:space="preserve">Subjekt B nakupuje telefony za 100 mil. Kč, vyměří daň 21 mil., současně uplatní nárok na odpočet. Potud daňově neutrální</w:t>
      </w:r>
    </w:p>
    <w:p>
      <w:pPr>
        <w:pStyle w:val="Compact"/>
        <w:numPr>
          <w:numId w:val="1188"/>
          <w:ilvl w:val="1"/>
        </w:numPr>
      </w:pPr>
      <w:r>
        <w:t xml:space="preserve">Subjekt B prodává telefony za 100 mil. Kč tuzemskému subjektu C + 21 mil. Kč DPH v běžném režimu.</w:t>
      </w:r>
    </w:p>
    <w:p>
      <w:pPr>
        <w:pStyle w:val="Compact"/>
        <w:numPr>
          <w:numId w:val="1187"/>
          <w:ilvl w:val="0"/>
        </w:numPr>
      </w:pPr>
      <w:r>
        <w:t xml:space="preserve">Řetězové podvody – poctivé subjekty</w:t>
      </w:r>
    </w:p>
    <w:p>
      <w:pPr>
        <w:pStyle w:val="Compact"/>
        <w:numPr>
          <w:numId w:val="1187"/>
          <w:ilvl w:val="0"/>
        </w:numPr>
      </w:pPr>
      <w:r>
        <w:t xml:space="preserve">Subjekt B inkasuje platbu za telefony ve výši 121 mil. Kč od tuzemského subjektu C. V daňovém přiznání uvede 21 mil. Kč DPH na výstupu a daň odvede finančnímu úřadu.</w:t>
      </w:r>
    </w:p>
    <w:p>
      <w:pPr>
        <w:numPr>
          <w:numId w:val="1187"/>
          <w:ilvl w:val="0"/>
        </w:numPr>
      </w:pPr>
      <w:r>
        <w:t xml:space="preserve">Subjekt C prodává subjektu D telefony 100 mil. Kč. Dodání zboží do jiného členského státu je pro něj osvobozeným plněním, uplatní si nárok na odpočet DPH ve svém státě. Finanční úřad pravděpodobně prověřuje situaci a vrací 21 mil. Kč.</w:t>
      </w:r>
    </w:p>
    <w:p>
      <w:pPr>
        <w:pStyle w:val="Compact"/>
        <w:numPr>
          <w:numId w:val="1187"/>
          <w:ilvl w:val="0"/>
        </w:numPr>
      </w:pPr>
      <w:r>
        <w:t xml:space="preserve">Řetězové podvody – nepoctivé subjekty</w:t>
      </w:r>
    </w:p>
    <w:p>
      <w:pPr>
        <w:pStyle w:val="Compact"/>
        <w:numPr>
          <w:numId w:val="1187"/>
          <w:ilvl w:val="0"/>
        </w:numPr>
      </w:pPr>
      <w:r>
        <w:t xml:space="preserve">Jak to funguje při nepoctivých účastnících obchodu</w:t>
      </w:r>
    </w:p>
    <w:p>
      <w:pPr>
        <w:pStyle w:val="Compact"/>
        <w:numPr>
          <w:numId w:val="1189"/>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89"/>
          <w:ilvl w:val="1"/>
        </w:numPr>
      </w:pPr>
      <w:r>
        <w:t xml:space="preserve">Subjekt B nakupuje telefony za 100 mil. Kč, vyměří daň 21 mil., současně uplatní nárok na odpočet. Potud stejné a v pořádku</w:t>
      </w:r>
    </w:p>
    <w:p>
      <w:pPr>
        <w:pStyle w:val="Compact"/>
        <w:numPr>
          <w:numId w:val="1187"/>
          <w:ilvl w:val="0"/>
        </w:numPr>
      </w:pPr>
      <w:r>
        <w:t xml:space="preserve">Řetězové podvody – nepoctivé subjekty</w:t>
      </w:r>
    </w:p>
    <w:p>
      <w:pPr>
        <w:pStyle w:val="Compact"/>
        <w:numPr>
          <w:numId w:val="1187"/>
          <w:ilvl w:val="0"/>
        </w:numPr>
      </w:pPr>
      <w:r>
        <w:t xml:space="preserve">Subjekt B prodává telefony za 100 mil. Kč tuzemskému subjektu C + 21 mil. Kč DPH v běžném režimu.</w:t>
      </w:r>
    </w:p>
    <w:p>
      <w:pPr>
        <w:pStyle w:val="Compact"/>
        <w:numPr>
          <w:numId w:val="1187"/>
          <w:ilvl w:val="0"/>
        </w:numPr>
      </w:pPr>
      <w:r>
        <w:t xml:space="preserve">Subjekt B inkasuje platbu za telefony ve výši 121 mil. Kč od tuzemského subjektu C. Daňové přiznání buď vůbec nepodává nebo daň nezaplatí. Subjekt zaniká a získaných 21 mil. se ztrácí.</w:t>
      </w:r>
    </w:p>
    <w:p>
      <w:pPr>
        <w:numPr>
          <w:numId w:val="1187"/>
          <w:ilvl w:val="0"/>
        </w:numPr>
      </w:pPr>
      <w:r>
        <w:t xml:space="preserve">Subjekt C prodává subjektu D telefony 100 mil. Kč. Dodání zboží do jiného členského státu je pro něj osvobozeným plněním, uplatní si nárok na odpočet DPH ve svém státě. Finanční úřad váhá, zda mu vrátí 21 mil. Kč. Pokud se prokáže, že o podvodu nevěděl a vědět nemohl, je to stát, kdo tratí.</w:t>
      </w:r>
    </w:p>
    <w:p>
      <w:pPr>
        <w:pStyle w:val="Compact"/>
        <w:numPr>
          <w:numId w:val="1187"/>
          <w:ilvl w:val="0"/>
        </w:numPr>
      </w:pPr>
      <w:r>
        <w:t xml:space="preserve">Podvody na DPH – obrana státu</w:t>
      </w:r>
    </w:p>
    <w:p>
      <w:pPr>
        <w:pStyle w:val="Compact"/>
        <w:numPr>
          <w:numId w:val="1187"/>
          <w:ilvl w:val="0"/>
        </w:numPr>
      </w:pPr>
      <w:r>
        <w:t xml:space="preserve">Daňová přiznání a souhrnná hlášení (když jsme dodali zboží do jiné země EU podnikateli nebo firmě registrovanému/registrované k DPH v jiném státě EU, když jsme poskytli službu s místem plnění v jiné zemi EU)</w:t>
      </w:r>
      <w:r>
        <w:rPr>
          <w:rStyle w:val="FootnoteReference"/>
        </w:rPr>
        <w:footnoteReference w:id="99"/>
      </w:r>
    </w:p>
    <w:p>
      <w:pPr>
        <w:pStyle w:val="Compact"/>
        <w:numPr>
          <w:numId w:val="1187"/>
          <w:ilvl w:val="0"/>
        </w:numPr>
      </w:pPr>
      <w:r>
        <w:t xml:space="preserve">Přenos daňové povinnosti</w:t>
      </w:r>
    </w:p>
    <w:p>
      <w:pPr>
        <w:pStyle w:val="Compact"/>
        <w:numPr>
          <w:numId w:val="1187"/>
          <w:ilvl w:val="0"/>
        </w:numPr>
      </w:pPr>
      <w:r>
        <w:t xml:space="preserve">Nespolehlivý plátce a ručení za daň</w:t>
      </w:r>
    </w:p>
    <w:p>
      <w:pPr>
        <w:pStyle w:val="Compact"/>
        <w:numPr>
          <w:numId w:val="1187"/>
          <w:ilvl w:val="0"/>
        </w:numPr>
      </w:pPr>
      <w:r>
        <w:t xml:space="preserve">Zveřejňování účtů pro platbu DPH</w:t>
      </w:r>
    </w:p>
    <w:p>
      <w:pPr>
        <w:pStyle w:val="Compact"/>
        <w:numPr>
          <w:numId w:val="1187"/>
          <w:ilvl w:val="0"/>
        </w:numPr>
      </w:pPr>
      <w:r>
        <w:t xml:space="preserve">„Věděl nebo vědět mohl“</w:t>
      </w:r>
    </w:p>
    <w:p>
      <w:pPr>
        <w:pStyle w:val="Compact"/>
        <w:numPr>
          <w:numId w:val="1187"/>
          <w:ilvl w:val="0"/>
        </w:numPr>
      </w:pPr>
      <w:r>
        <w:t xml:space="preserve">Od roku 2016 – kontrolní hlášení, elektronická evidence tržeb - některé operace se uvádějí jednotlivě</w:t>
      </w:r>
      <w:r>
        <w:rPr>
          <w:rStyle w:val="FootnoteReference"/>
        </w:rPr>
        <w:footnoteReference w:id="100"/>
      </w:r>
    </w:p>
    <w:p>
      <w:pPr>
        <w:pStyle w:val="Compact"/>
        <w:numPr>
          <w:numId w:val="1187"/>
          <w:ilvl w:val="0"/>
        </w:numPr>
      </w:pPr>
      <w:r>
        <w:t xml:space="preserve">Zajišťovací příkazy</w:t>
      </w:r>
    </w:p>
    <w:p>
      <w:pPr>
        <w:pStyle w:val="Compact"/>
        <w:numPr>
          <w:numId w:val="1187"/>
          <w:ilvl w:val="0"/>
        </w:numPr>
      </w:pPr>
      <w:r>
        <w:t xml:space="preserve">Postupy k odstranění pochybností</w:t>
      </w:r>
    </w:p>
    <w:p>
      <w:pPr>
        <w:numPr>
          <w:numId w:val="1187"/>
          <w:ilvl w:val="0"/>
        </w:numPr>
      </w:pPr>
      <w:r>
        <w:t xml:space="preserve">Kontroly před vyměřením i po vyměření daně</w:t>
      </w:r>
    </w:p>
    <w:p>
      <w:pPr>
        <w:pStyle w:val="Compact"/>
        <w:numPr>
          <w:numId w:val="1187"/>
          <w:ilvl w:val="0"/>
        </w:numPr>
      </w:pPr>
      <w:r>
        <w:t xml:space="preserve">Nespolehlivý plátce</w:t>
      </w:r>
    </w:p>
    <w:p>
      <w:pPr>
        <w:pStyle w:val="Compact"/>
        <w:numPr>
          <w:numId w:val="1187"/>
          <w:ilvl w:val="0"/>
        </w:numPr>
      </w:pPr>
      <w:r>
        <w:t xml:space="preserve">DPH vyměřena/doměřena podle pomůcek opakovaně (min. za 2 zdaňovací období z šesti po sobě jdoucích)</w:t>
      </w:r>
    </w:p>
    <w:p>
      <w:pPr>
        <w:pStyle w:val="Compact"/>
        <w:numPr>
          <w:numId w:val="1187"/>
          <w:ilvl w:val="0"/>
        </w:numPr>
      </w:pPr>
      <w:r>
        <w:t xml:space="preserve">byl vydán zajišťovací příkaz (po 1. 1. 2013) na DPH a tento nebyl ve lhůtě uhrazen</w:t>
      </w:r>
    </w:p>
    <w:p>
      <w:pPr>
        <w:pStyle w:val="Compact"/>
        <w:numPr>
          <w:numId w:val="1187"/>
          <w:ilvl w:val="0"/>
        </w:numPr>
      </w:pPr>
      <w:r>
        <w:t xml:space="preserve">po dobu nejméně 3 kalendářních měsíců po sobě jdoucích evidován kumulativní nedoplatek na DPH ve výši 500 tis. Kč</w:t>
      </w:r>
    </w:p>
    <w:p>
      <w:pPr>
        <w:numPr>
          <w:numId w:val="1187"/>
          <w:ilvl w:val="0"/>
        </w:numPr>
      </w:pPr>
      <w:r>
        <w:t xml:space="preserve">Nekontaktní DS</w:t>
      </w:r>
    </w:p>
    <w:p>
      <w:pPr>
        <w:pStyle w:val="Compact"/>
        <w:numPr>
          <w:numId w:val="1187"/>
          <w:ilvl w:val="0"/>
        </w:numPr>
      </w:pPr>
      <w:r>
        <w:t xml:space="preserve">Nespolehlivý plátce</w:t>
      </w:r>
    </w:p>
    <w:p>
      <w:pPr>
        <w:pStyle w:val="Compact"/>
        <w:numPr>
          <w:numId w:val="1187"/>
          <w:ilvl w:val="0"/>
        </w:numPr>
      </w:pPr>
      <w:r>
        <w:t xml:space="preserve">§ 106a ZDPH:</w:t>
      </w:r>
    </w:p>
    <w:p>
      <w:pPr>
        <w:pStyle w:val="Compact"/>
        <w:numPr>
          <w:numId w:val="1191"/>
          <w:ilvl w:val="2"/>
        </w:numPr>
      </w:pPr>
      <w:r>
        <w:t xml:space="preserve">Poruší-li plátce závažným způsobem své povinnosti vztahující se ke správě daně, správce daně rozhodne, že tento plátce je nespolehlivým plátcem.</w:t>
      </w:r>
    </w:p>
    <w:p>
      <w:pPr>
        <w:pStyle w:val="Compact"/>
        <w:numPr>
          <w:numId w:val="1187"/>
          <w:ilvl w:val="0"/>
        </w:numPr>
      </w:pPr>
      <w:r>
        <w:t xml:space="preserve">§109 odst. 3 ZDPH:</w:t>
      </w:r>
    </w:p>
    <w:p>
      <w:pPr>
        <w:pStyle w:val="Compact"/>
        <w:numPr>
          <w:numId w:val="1193"/>
          <w:ilvl w:val="2"/>
        </w:numPr>
      </w:pPr>
      <w:r>
        <w:t xml:space="preserve">Příjemce zdanitelného plnění ručí za nezaplacenou daň z tohoto plnění, pokud je v okamžiku jeho uskutečnění nebo poskytnutí úplaty na něj o poskytovateli zdanitelného plnění zveřejněna způsobem umožňujícím dálkový přístup skutečnost, že je nespolehlivým plátcem.</w:t>
      </w:r>
    </w:p>
    <w:p>
      <w:pPr>
        <w:pStyle w:val="Compact"/>
        <w:numPr>
          <w:numId w:val="1187"/>
          <w:ilvl w:val="0"/>
        </w:numPr>
      </w:pPr>
      <w:r>
        <w:t xml:space="preserve">Nespolehlivý plátce</w:t>
      </w:r>
    </w:p>
    <w:p>
      <w:pPr>
        <w:pStyle w:val="Compact"/>
        <w:numPr>
          <w:numId w:val="1187"/>
          <w:ilvl w:val="0"/>
        </w:numPr>
      </w:pPr>
      <w:r>
        <w:t xml:space="preserve">neuznání plátcem deklarovaného nároku na odpočet, který byl v důsledku porušení povinností snížen správcem daně minimálně o 500.000,- Kč a související vyměřená/doměřená daň není zcela uhrazena</w:t>
      </w:r>
    </w:p>
    <w:p>
      <w:pPr>
        <w:pStyle w:val="Compact"/>
        <w:numPr>
          <w:numId w:val="1187"/>
          <w:ilvl w:val="0"/>
        </w:numPr>
      </w:pPr>
      <w:r>
        <w:t xml:space="preserve">plátce nepodá opakovaně povinná podání na DPH ani na základě výzvy správce daně (DAP DPH/výpis/SH – nepodání 2x v období 12ti měsíců bez řádného odůvodnění).</w:t>
      </w:r>
    </w:p>
    <w:p>
      <w:pPr>
        <w:numPr>
          <w:numId w:val="1187"/>
          <w:ilvl w:val="0"/>
        </w:numPr>
      </w:pPr>
      <w:r>
        <w:t xml:space="preserve">uvedení nepravdivého údaje ohledně skutečného (reálného) sídla – zaměřeno na virtuální a „home-office“ společnosti</w:t>
      </w:r>
    </w:p>
    <w:p>
      <w:pPr>
        <w:pStyle w:val="Compact"/>
        <w:numPr>
          <w:numId w:val="1187"/>
          <w:ilvl w:val="0"/>
        </w:numPr>
      </w:pPr>
      <w:r>
        <w:t xml:space="preserve">Nespolehlivý plátce</w:t>
      </w:r>
    </w:p>
    <w:p>
      <w:pPr>
        <w:pStyle w:val="Compact"/>
        <w:numPr>
          <w:numId w:val="1187"/>
          <w:ilvl w:val="0"/>
        </w:numPr>
      </w:pPr>
      <w:r>
        <w:t xml:space="preserve">Zveřejnění na webu daňové správy</w:t>
      </w:r>
    </w:p>
    <w:p>
      <w:pPr>
        <w:pStyle w:val="Compact"/>
        <w:numPr>
          <w:numId w:val="1187"/>
          <w:ilvl w:val="0"/>
        </w:numPr>
      </w:pPr>
      <w:r>
        <w:t xml:space="preserve">Možnost eliminace rizika ručení:</w:t>
      </w:r>
    </w:p>
    <w:p>
      <w:pPr>
        <w:pStyle w:val="Compact"/>
        <w:numPr>
          <w:numId w:val="1194"/>
          <w:ilvl w:val="1"/>
        </w:numPr>
      </w:pPr>
      <w:r>
        <w:t xml:space="preserve">Příjemce zdanitelného plnění může vždy využít tzv. „zvláštní způsob zajištění daně“ (§ 109a ZDPH) a uhradit daň, kterou platí v ceně za přijaté plnění přímo Finančnímu úřadu poskytovatele.</w:t>
      </w:r>
    </w:p>
    <w:p>
      <w:pPr>
        <w:pStyle w:val="Compact"/>
        <w:numPr>
          <w:numId w:val="1187"/>
          <w:ilvl w:val="0"/>
        </w:numPr>
      </w:pPr>
      <w:r>
        <w:t xml:space="preserve">Ručení příjemce zdanitelného plnění</w:t>
      </w:r>
    </w:p>
    <w:p>
      <w:pPr>
        <w:pStyle w:val="Compact"/>
        <w:numPr>
          <w:numId w:val="1187"/>
          <w:ilvl w:val="0"/>
        </w:numPr>
      </w:pPr>
      <w:r>
        <w:t xml:space="preserve">DS věděl nebo vědět měl a mohl, že</w:t>
      </w:r>
    </w:p>
    <w:p>
      <w:pPr>
        <w:pStyle w:val="Compact"/>
        <w:numPr>
          <w:numId w:val="1196"/>
          <w:ilvl w:val="2"/>
        </w:numPr>
      </w:pPr>
      <w:r>
        <w:t xml:space="preserve">daň uvedená na daňovém dokladu nebude úmyslně zaplacena,</w:t>
      </w:r>
    </w:p>
    <w:p>
      <w:pPr>
        <w:pStyle w:val="Compact"/>
        <w:numPr>
          <w:numId w:val="1197"/>
          <w:ilvl w:val="2"/>
        </w:numPr>
      </w:pPr>
      <w:r>
        <w:t xml:space="preserve">poskytovatel zdanitelného plnění se úmyslně dostal nebo dostane do postavení, kdy nemůže daň zaplatit, nebo</w:t>
      </w:r>
    </w:p>
    <w:p>
      <w:pPr>
        <w:pStyle w:val="Compact"/>
        <w:numPr>
          <w:numId w:val="1198"/>
          <w:ilvl w:val="2"/>
        </w:numPr>
      </w:pPr>
      <w:r>
        <w:t xml:space="preserve">dojde ke zkrácení daně nebo vylákání daňové výhody.</w:t>
      </w:r>
    </w:p>
    <w:p>
      <w:pPr>
        <w:pStyle w:val="Compact"/>
        <w:numPr>
          <w:numId w:val="1187"/>
          <w:ilvl w:val="0"/>
        </w:numPr>
      </w:pPr>
      <w:r>
        <w:t xml:space="preserve">Ručení příjemce zdanitelného plnění</w:t>
      </w:r>
    </w:p>
    <w:p>
      <w:pPr>
        <w:pStyle w:val="Compact"/>
        <w:numPr>
          <w:numId w:val="1187"/>
          <w:ilvl w:val="0"/>
        </w:numPr>
      </w:pPr>
      <w:r>
        <w:t xml:space="preserve">Příjemce zdanitelného plnění ručí také za nezaplacenou daň z tohoto plnění, pokud je úplata za toto plnění</w:t>
      </w:r>
    </w:p>
    <w:p>
      <w:pPr>
        <w:pStyle w:val="Compact"/>
        <w:numPr>
          <w:numId w:val="1200"/>
          <w:ilvl w:val="2"/>
        </w:numPr>
      </w:pPr>
      <w:r>
        <w:t xml:space="preserve">bez ekonomického opodstatnění zcela zjevně odchylná od obvyklé ceny,</w:t>
      </w:r>
    </w:p>
    <w:p>
      <w:pPr>
        <w:pStyle w:val="Compact"/>
        <w:numPr>
          <w:numId w:val="1201"/>
          <w:ilvl w:val="2"/>
        </w:numPr>
      </w:pPr>
      <w:r>
        <w:t xml:space="preserve">poskytnuta bezhotovostním převodem na účet vedený poskytovatelem platebních služeb mimo tuzemsko, nebo</w:t>
      </w:r>
    </w:p>
    <w:p>
      <w:pPr>
        <w:pStyle w:val="Compact"/>
        <w:numPr>
          <w:numId w:val="1202"/>
          <w:ilvl w:val="2"/>
        </w:numPr>
      </w:pPr>
      <w:r>
        <w:t xml:space="preserve">poskytnuta bezhotovostním převodem na jiný účet než účet poskytovatele zdanitelného plnění, který je správcem daně zveřejněn způsobem umožňujícím dálkový přístup, a pokud úplata za toto plnění překračuje dvojnásobek částky podle zákona upravujícího omezení plateb v hotovosti, (= 2 x 270 000 Kč = Kč 540 000)</w:t>
      </w:r>
    </w:p>
    <w:p>
      <w:pPr>
        <w:pStyle w:val="Compact"/>
        <w:numPr>
          <w:numId w:val="1187"/>
          <w:ilvl w:val="0"/>
        </w:numPr>
      </w:pPr>
      <w:r>
        <w:t xml:space="preserve">Ručení příjemce zdanitelného plnění</w:t>
      </w:r>
    </w:p>
    <w:p>
      <w:pPr>
        <w:pStyle w:val="Compact"/>
        <w:numPr>
          <w:numId w:val="1187"/>
          <w:ilvl w:val="0"/>
        </w:numPr>
      </w:pPr>
      <w:r>
        <w:t xml:space="preserve">Příjemce zdanitelného plnění ručí za nezaplacenou daň z tohoto plnění, pokud je o poskytovateli zdanitelného plnění zveřejněna na internetu finanční správy zveřejněno, že je nespolehlivým plátcem.</w:t>
      </w:r>
    </w:p>
    <w:p>
      <w:pPr>
        <w:numPr>
          <w:numId w:val="1187"/>
          <w:ilvl w:val="0"/>
        </w:numPr>
      </w:pPr>
      <w:r>
        <w:t xml:space="preserve">Příjemce pohonných hmot od distributora pohonných ručí za nezaplacenou daň z tohoto plnění, pokud není o poskytovateli zdanitelného plnění zveřejněna na internetu skutečnost, že je registrován jako distributor pohonných hmot podle zákona upravujícího pohonné hmoty.</w:t>
      </w:r>
    </w:p>
    <w:p>
      <w:pPr>
        <w:pStyle w:val="Heading2"/>
      </w:pPr>
      <w:bookmarkStart w:id="101" w:name="mezinárodní-zdanění-pojem-charakteristika-dohody-o-zamezení-dvojímu-zdanění"/>
      <w:bookmarkEnd w:id="101"/>
      <w:r>
        <w:t xml:space="preserve">14. Mezinárodní zdanění – pojem, charakteristika; dohody o zamezení dvojímu zdanění</w:t>
      </w:r>
    </w:p>
    <w:p>
      <w:pPr>
        <w:pStyle w:val="FirstParagraph"/>
      </w:pPr>
      <w:r>
        <w:t xml:space="preserve">Mezinárodní právo daňové má stejnou základní charakteristiku jako jakékoliv jiné mezinárodní právo: tvoří jej síť mezinárodních smluv. Současně pak také platí, že mezinárodní smlouvy mají aplikační přednost. To konkrétně znamená, že ustanovení národního zákona o dani z příjmu se nepoužije v rozsahu, v jakém je v rozporu s mezinárodní smlouvou.</w:t>
      </w:r>
    </w:p>
    <w:p>
      <w:pPr>
        <w:pStyle w:val="Compact"/>
        <w:numPr>
          <w:numId w:val="1203"/>
          <w:ilvl w:val="0"/>
        </w:numPr>
      </w:pPr>
      <w:r>
        <w:t xml:space="preserve">Čl. 10 Ústavy:</w:t>
      </w:r>
    </w:p>
    <w:p>
      <w:pPr>
        <w:pStyle w:val="Compact"/>
        <w:numPr>
          <w:numId w:val="1203"/>
          <w:ilvl w:val="0"/>
        </w:numPr>
      </w:pPr>
      <w:r>
        <w:t xml:space="preserve">„Vyhlášené mezinárodní smlouvy, k jejichž ratifikaci dal Parlament souhlas a jimiž je Česká republika vázána, jsou součástí právního řádu; stanoví-li mezinárodní smlouva něco jiného než zákon, použije se mezinárodní smlouva.“</w:t>
      </w:r>
    </w:p>
    <w:p>
      <w:pPr>
        <w:numPr>
          <w:numId w:val="1203"/>
          <w:ilvl w:val="0"/>
        </w:numPr>
      </w:pPr>
      <w:r>
        <w:t xml:space="preserve">=&gt; aplikační přednost mezinárodních smluv</w:t>
      </w:r>
    </w:p>
    <w:p>
      <w:pPr>
        <w:pStyle w:val="Compact"/>
        <w:numPr>
          <w:numId w:val="1203"/>
          <w:ilvl w:val="0"/>
        </w:numPr>
      </w:pPr>
      <w:r>
        <w:t xml:space="preserve">V oblasti daně z příjmu se jedná prakticky o celou řadu bilaterálních smluv, které spolu jednotlivé státy uzavírají za účelem stanovení pravidel zdanění při ekonomických činnostech s mezinárodním prvkem.</w:t>
      </w:r>
    </w:p>
    <w:p>
      <w:pPr>
        <w:pStyle w:val="Compact"/>
        <w:numPr>
          <w:numId w:val="1203"/>
          <w:ilvl w:val="0"/>
        </w:numPr>
      </w:pPr>
      <w:r>
        <w:t xml:space="preserve">Konkrétně se jedná o tzv. smlouvy o zamezení dvojímu zdanění (Double Tax Treate), jejíž hlavním deklarovaným cílem, jak vyplývá už z jejich názvu, je zabránit tomu, aby jeden a tentýž příjem byl zdaněný dvakrát, tj. aby byl efektivně (tj. zejména bez následných kompenzací) zdaněn ve dvou zemích.</w:t>
      </w:r>
    </w:p>
    <w:p>
      <w:pPr>
        <w:pStyle w:val="Compact"/>
        <w:numPr>
          <w:numId w:val="1203"/>
          <w:ilvl w:val="0"/>
        </w:numPr>
      </w:pPr>
      <w:r>
        <w:t xml:space="preserve">Samozřejmým současným cílem zúčastněných národních daňových správ je zabránit i tomu, aby docházelo k tzv. dvojímu nezdanění, tj. aby některý příjem nebyl zdaněn v žádné zemi (nebo konkrétněji: nebyl zdaněn ani v jedné ze smluvních zemí).</w:t>
      </w:r>
    </w:p>
    <w:p>
      <w:pPr>
        <w:pStyle w:val="Compact"/>
        <w:numPr>
          <w:numId w:val="1203"/>
          <w:ilvl w:val="0"/>
        </w:numPr>
      </w:pPr>
      <w:r>
        <w:t xml:space="preserve">ČR má v současné době uzavřenou smlouvu o zamezení dvojímu zdanění s téměř 100 zeměmi světa.</w:t>
      </w:r>
    </w:p>
    <w:p>
      <w:pPr>
        <w:pStyle w:val="Compact"/>
        <w:numPr>
          <w:numId w:val="1203"/>
          <w:ilvl w:val="0"/>
        </w:numPr>
      </w:pPr>
      <w:r>
        <w:t xml:space="preserve">Pro uzavírání bilaterálních smluv o zamezení dvojího zdanění v současné době se používá zejména model OECD.</w:t>
      </w:r>
    </w:p>
    <w:p>
      <w:pPr>
        <w:numPr>
          <w:numId w:val="1203"/>
          <w:ilvl w:val="0"/>
        </w:numPr>
      </w:pPr>
      <w:r>
        <w:t xml:space="preserve">Text vzorové smlouvy OECD spolu s Komentářem ke smlouvě tak představuje podrobný návod ke sjednávání takových smluv a zejména pak jejich interpretaci.</w:t>
      </w:r>
    </w:p>
    <w:p>
      <w:pPr>
        <w:pStyle w:val="Compact"/>
        <w:numPr>
          <w:numId w:val="1203"/>
          <w:ilvl w:val="0"/>
        </w:numPr>
      </w:pPr>
      <w:r>
        <w:t xml:space="preserve">Systém dohod o zamezení dvojího zdanění:</w:t>
      </w:r>
    </w:p>
    <w:p>
      <w:pPr>
        <w:pStyle w:val="Compact"/>
        <w:numPr>
          <w:numId w:val="1203"/>
          <w:ilvl w:val="0"/>
        </w:numPr>
      </w:pPr>
      <w:r>
        <w:t xml:space="preserve">Přehled smluv – viz https://www.mfcr.cz/cs/legislativa/dvojizdaneni/prehled-platnych-smluv</w:t>
      </w:r>
    </w:p>
    <w:p>
      <w:pPr>
        <w:numPr>
          <w:numId w:val="1203"/>
          <w:ilvl w:val="0"/>
        </w:numPr>
      </w:pPr>
      <w:r>
        <w:t xml:space="preserve">OECD: Doporučení Rady týkající se vzorové smlouvy o zamezení dvojího zdanění – viz Sdělení MF čj. 251/15 082/96 ve Finančním zpravodaji 4/1996</w:t>
      </w:r>
    </w:p>
    <w:p>
      <w:pPr>
        <w:pStyle w:val="Compact"/>
        <w:numPr>
          <w:numId w:val="1203"/>
          <w:ilvl w:val="0"/>
        </w:numPr>
      </w:pPr>
      <w:r>
        <w:rPr>
          <w:b/>
        </w:rPr>
        <w:t xml:space="preserve">Princip zdanění v místě zdroje příjmů</w:t>
      </w:r>
    </w:p>
    <w:p>
      <w:pPr>
        <w:pStyle w:val="Compact"/>
        <w:numPr>
          <w:numId w:val="1203"/>
          <w:ilvl w:val="0"/>
        </w:numPr>
      </w:pPr>
      <w:r>
        <w:t xml:space="preserve">Základním dosavadním principem mezinárodního práva daňového v oblasti daně z příjmu je to, že by se každý příjem měl zdanit v zemi svého zdroje.</w:t>
      </w:r>
    </w:p>
    <w:p>
      <w:pPr>
        <w:numPr>
          <w:numId w:val="1203"/>
          <w:ilvl w:val="0"/>
        </w:numPr>
      </w:pPr>
      <w:r>
        <w:t xml:space="preserve">Tedy u každého druhu příjmu je potřeba určit místo (tedy stát) jeho zdroje, a zde (tedy v tomto státě) by pak tento příjem měl být zdaněn.</w:t>
      </w:r>
    </w:p>
    <w:p>
      <w:pPr>
        <w:pStyle w:val="Compact"/>
        <w:numPr>
          <w:numId w:val="1203"/>
          <w:ilvl w:val="0"/>
        </w:numPr>
      </w:pPr>
      <w:r>
        <w:rPr>
          <w:b/>
        </w:rPr>
        <w:t xml:space="preserve">Zdanění celosvětových příjmů v zemi daňového domicilu</w:t>
      </w:r>
    </w:p>
    <w:p>
      <w:pPr>
        <w:pStyle w:val="Compact"/>
        <w:numPr>
          <w:numId w:val="1203"/>
          <w:ilvl w:val="0"/>
        </w:numPr>
      </w:pPr>
      <w:r>
        <w:t xml:space="preserve">Současně by mělo platit, že každý jednotlivý poplatník daně z příjmu by měl mít právě v jedné zemi svůj tzv. daňový domicil (je zde „daňovým rezidentem“), a v této zemi by zdaňována veškeré své celosvětové příjmy.</w:t>
      </w:r>
    </w:p>
    <w:p>
      <w:pPr>
        <w:numPr>
          <w:numId w:val="1203"/>
          <w:ilvl w:val="0"/>
        </w:numPr>
      </w:pPr>
      <w:r>
        <w:t xml:space="preserve">Část těchto příjmů, která má svůj zdroj v druhé zemi, může být současně zdaněna v druhé zemi - takto odvedená daň v druhé zemi pak bude určitým způsobem započtena (nebo celý tento příjem vyňat) vůči celkové dani v zemi daňového domicilu. Tímto způsobem efektivně dojde k vyloučení dvojího zdanění.</w:t>
      </w:r>
    </w:p>
    <w:p>
      <w:pPr>
        <w:pStyle w:val="Compact"/>
        <w:numPr>
          <w:numId w:val="1203"/>
          <w:ilvl w:val="0"/>
        </w:numPr>
      </w:pPr>
      <w:r>
        <w:t xml:space="preserve">Základní pojmy:</w:t>
      </w:r>
    </w:p>
    <w:p>
      <w:pPr>
        <w:pStyle w:val="Compact"/>
        <w:numPr>
          <w:numId w:val="1203"/>
          <w:ilvl w:val="0"/>
        </w:numPr>
      </w:pPr>
      <w:r>
        <w:rPr>
          <w:b/>
        </w:rPr>
        <w:t xml:space="preserve">Daňový rezident</w:t>
      </w:r>
      <w:r>
        <w:t xml:space="preserve"> </w:t>
      </w:r>
      <w:r>
        <w:t xml:space="preserve">(daňový tuzemec) – má celosvětovou daňovou povinnost vůči</w:t>
      </w:r>
    </w:p>
    <w:p>
      <w:pPr>
        <w:numPr>
          <w:numId w:val="1203"/>
          <w:ilvl w:val="0"/>
        </w:numPr>
      </w:pPr>
      <w:r>
        <w:rPr>
          <w:b/>
        </w:rPr>
        <w:t xml:space="preserve">Daňový nerezident</w:t>
      </w:r>
      <w:r>
        <w:t xml:space="preserve"> </w:t>
      </w:r>
      <w:r>
        <w:t xml:space="preserve">(daňový cizozemec) – má pouze omezenou daňovou povinnost: pouze z příjmů ze zdrojů na území státu a z majetku na území státu</w:t>
      </w:r>
    </w:p>
    <w:p>
      <w:pPr>
        <w:pStyle w:val="Compact"/>
        <w:numPr>
          <w:numId w:val="1203"/>
          <w:ilvl w:val="0"/>
        </w:numPr>
      </w:pPr>
      <w:r>
        <w:t xml:space="preserve">Daňový rezident - fyzická osoba:</w:t>
      </w:r>
    </w:p>
    <w:p>
      <w:pPr>
        <w:pStyle w:val="Compact"/>
        <w:numPr>
          <w:numId w:val="1203"/>
          <w:ilvl w:val="0"/>
        </w:numPr>
      </w:pPr>
      <w:r>
        <w:t xml:space="preserve">Určení, v které zemi má osoba daňový domicil, tzn. v které zemi je daňovým rezidentem, spočívá obvykle (podle vzorové smlouvy OECD) zejména na těchto kritériích (uplatňování v tomto pořadí):</w:t>
      </w:r>
    </w:p>
    <w:p>
      <w:pPr>
        <w:pStyle w:val="Compact"/>
        <w:numPr>
          <w:numId w:val="1204"/>
          <w:ilvl w:val="1"/>
        </w:numPr>
      </w:pPr>
      <w:r>
        <w:t xml:space="preserve">kde má stálý byt</w:t>
      </w:r>
    </w:p>
    <w:p>
      <w:pPr>
        <w:pStyle w:val="Compact"/>
        <w:numPr>
          <w:numId w:val="1204"/>
          <w:ilvl w:val="1"/>
        </w:numPr>
      </w:pPr>
      <w:r>
        <w:t xml:space="preserve">kde má užší osobní a hospodářské vztahy</w:t>
      </w:r>
    </w:p>
    <w:p>
      <w:pPr>
        <w:pStyle w:val="Compact"/>
        <w:numPr>
          <w:numId w:val="1204"/>
          <w:ilvl w:val="1"/>
        </w:numPr>
      </w:pPr>
      <w:r>
        <w:t xml:space="preserve">kde se obvykle zdržuje</w:t>
      </w:r>
    </w:p>
    <w:p>
      <w:pPr>
        <w:pStyle w:val="Compact"/>
        <w:numPr>
          <w:numId w:val="1204"/>
          <w:ilvl w:val="1"/>
        </w:numPr>
      </w:pPr>
      <w:r>
        <w:t xml:space="preserve">kde státním příslušníkem</w:t>
      </w:r>
    </w:p>
    <w:p>
      <w:pPr>
        <w:numPr>
          <w:numId w:val="1203"/>
          <w:ilvl w:val="0"/>
        </w:numPr>
      </w:pPr>
      <w:r>
        <w:t xml:space="preserve">Úprava daňového rezidenta je obvykle v článku 4 smlouvy o zamezení dvojího zdanění.</w:t>
      </w:r>
    </w:p>
    <w:p>
      <w:pPr>
        <w:pStyle w:val="Compact"/>
        <w:numPr>
          <w:numId w:val="1203"/>
          <w:ilvl w:val="0"/>
        </w:numPr>
      </w:pPr>
      <w:r>
        <w:t xml:space="preserve">Daňový rezident - právnická osoba:</w:t>
      </w:r>
    </w:p>
    <w:p>
      <w:pPr>
        <w:pStyle w:val="Compact"/>
        <w:numPr>
          <w:numId w:val="1203"/>
          <w:ilvl w:val="0"/>
        </w:numPr>
      </w:pPr>
      <w:r>
        <w:t xml:space="preserve">Sídlo skutečného vedení</w:t>
      </w:r>
    </w:p>
    <w:p>
      <w:pPr>
        <w:pStyle w:val="Compact"/>
        <w:numPr>
          <w:numId w:val="1205"/>
          <w:ilvl w:val="1"/>
        </w:numPr>
      </w:pPr>
      <w:r>
        <w:t xml:space="preserve">Viz také § 17 odst. 3 ZDP: místo vedení = adresa místa, ze kterého je poplatník řízen</w:t>
      </w:r>
    </w:p>
    <w:p>
      <w:pPr>
        <w:pStyle w:val="Compact"/>
        <w:numPr>
          <w:numId w:val="1205"/>
          <w:ilvl w:val="1"/>
        </w:numPr>
      </w:pPr>
      <w:r>
        <w:t xml:space="preserve">místo, kde jsou ve skutečnosti prováděna klíčová řídící a obchodní rozhodnutí, která jsou nezbytná k provádění průmyslové a obchodní činnosti podniku jako celku a která nemohou být na nižších úrovních řízení měněna</w:t>
      </w:r>
    </w:p>
    <w:p>
      <w:pPr>
        <w:pStyle w:val="Compact"/>
        <w:numPr>
          <w:numId w:val="1205"/>
          <w:ilvl w:val="1"/>
        </w:numPr>
      </w:pPr>
      <w:r>
        <w:t xml:space="preserve">Obvykle ho tvrdí FÚ, tedy to musí i prokázat</w:t>
      </w:r>
    </w:p>
    <w:p>
      <w:pPr>
        <w:pStyle w:val="Compact"/>
        <w:numPr>
          <w:numId w:val="1203"/>
          <w:ilvl w:val="0"/>
        </w:numPr>
      </w:pPr>
      <w:r>
        <w:t xml:space="preserve">Zdaňování nerezidentů</w:t>
      </w:r>
    </w:p>
    <w:p>
      <w:pPr>
        <w:pStyle w:val="Compact"/>
        <w:numPr>
          <w:numId w:val="1203"/>
          <w:ilvl w:val="0"/>
        </w:numPr>
      </w:pPr>
      <w:r>
        <w:t xml:space="preserve">Pouze příjmy ze zdrojů na území ČR</w:t>
      </w:r>
    </w:p>
    <w:p>
      <w:pPr>
        <w:pStyle w:val="Compact"/>
        <w:numPr>
          <w:numId w:val="1206"/>
          <w:ilvl w:val="1"/>
        </w:numPr>
      </w:pPr>
      <w:r>
        <w:t xml:space="preserve">§ 22 ZDP + Smlouvy o zamezení dvojího zdanění</w:t>
      </w:r>
    </w:p>
    <w:p>
      <w:pPr>
        <w:pStyle w:val="Compact"/>
        <w:numPr>
          <w:numId w:val="1206"/>
          <w:ilvl w:val="1"/>
        </w:numPr>
      </w:pPr>
      <w:r>
        <w:t xml:space="preserve">Smlouvy dá ČR právo + musí být zakotven v českém zákoně</w:t>
      </w:r>
    </w:p>
    <w:p>
      <w:pPr>
        <w:pStyle w:val="Compact"/>
        <w:numPr>
          <w:numId w:val="1203"/>
          <w:ilvl w:val="0"/>
        </w:numPr>
      </w:pPr>
      <w:r>
        <w:t xml:space="preserve">Klíčová kritéria:</w:t>
      </w:r>
    </w:p>
    <w:p>
      <w:pPr>
        <w:pStyle w:val="Compact"/>
        <w:numPr>
          <w:numId w:val="1207"/>
          <w:ilvl w:val="1"/>
        </w:numPr>
      </w:pPr>
      <w:r>
        <w:t xml:space="preserve">Kde je vykonávána činnost</w:t>
      </w:r>
    </w:p>
    <w:p>
      <w:pPr>
        <w:pStyle w:val="Compact"/>
        <w:numPr>
          <w:numId w:val="1207"/>
          <w:ilvl w:val="1"/>
        </w:numPr>
      </w:pPr>
      <w:r>
        <w:t xml:space="preserve">Kdo tento příjem vyplácí</w:t>
      </w:r>
    </w:p>
    <w:p>
      <w:pPr>
        <w:pStyle w:val="Compact"/>
        <w:numPr>
          <w:numId w:val="1207"/>
          <w:ilvl w:val="1"/>
        </w:numPr>
      </w:pPr>
      <w:r>
        <w:t xml:space="preserve">Kde je umístěn či využíván majetek</w:t>
      </w:r>
    </w:p>
    <w:p>
      <w:pPr>
        <w:pStyle w:val="Compact"/>
        <w:numPr>
          <w:numId w:val="1203"/>
          <w:ilvl w:val="0"/>
        </w:numPr>
      </w:pPr>
      <w:r>
        <w:t xml:space="preserve">Zdaňování nerezidentů</w:t>
      </w:r>
    </w:p>
    <w:p>
      <w:pPr>
        <w:pStyle w:val="Compact"/>
        <w:numPr>
          <w:numId w:val="1203"/>
          <w:ilvl w:val="0"/>
        </w:numPr>
      </w:pPr>
      <w:r>
        <w:t xml:space="preserve">Příjmy z podnikání</w:t>
      </w:r>
    </w:p>
    <w:p>
      <w:pPr>
        <w:pStyle w:val="Compact"/>
        <w:numPr>
          <w:numId w:val="1208"/>
          <w:ilvl w:val="1"/>
        </w:numPr>
      </w:pPr>
      <w:r>
        <w:t xml:space="preserve">Pokud „stálá provozovna“:</w:t>
      </w:r>
    </w:p>
    <w:p>
      <w:pPr>
        <w:pStyle w:val="Compact"/>
        <w:numPr>
          <w:numId w:val="1208"/>
          <w:ilvl w:val="1"/>
        </w:numPr>
      </w:pPr>
      <w:r>
        <w:t xml:space="preserve">např. dílna, kancelář, místo k těžbě přírodních zdrojů, místo prodeje (odbytiště),</w:t>
      </w:r>
    </w:p>
    <w:p>
      <w:pPr>
        <w:pStyle w:val="Compact"/>
        <w:numPr>
          <w:numId w:val="1208"/>
          <w:ilvl w:val="1"/>
        </w:numPr>
      </w:pPr>
      <w:r>
        <w:t xml:space="preserve">Staveniště: pouze tehdy, pokud splní časový test (3/6/9/12 měsíců):</w:t>
      </w:r>
    </w:p>
    <w:p>
      <w:pPr>
        <w:pStyle w:val="Compact"/>
        <w:numPr>
          <w:numId w:val="1208"/>
          <w:ilvl w:val="1"/>
        </w:numPr>
      </w:pPr>
      <w:r>
        <w:t xml:space="preserve">Německo, Rakousko, Polsko, Slovensko: nad 12 měsíců; Rumunsko: nad 9 měsíců; Norsko: nad 6 měsíců</w:t>
      </w:r>
    </w:p>
    <w:p>
      <w:pPr>
        <w:pStyle w:val="Compact"/>
        <w:numPr>
          <w:numId w:val="1203"/>
          <w:ilvl w:val="0"/>
        </w:numPr>
      </w:pPr>
      <w:r>
        <w:t xml:space="preserve">„Službová“ stálá provozovna:</w:t>
      </w:r>
    </w:p>
    <w:p>
      <w:pPr>
        <w:pStyle w:val="Compact"/>
        <w:numPr>
          <w:numId w:val="1209"/>
          <w:ilvl w:val="1"/>
        </w:numPr>
      </w:pPr>
      <w:r>
        <w:t xml:space="preserve">Německo, Velká Británie, Španělsko: nestanoví</w:t>
      </w:r>
    </w:p>
    <w:p>
      <w:pPr>
        <w:pStyle w:val="Compact"/>
        <w:numPr>
          <w:numId w:val="1209"/>
          <w:ilvl w:val="1"/>
        </w:numPr>
      </w:pPr>
      <w:r>
        <w:t xml:space="preserve">Rakousko, Polsko, Slovensko: 6 za 12 měsíců</w:t>
      </w:r>
    </w:p>
    <w:p>
      <w:pPr>
        <w:numPr>
          <w:numId w:val="1203"/>
          <w:ilvl w:val="0"/>
        </w:numPr>
      </w:pPr>
      <w:r>
        <w:t xml:space="preserve">Zdanění: pouze v rozsahu přičitatelném provozovně</w:t>
      </w:r>
    </w:p>
    <w:p>
      <w:pPr>
        <w:pStyle w:val="Compact"/>
        <w:numPr>
          <w:numId w:val="1203"/>
          <w:ilvl w:val="0"/>
        </w:numPr>
      </w:pPr>
      <w:r>
        <w:t xml:space="preserve">Stálá provozovna</w:t>
      </w:r>
    </w:p>
    <w:p>
      <w:pPr>
        <w:pStyle w:val="Compact"/>
        <w:numPr>
          <w:numId w:val="1203"/>
          <w:ilvl w:val="0"/>
        </w:numPr>
      </w:pPr>
      <w:r>
        <w:t xml:space="preserve">Jestliže osoba vykonává svoji podnikatelskou činnost v druhém smluvním státě, mohou být zisky takového podniku zdaněny ve druhém státě.</w:t>
      </w:r>
    </w:p>
    <w:p>
      <w:pPr>
        <w:numPr>
          <w:numId w:val="1203"/>
          <w:ilvl w:val="0"/>
        </w:numPr>
      </w:pPr>
      <w:r>
        <w:t xml:space="preserve">Podmínkou je, že činnost je ve druhém státě vykonávána prostřednictvím tzv. stále provozovny.</w:t>
      </w:r>
    </w:p>
    <w:p>
      <w:pPr>
        <w:pStyle w:val="Compact"/>
        <w:numPr>
          <w:numId w:val="1203"/>
          <w:ilvl w:val="0"/>
        </w:numPr>
      </w:pPr>
      <w:r>
        <w:t xml:space="preserve">Pojem</w:t>
      </w:r>
      <w:r>
        <w:t xml:space="preserve"> </w:t>
      </w:r>
      <w:r>
        <w:rPr>
          <w:b/>
        </w:rPr>
        <w:t xml:space="preserve">stála provozovna</w:t>
      </w:r>
      <w:r>
        <w:t xml:space="preserve"> </w:t>
      </w:r>
      <w:r>
        <w:t xml:space="preserve">zahrnuje zejména místo vedení části podniku,</w:t>
      </w:r>
    </w:p>
    <w:p>
      <w:pPr>
        <w:pStyle w:val="Compact"/>
        <w:numPr>
          <w:numId w:val="1203"/>
          <w:ilvl w:val="0"/>
        </w:numPr>
      </w:pPr>
      <w:r>
        <w:t xml:space="preserve">pobočku, kancelář, továrnu, dílnu a důl (či jakékoliv jiné místo, kde se těží přírodní zdroje).</w:t>
      </w:r>
    </w:p>
    <w:p>
      <w:pPr>
        <w:pStyle w:val="Compact"/>
        <w:numPr>
          <w:numId w:val="1203"/>
          <w:ilvl w:val="0"/>
        </w:numPr>
      </w:pPr>
      <w:r>
        <w:t xml:space="preserve">Výraz stála provozovna rovněž zahrnuje staveniště (nebo stavební, montážní nebo instalační projekt nebo dozor), avšak pouze pokud takové staveniště, projekt nebo dozor trvá déle než 12 měsíců (toto období bývá v různých smlouvách upraveno různě).</w:t>
      </w:r>
    </w:p>
    <w:p>
      <w:pPr>
        <w:pStyle w:val="Compact"/>
        <w:numPr>
          <w:numId w:val="1203"/>
          <w:ilvl w:val="0"/>
        </w:numPr>
      </w:pPr>
      <w:r>
        <w:t xml:space="preserve">Výraz</w:t>
      </w:r>
      <w:r>
        <w:t xml:space="preserve"> </w:t>
      </w:r>
      <w:r>
        <w:rPr>
          <w:b/>
        </w:rPr>
        <w:t xml:space="preserve">stála provozovna</w:t>
      </w:r>
      <w:r>
        <w:t xml:space="preserve"> </w:t>
      </w:r>
      <w:r>
        <w:t xml:space="preserve">rovněž může zahrnovat (záleží na té které konkrétní smlouvě) poskytování služeb (včetně poradenských nebo manažerských) prostřednictvím zaměstnanců nebo jiných najatých pracovníků, pokud tyto služby trvají na území druhého smluvního státu v úhrnu 6 měsíců jakémkoliv 12 měsíčním období (nebo v závislosti na textu té které konkrétní smlouvy).</w:t>
      </w:r>
    </w:p>
    <w:p>
      <w:pPr>
        <w:numPr>
          <w:numId w:val="1203"/>
          <w:ilvl w:val="0"/>
        </w:numPr>
      </w:pPr>
      <w:r>
        <w:t xml:space="preserve">Smluvní normy týkající se stálé provozovny se obvykle nacházejí v článku 5 smlouvy o zamezení dvojího zdanění.</w:t>
      </w:r>
    </w:p>
    <w:p>
      <w:pPr>
        <w:pStyle w:val="Compact"/>
        <w:numPr>
          <w:numId w:val="1203"/>
          <w:ilvl w:val="0"/>
        </w:numPr>
      </w:pPr>
      <w:r>
        <w:rPr>
          <w:b/>
        </w:rPr>
        <w:t xml:space="preserve">Příjmy ze závislé činnosti</w:t>
      </w:r>
    </w:p>
    <w:p>
      <w:pPr>
        <w:pStyle w:val="Compact"/>
        <w:numPr>
          <w:numId w:val="1203"/>
          <w:ilvl w:val="0"/>
        </w:numPr>
      </w:pPr>
      <w:r>
        <w:t xml:space="preserve">Platy, mzdy a jiné podobné odměny ze zaměstnání, které je vykonáváno ve druhém smluvním státě, mohou být (za splnění určitých podmínek) zdaněny v tomto druhém státě.</w:t>
      </w:r>
    </w:p>
    <w:p>
      <w:pPr>
        <w:numPr>
          <w:numId w:val="1203"/>
          <w:ilvl w:val="0"/>
        </w:numPr>
      </w:pPr>
      <w:r>
        <w:t xml:space="preserve">Úprava zdanění příjmů ze závislé činnosti je obvykle obsahem článku 14 smlouvy o zamezení dvojímu zdanění.</w:t>
      </w:r>
    </w:p>
    <w:p>
      <w:pPr>
        <w:pStyle w:val="Heading2"/>
      </w:pPr>
      <w:bookmarkStart w:id="102" w:name="spotřební-daně-majetkové-daně---základní-charakteristika"/>
      <w:bookmarkEnd w:id="102"/>
      <w:r>
        <w:t xml:space="preserve">16. Spotřební daně, majetkové daně - základní charakteristika</w:t>
      </w:r>
    </w:p>
    <w:p>
      <w:pPr>
        <w:pStyle w:val="Heading3"/>
      </w:pPr>
      <w:bookmarkStart w:id="103" w:name="spotřební-daně"/>
      <w:bookmarkEnd w:id="103"/>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104" w:name="rozdíl-mezi-spotřební-daní-a-dph"/>
      <w:bookmarkEnd w:id="104"/>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105" w:name="spotřební-daň-v-česku"/>
      <w:bookmarkEnd w:id="105"/>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106"/>
      </w:r>
      <w:r>
        <w:t xml:space="preserve">.</w:t>
      </w:r>
    </w:p>
    <w:p>
      <w:pPr>
        <w:pStyle w:val="BodyText"/>
      </w:pPr>
      <w:r>
        <w:t xml:space="preserve">Jednotlivými spotřebními daněmi dle zákona o spotřební dani jsou:</w:t>
      </w:r>
    </w:p>
    <w:p>
      <w:pPr>
        <w:pStyle w:val="Compact"/>
        <w:numPr>
          <w:numId w:val="1211"/>
          <w:ilvl w:val="1"/>
        </w:numPr>
      </w:pPr>
      <w:r>
        <w:t xml:space="preserve">daň z minerálních olejů,</w:t>
      </w:r>
    </w:p>
    <w:p>
      <w:pPr>
        <w:pStyle w:val="Compact"/>
        <w:numPr>
          <w:numId w:val="1212"/>
          <w:ilvl w:val="1"/>
        </w:numPr>
      </w:pPr>
      <w:r>
        <w:t xml:space="preserve">daň z lihu,</w:t>
      </w:r>
    </w:p>
    <w:p>
      <w:pPr>
        <w:pStyle w:val="Compact"/>
        <w:numPr>
          <w:numId w:val="1213"/>
          <w:ilvl w:val="1"/>
        </w:numPr>
      </w:pPr>
      <w:r>
        <w:t xml:space="preserve">daň z piva,</w:t>
      </w:r>
    </w:p>
    <w:p>
      <w:pPr>
        <w:pStyle w:val="Compact"/>
        <w:numPr>
          <w:numId w:val="1214"/>
          <w:ilvl w:val="1"/>
        </w:numPr>
      </w:pPr>
      <w:r>
        <w:t xml:space="preserve">daň z vína a meziproduktů,</w:t>
      </w:r>
    </w:p>
    <w:p>
      <w:pPr>
        <w:pStyle w:val="Compact"/>
        <w:numPr>
          <w:numId w:val="1215"/>
          <w:ilvl w:val="1"/>
        </w:numPr>
      </w:pPr>
      <w:r>
        <w:t xml:space="preserve">daň z tabákových výrobků,</w:t>
      </w:r>
    </w:p>
    <w:p>
      <w:pPr>
        <w:pStyle w:val="Compact"/>
        <w:numPr>
          <w:numId w:val="1216"/>
          <w:ilvl w:val="1"/>
        </w:numPr>
      </w:pPr>
      <w:r>
        <w:t xml:space="preserve">daň ze surového tabáku,</w:t>
      </w:r>
    </w:p>
    <w:p>
      <w:pPr>
        <w:pStyle w:val="Compact"/>
        <w:numPr>
          <w:numId w:val="1217"/>
          <w:ilvl w:val="1"/>
        </w:numPr>
      </w:pPr>
      <w:r>
        <w:t xml:space="preserve">daň ze zahřívaných tabákových výrobků,</w:t>
      </w:r>
    </w:p>
    <w:p>
      <w:pPr>
        <w:pStyle w:val="Compact"/>
        <w:numPr>
          <w:numId w:val="1218"/>
          <w:ilvl w:val="1"/>
        </w:numPr>
      </w:pPr>
      <w:r>
        <w:t xml:space="preserve">daň z elektřiny,</w:t>
      </w:r>
    </w:p>
    <w:p>
      <w:pPr>
        <w:pStyle w:val="Compact"/>
        <w:numPr>
          <w:numId w:val="1219"/>
          <w:ilvl w:val="1"/>
        </w:numPr>
      </w:pPr>
      <w:r>
        <w:t xml:space="preserve">daň z pevných paliv,</w:t>
      </w:r>
    </w:p>
    <w:p>
      <w:pPr>
        <w:pStyle w:val="Compact"/>
        <w:numPr>
          <w:numId w:val="1220"/>
          <w:ilvl w:val="1"/>
        </w:numPr>
      </w:pPr>
      <w:r>
        <w:t xml:space="preserve">daň ze zemního plynu a některých dalších plynů.</w:t>
      </w:r>
    </w:p>
    <w:p>
      <w:pPr>
        <w:pStyle w:val="FirstParagraph"/>
      </w:pPr>
      <w:r>
        <w:t xml:space="preserve">Od daně jsou osvobozeny</w:t>
      </w:r>
    </w:p>
    <w:p>
      <w:pPr>
        <w:pStyle w:val="Compact"/>
        <w:numPr>
          <w:numId w:val="1221"/>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221"/>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107" w:name="mechanismus-spotřební-daně"/>
      <w:bookmarkEnd w:id="107"/>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108" w:name="majetkové-daně"/>
      <w:bookmarkEnd w:id="108"/>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09"/>
      </w:r>
      <w:r>
        <w:t xml:space="preserve">.</w:t>
      </w:r>
    </w:p>
    <w:p>
      <w:pPr>
        <w:pStyle w:val="BodyText"/>
      </w:pPr>
      <w:r>
        <w:t xml:space="preserve">Dělí se do tří kategorií:</w:t>
      </w:r>
    </w:p>
    <w:p>
      <w:pPr>
        <w:pStyle w:val="Compact"/>
        <w:numPr>
          <w:numId w:val="1222"/>
          <w:ilvl w:val="0"/>
        </w:numPr>
      </w:pPr>
      <w:r>
        <w:t xml:space="preserve">daň z nemovitých věcí (do roku 2014 daň z nemovitostí):</w:t>
      </w:r>
    </w:p>
    <w:p>
      <w:pPr>
        <w:pStyle w:val="Compact"/>
        <w:numPr>
          <w:numId w:val="1222"/>
          <w:ilvl w:val="0"/>
        </w:numPr>
      </w:pPr>
      <w:r>
        <w:t xml:space="preserve">daň z pozemků</w:t>
      </w:r>
    </w:p>
    <w:p>
      <w:pPr>
        <w:pStyle w:val="Compact"/>
        <w:numPr>
          <w:numId w:val="1222"/>
          <w:ilvl w:val="0"/>
        </w:numPr>
      </w:pPr>
      <w:r>
        <w:t xml:space="preserve">daň ze staveb a jednotek</w:t>
      </w:r>
    </w:p>
    <w:p>
      <w:pPr>
        <w:pStyle w:val="Compact"/>
        <w:numPr>
          <w:numId w:val="1222"/>
          <w:ilvl w:val="0"/>
        </w:numPr>
      </w:pPr>
      <w:r>
        <w:t xml:space="preserve">daň z nabytí nemovitých věcí (do roku 2014 daň z převodu nemovitostí)</w:t>
      </w:r>
    </w:p>
    <w:p>
      <w:pPr>
        <w:pStyle w:val="Compact"/>
        <w:numPr>
          <w:numId w:val="1222"/>
          <w:ilvl w:val="0"/>
        </w:numPr>
      </w:pPr>
      <w:r>
        <w:t xml:space="preserve">daň silniční</w:t>
      </w:r>
    </w:p>
    <w:p>
      <w:pPr>
        <w:pStyle w:val="Compact"/>
        <w:numPr>
          <w:numId w:val="1222"/>
          <w:ilvl w:val="0"/>
        </w:numPr>
      </w:pPr>
      <w:r>
        <w:t xml:space="preserve">(daň dědická, darovací a z převodu nemovitosti tato trojdaň byla zrušena v roce 2014)</w:t>
      </w:r>
    </w:p>
    <w:p>
      <w:pPr>
        <w:pStyle w:val="Heading3"/>
      </w:pPr>
      <w:bookmarkStart w:id="110" w:name="typy-daněného-majetku"/>
      <w:bookmarkEnd w:id="110"/>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11" w:name="daň-z-nemovitých-věcí"/>
      <w:bookmarkEnd w:id="111"/>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12" w:name="daň-z-nabytí-nemovitosti---soušástí-daně-z-příjmu"/>
      <w:bookmarkEnd w:id="112"/>
      <w:r>
        <w:t xml:space="preserve">Daň z nabytí nemovitosti - soušástí daně z příjmu</w:t>
      </w:r>
    </w:p>
    <w:p>
      <w:pPr>
        <w:pStyle w:val="FirstParagraph"/>
      </w:pPr>
      <w:r>
        <w:t xml:space="preserve">Již se neplatí - součástí daní z příjmu.</w:t>
      </w:r>
    </w:p>
    <w:p>
      <w:pPr>
        <w:pStyle w:val="Heading3"/>
      </w:pPr>
      <w:bookmarkStart w:id="113" w:name="daň-silniční"/>
      <w:bookmarkEnd w:id="113"/>
      <w:r>
        <w:t xml:space="preserve">Daň silniční</w:t>
      </w:r>
    </w:p>
    <w:p>
      <w:pPr>
        <w:pStyle w:val="Compact"/>
        <w:numPr>
          <w:numId w:val="1223"/>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223"/>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223"/>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14"/>
      </w:r>
      <w:r>
        <w:t xml:space="preserve">.</w:t>
      </w:r>
    </w:p>
    <w:p>
      <w:pPr>
        <w:pStyle w:val="Compact"/>
        <w:numPr>
          <w:numId w:val="1223"/>
          <w:ilvl w:val="0"/>
        </w:numPr>
      </w:pPr>
      <w:r>
        <w:t xml:space="preserve">Zároveň silniční daň platí provozovatel vozidla s minimální přípustnou technickou hmotností 12 tun.</w:t>
      </w:r>
    </w:p>
    <w:p>
      <w:pPr>
        <w:pStyle w:val="Heading3"/>
      </w:pPr>
      <w:bookmarkStart w:id="115" w:name="trojdaň"/>
      <w:bookmarkEnd w:id="115"/>
      <w:r>
        <w:t xml:space="preserve">Trojdaň</w:t>
      </w:r>
    </w:p>
    <w:p>
      <w:pPr>
        <w:pStyle w:val="FirstParagraph"/>
      </w:pPr>
      <w:r>
        <w:t xml:space="preserve">Již se naplatí - součástí daní z příjmu.</w:t>
      </w:r>
    </w:p>
    <w:p>
      <w:pPr>
        <w:pStyle w:val="Heading2"/>
      </w:pPr>
      <w:bookmarkStart w:id="116" w:name="právo-eu-a-daně-jakých-daní-se-dotýká-jak-se-projevuje-přímý-a-nepřímý-účinek"/>
      <w:bookmarkEnd w:id="116"/>
      <w:r>
        <w:t xml:space="preserve">17. Právo EU a daně – jakých daní se dotýká, jak se projevuje; přímý a nepřímý účinek</w:t>
      </w:r>
    </w:p>
    <w:p>
      <w:pPr>
        <w:numPr>
          <w:numId w:val="1224"/>
          <w:ilvl w:val="0"/>
        </w:numPr>
      </w:pPr>
      <w:r>
        <w:t xml:space="preserve">DPH II – evropské a vnitrostátní právo a praktické dopady dvouúrovňového právního systému, eurokonformní výklad, přímý a nepřímý účinek evropského práva</w:t>
      </w:r>
    </w:p>
    <w:p>
      <w:pPr>
        <w:pStyle w:val="Compact"/>
        <w:numPr>
          <w:numId w:val="1224"/>
          <w:ilvl w:val="0"/>
        </w:numPr>
      </w:pPr>
      <w:r>
        <w:t xml:space="preserve">Evropské a vnitrostátní právo a praktické dopady dvouúrovňového právního systému</w:t>
      </w:r>
    </w:p>
    <w:p>
      <w:pPr>
        <w:numPr>
          <w:numId w:val="1224"/>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224"/>
          <w:ilvl w:val="0"/>
        </w:numPr>
      </w:pPr>
      <w:r>
        <w:t xml:space="preserve">Evropské a vnitrostátní právo a praktické dopady dvouúrovňového právního systému</w:t>
      </w:r>
    </w:p>
    <w:p>
      <w:pPr>
        <w:pStyle w:val="Compact"/>
        <w:numPr>
          <w:numId w:val="1224"/>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224"/>
          <w:ilvl w:val="0"/>
        </w:numPr>
      </w:pPr>
      <w:r>
        <w:t xml:space="preserve">V oblasti DPH to byla tzv. „Šestá směrnice“ 77/388/EHS ‐ byla nahrazena směrnicí 2004/112/ES ze dne 28. 11. 2006, o společném systému DPH (tzv „recast“).</w:t>
      </w:r>
    </w:p>
    <w:p>
      <w:pPr>
        <w:pStyle w:val="Compact"/>
        <w:numPr>
          <w:numId w:val="1224"/>
          <w:ilvl w:val="0"/>
        </w:numPr>
      </w:pPr>
      <w:r>
        <w:t xml:space="preserve">Vytyčeného cíle má být dosaženo přijetím příslušné národní právní normy ve lhůtě dané pro implementaci směrnice.</w:t>
      </w:r>
    </w:p>
    <w:p>
      <w:pPr>
        <w:numPr>
          <w:numId w:val="1224"/>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224"/>
          <w:ilvl w:val="0"/>
        </w:numPr>
      </w:pPr>
      <w:r>
        <w:t xml:space="preserve">DPH II – evropské a vnitrostátní právo a praktické dopady dvouúrovňového právního systému, eurokonformní výklad, přímý a nepřímý účinek evropského práva</w:t>
      </w:r>
    </w:p>
    <w:p>
      <w:pPr>
        <w:numPr>
          <w:numId w:val="1224"/>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224"/>
          <w:ilvl w:val="0"/>
        </w:numPr>
      </w:pPr>
      <w:r>
        <w:t xml:space="preserve">Přímý a nepřímý účinek evropského práva</w:t>
      </w:r>
    </w:p>
    <w:p>
      <w:pPr>
        <w:pStyle w:val="Compact"/>
        <w:numPr>
          <w:numId w:val="1224"/>
          <w:ilvl w:val="0"/>
        </w:numPr>
      </w:pPr>
      <w:r>
        <w:t xml:space="preserve">Přímý účinek směrnice</w:t>
      </w:r>
    </w:p>
    <w:p>
      <w:pPr>
        <w:pStyle w:val="Compact"/>
        <w:numPr>
          <w:numId w:val="1225"/>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225"/>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225"/>
          <w:ilvl w:val="1"/>
        </w:numPr>
      </w:pPr>
      <w:r>
        <w:t xml:space="preserve">Z judikatury ESD je rovněž zřejmé, že příslušné ustanovení směrnice, aby mohlo být přímo aplikováno, musí být bezpodmínečné, dostatečně jasné a přesné.</w:t>
      </w:r>
    </w:p>
    <w:p>
      <w:pPr>
        <w:pStyle w:val="Compact"/>
        <w:numPr>
          <w:numId w:val="1224"/>
          <w:ilvl w:val="0"/>
        </w:numPr>
      </w:pPr>
      <w:r>
        <w:t xml:space="preserve">Přímý a nepřímý účinek evropského práva</w:t>
      </w:r>
    </w:p>
    <w:p>
      <w:pPr>
        <w:pStyle w:val="Compact"/>
        <w:numPr>
          <w:numId w:val="1224"/>
          <w:ilvl w:val="0"/>
        </w:numPr>
      </w:pPr>
      <w:r>
        <w:t xml:space="preserve">Přímý účinek směrnice – pokrač.:</w:t>
      </w:r>
    </w:p>
    <w:p>
      <w:pPr>
        <w:numPr>
          <w:numId w:val="1224"/>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224"/>
          <w:ilvl w:val="0"/>
        </w:numPr>
      </w:pPr>
      <w:r>
        <w:t xml:space="preserve">Přímý a nepřímý účinek evropského práva</w:t>
      </w:r>
    </w:p>
    <w:p>
      <w:pPr>
        <w:pStyle w:val="Compact"/>
        <w:numPr>
          <w:numId w:val="1224"/>
          <w:ilvl w:val="0"/>
        </w:numPr>
      </w:pPr>
      <w:r>
        <w:t xml:space="preserve">Nepřímý účinek směrnice</w:t>
      </w:r>
    </w:p>
    <w:p>
      <w:pPr>
        <w:pStyle w:val="Compact"/>
        <w:numPr>
          <w:numId w:val="1224"/>
          <w:ilvl w:val="0"/>
        </w:numPr>
      </w:pPr>
      <w:r>
        <w:t xml:space="preserve">Institut eurokonformního výkladu, na jehož základě je možno dle judikatury ESD dosáhnout vyšší účinnosti směrnic, pokud nebyly řádně transponovány do národního práva.</w:t>
      </w:r>
    </w:p>
    <w:p>
      <w:pPr>
        <w:numPr>
          <w:numId w:val="1224"/>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224"/>
          <w:ilvl w:val="0"/>
        </w:numPr>
      </w:pPr>
      <w:r>
        <w:t xml:space="preserve">Přímý a nepřímý účinek evropského práva</w:t>
      </w:r>
    </w:p>
    <w:p>
      <w:pPr>
        <w:pStyle w:val="Compact"/>
        <w:numPr>
          <w:numId w:val="1224"/>
          <w:ilvl w:val="0"/>
        </w:numPr>
      </w:pPr>
      <w:r>
        <w:t xml:space="preserve">Nepřímý účinek směrnice – pokrač.:</w:t>
      </w:r>
    </w:p>
    <w:p>
      <w:pPr>
        <w:pStyle w:val="Compact"/>
        <w:numPr>
          <w:numId w:val="1224"/>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224"/>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224"/>
          <w:ilvl w:val="0"/>
        </w:numPr>
      </w:pPr>
      <w:r>
        <w:t xml:space="preserve">Eurokonformní výklad</w:t>
      </w:r>
    </w:p>
    <w:p>
      <w:pPr>
        <w:pStyle w:val="Compact"/>
        <w:numPr>
          <w:numId w:val="1224"/>
          <w:ilvl w:val="0"/>
        </w:numPr>
      </w:pPr>
      <w:r>
        <w:t xml:space="preserve">Je povinný nejen pro soudy, ale i pro správce daně a podobné orgány</w:t>
      </w:r>
    </w:p>
    <w:p>
      <w:pPr>
        <w:pStyle w:val="Compact"/>
        <w:numPr>
          <w:numId w:val="1224"/>
          <w:ilvl w:val="0"/>
        </w:numPr>
      </w:pPr>
      <w:r>
        <w:t xml:space="preserve">Občan, podnikatel, daňový subjekt:</w:t>
      </w:r>
    </w:p>
    <w:p>
      <w:pPr>
        <w:pStyle w:val="Compact"/>
        <w:numPr>
          <w:numId w:val="1227"/>
          <w:ilvl w:val="2"/>
        </w:numPr>
      </w:pPr>
      <w:r>
        <w:t xml:space="preserve">bude se řídit tuzemskou právní úpravou</w:t>
      </w:r>
    </w:p>
    <w:p>
      <w:pPr>
        <w:pStyle w:val="Compact"/>
        <w:numPr>
          <w:numId w:val="1228"/>
          <w:ilvl w:val="2"/>
        </w:numPr>
      </w:pPr>
      <w:r>
        <w:t xml:space="preserve">bude trvat na aplikaci eurokonformního výkladu</w:t>
      </w:r>
    </w:p>
    <w:p>
      <w:pPr>
        <w:pStyle w:val="Compact"/>
        <w:numPr>
          <w:numId w:val="1224"/>
          <w:ilvl w:val="0"/>
        </w:numPr>
      </w:pPr>
      <w:r>
        <w:t xml:space="preserve">Eurokonformní výklad u soudu</w:t>
      </w:r>
    </w:p>
    <w:p>
      <w:pPr>
        <w:pStyle w:val="Compact"/>
        <w:numPr>
          <w:numId w:val="1229"/>
          <w:ilvl w:val="1"/>
        </w:numPr>
      </w:pPr>
      <w:r>
        <w:t xml:space="preserve">národní soud je schopen aplikovat sám</w:t>
      </w:r>
    </w:p>
    <w:p>
      <w:pPr>
        <w:pStyle w:val="Compact"/>
        <w:numPr>
          <w:numId w:val="1230"/>
          <w:ilvl w:val="1"/>
        </w:numPr>
      </w:pPr>
      <w:r>
        <w:t xml:space="preserve">položení předběžné otázky SDEU</w:t>
      </w:r>
    </w:p>
    <w:p>
      <w:pPr>
        <w:numPr>
          <w:numId w:val="1224"/>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17" w:name="pojem-zneužití-práva-praktické-případy"/>
      <w:bookmarkEnd w:id="117"/>
      <w:r>
        <w:t xml:space="preserve">18. Pojem zneužití práva, praktické případy</w:t>
      </w:r>
    </w:p>
    <w:p>
      <w:pPr>
        <w:pStyle w:val="FirstParagraph"/>
      </w:pPr>
      <w:r>
        <w:t xml:space="preserve">Rozdíl mezi:</w:t>
      </w:r>
    </w:p>
    <w:p>
      <w:pPr>
        <w:pStyle w:val="Compact"/>
        <w:numPr>
          <w:numId w:val="1231"/>
          <w:ilvl w:val="0"/>
        </w:numPr>
      </w:pPr>
      <w:r>
        <w:rPr>
          <w:b/>
        </w:rPr>
        <w:t xml:space="preserve">disimulace právního úkonu</w:t>
      </w:r>
      <w:r>
        <w:t xml:space="preserve"> </w:t>
      </w:r>
      <w:r>
        <w:t xml:space="preserve">- (§2 odst. 7 ZSDP, §8 odst. 3 DŘ) - prokazuje finanční úřad - švarcsystém</w:t>
      </w:r>
    </w:p>
    <w:p>
      <w:pPr>
        <w:pStyle w:val="Compact"/>
        <w:numPr>
          <w:numId w:val="1231"/>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231"/>
          <w:ilvl w:val="0"/>
        </w:numPr>
      </w:pPr>
      <w:r>
        <w:t xml:space="preserve">Příklad:</w:t>
      </w:r>
    </w:p>
    <w:p>
      <w:pPr>
        <w:pStyle w:val="Compact"/>
        <w:numPr>
          <w:numId w:val="1232"/>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18"/>
      </w:r>
      <w:r>
        <w:t xml:space="preserve">.</w:t>
      </w:r>
    </w:p>
    <w:p>
      <w:pPr>
        <w:pStyle w:val="Compact"/>
        <w:numPr>
          <w:numId w:val="1231"/>
          <w:ilvl w:val="0"/>
        </w:numPr>
      </w:pPr>
      <w:r>
        <w:rPr>
          <w:b/>
        </w:rPr>
        <w:t xml:space="preserve">zneužití práva</w:t>
      </w:r>
      <w:r>
        <w:t xml:space="preserve"> </w:t>
      </w:r>
      <w:r>
        <w:t xml:space="preserve">(§8 odst. 4 DŘ) - prokazuje finanční úřad</w:t>
      </w:r>
    </w:p>
    <w:p>
      <w:pPr>
        <w:pStyle w:val="Compact"/>
        <w:numPr>
          <w:numId w:val="1233"/>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34"/>
          <w:ilvl w:val="1"/>
        </w:numPr>
      </w:pPr>
      <w:r>
        <w:t xml:space="preserve">Správce daně dbá na to, aby při rozhodování skutkově shodných nebo podobných případů nevznikaly nedůvodné rozdíly.</w:t>
      </w:r>
    </w:p>
    <w:p>
      <w:pPr>
        <w:pStyle w:val="Compact"/>
        <w:numPr>
          <w:numId w:val="1235"/>
          <w:ilvl w:val="1"/>
        </w:numPr>
      </w:pPr>
      <w:r>
        <w:t xml:space="preserve">Správce daně vychází ze skutečného obsahu právního jednání nebo jiné skutečnosti rozhodné pro správu daní.</w:t>
      </w:r>
    </w:p>
    <w:p>
      <w:pPr>
        <w:pStyle w:val="Compact"/>
        <w:numPr>
          <w:numId w:val="1236"/>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231"/>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19"/>
      </w:r>
    </w:p>
    <w:p>
      <w:pPr>
        <w:pStyle w:val="Compact"/>
        <w:numPr>
          <w:numId w:val="1231"/>
          <w:ilvl w:val="0"/>
        </w:numPr>
      </w:pPr>
      <w:r>
        <w:t xml:space="preserve">Příklad:</w:t>
      </w:r>
    </w:p>
    <w:p>
      <w:pPr>
        <w:pStyle w:val="Compact"/>
        <w:numPr>
          <w:numId w:val="1237"/>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20"/>
      </w:r>
      <w:r>
        <w:t xml:space="preserve">.</w:t>
      </w:r>
    </w:p>
    <w:p>
      <w:pPr>
        <w:pStyle w:val="Compact"/>
        <w:numPr>
          <w:numId w:val="1231"/>
          <w:ilvl w:val="0"/>
        </w:numPr>
      </w:pPr>
      <w:r>
        <w:rPr>
          <w:b/>
        </w:rPr>
        <w:t xml:space="preserve">obcházení zákona</w:t>
      </w:r>
      <w:r>
        <w:t xml:space="preserve"> </w:t>
      </w:r>
      <w:r>
        <w:t xml:space="preserve">- prokazuje finanční úřad</w:t>
      </w:r>
    </w:p>
    <w:p>
      <w:pPr>
        <w:pStyle w:val="Compact"/>
        <w:numPr>
          <w:numId w:val="1231"/>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21"/>
      </w:r>
      <w:r>
        <w:t xml:space="preserve">.</w:t>
      </w:r>
    </w:p>
    <w:p>
      <w:pPr>
        <w:pStyle w:val="Heading2"/>
      </w:pPr>
      <w:bookmarkStart w:id="122" w:name="daňové-tvrzení-důkazní-břemeno-v-daňovém-řízení"/>
      <w:bookmarkEnd w:id="122"/>
      <w:r>
        <w:t xml:space="preserve">19. Daňové tvrzení, důkazní břemeno v daňovém řízení</w:t>
      </w:r>
    </w:p>
    <w:p>
      <w:pPr>
        <w:pStyle w:val="Compact"/>
        <w:numPr>
          <w:numId w:val="1238"/>
          <w:ilvl w:val="0"/>
        </w:numPr>
      </w:pPr>
      <w:r>
        <w:t xml:space="preserve">§70 - §77 DŘ</w:t>
      </w:r>
    </w:p>
    <w:p>
      <w:pPr>
        <w:pStyle w:val="Compact"/>
        <w:numPr>
          <w:numId w:val="1238"/>
          <w:ilvl w:val="0"/>
        </w:numPr>
      </w:pPr>
      <w:r>
        <w:t xml:space="preserve">Řízení se zahajuje podáním (například formulářové podání - například daň z příjmu - daňové přiznání)</w:t>
      </w:r>
    </w:p>
    <w:p>
      <w:pPr>
        <w:pStyle w:val="Compact"/>
        <w:numPr>
          <w:numId w:val="1238"/>
          <w:ilvl w:val="0"/>
        </w:numPr>
      </w:pPr>
      <w:r>
        <w:t xml:space="preserve">Podání je úkonem osoby zúčastněné na správě daní směřujícím vůči správci daně.</w:t>
      </w:r>
    </w:p>
    <w:p>
      <w:pPr>
        <w:pStyle w:val="Compact"/>
        <w:numPr>
          <w:numId w:val="1238"/>
          <w:ilvl w:val="0"/>
        </w:numPr>
      </w:pPr>
      <w:r>
        <w:t xml:space="preserve">Podání se činí u příslušného správce daně. Podání je učiněno dnem, kdy tomuto správci daně došlo.</w:t>
      </w:r>
    </w:p>
    <w:p>
      <w:pPr>
        <w:pStyle w:val="Compact"/>
        <w:numPr>
          <w:numId w:val="1238"/>
          <w:ilvl w:val="0"/>
        </w:numPr>
      </w:pPr>
      <w:r>
        <w:t xml:space="preserve">Ne všechny podání musí nutně zahájit řízení</w:t>
      </w:r>
    </w:p>
    <w:p>
      <w:pPr>
        <w:pStyle w:val="Compact"/>
        <w:numPr>
          <w:numId w:val="1238"/>
          <w:ilvl w:val="0"/>
        </w:numPr>
      </w:pPr>
      <w:r>
        <w:t xml:space="preserve">Pokud má podání vady - osoba vyzvána k nápravě</w:t>
      </w:r>
    </w:p>
    <w:p>
      <w:pPr>
        <w:numPr>
          <w:numId w:val="1238"/>
          <w:ilvl w:val="0"/>
        </w:numPr>
      </w:pPr>
      <w:r>
        <w:t xml:space="preserve">Pokud je podáno k nepříslušnému správci daně - postoupí podání příslušnému správci daně</w:t>
      </w:r>
    </w:p>
    <w:p>
      <w:pPr>
        <w:pStyle w:val="Compact"/>
        <w:numPr>
          <w:numId w:val="1238"/>
          <w:ilvl w:val="0"/>
        </w:numPr>
      </w:pPr>
      <w:r>
        <w:t xml:space="preserve">Vyhledávací postupy §78 - §79 DŘ</w:t>
      </w:r>
      <w:r>
        <w:rPr>
          <w:rStyle w:val="FootnoteReference"/>
        </w:rPr>
        <w:footnoteReference w:id="123"/>
      </w:r>
    </w:p>
    <w:p>
      <w:pPr>
        <w:pStyle w:val="Compact"/>
        <w:numPr>
          <w:numId w:val="1238"/>
          <w:ilvl w:val="0"/>
        </w:numPr>
      </w:pPr>
      <w:r>
        <w:t xml:space="preserve">Vyhledávací činnost:</w:t>
      </w:r>
    </w:p>
    <w:p>
      <w:pPr>
        <w:pStyle w:val="Compact"/>
        <w:numPr>
          <w:numId w:val="1239"/>
          <w:ilvl w:val="1"/>
        </w:numPr>
      </w:pPr>
      <w:r>
        <w:t xml:space="preserve">Správce daně vyhledává důkazní prostředky a daňové subjekty a zjišťuje plnění jejich povinností při správě daní před zahájením řízení i v jeho průběhu.</w:t>
      </w:r>
    </w:p>
    <w:p>
      <w:pPr>
        <w:pStyle w:val="Compact"/>
        <w:numPr>
          <w:numId w:val="1239"/>
          <w:ilvl w:val="1"/>
        </w:numPr>
      </w:pPr>
      <w:r>
        <w:t xml:space="preserve">Vyhledávací činnost provádí správce daně i bez součinnosti s daňovým subjektem.</w:t>
      </w:r>
    </w:p>
    <w:p>
      <w:pPr>
        <w:pStyle w:val="Compact"/>
        <w:numPr>
          <w:numId w:val="1239"/>
          <w:ilvl w:val="1"/>
        </w:numPr>
      </w:pPr>
      <w:r>
        <w:t xml:space="preserve">V rámci vyhledávací činnosti správce daně</w:t>
      </w:r>
    </w:p>
    <w:p>
      <w:pPr>
        <w:pStyle w:val="Compact"/>
        <w:numPr>
          <w:numId w:val="1240"/>
          <w:ilvl w:val="2"/>
        </w:numPr>
      </w:pPr>
      <w:r>
        <w:t xml:space="preserve">ověřuje úplnost evidence či registrace daňových subjektů,</w:t>
      </w:r>
    </w:p>
    <w:p>
      <w:pPr>
        <w:pStyle w:val="Compact"/>
        <w:numPr>
          <w:numId w:val="1241"/>
          <w:ilvl w:val="2"/>
        </w:numPr>
      </w:pPr>
      <w:r>
        <w:t xml:space="preserve">zjišťuje údaje týkající se příjmů, majetkových poměrů a dalších skutečností rozhodných pro správné zjištění, stanovení a placení daně,</w:t>
      </w:r>
    </w:p>
    <w:p>
      <w:pPr>
        <w:pStyle w:val="Compact"/>
        <w:numPr>
          <w:numId w:val="1242"/>
          <w:ilvl w:val="2"/>
        </w:numPr>
      </w:pPr>
      <w:r>
        <w:t xml:space="preserve">shromažďuje a zpracovává informace a využívá informační systémy v rozsahu podle § 9 odst. 3,</w:t>
      </w:r>
    </w:p>
    <w:p>
      <w:pPr>
        <w:pStyle w:val="Compact"/>
        <w:numPr>
          <w:numId w:val="1243"/>
          <w:ilvl w:val="2"/>
        </w:numPr>
      </w:pPr>
      <w:r>
        <w:t xml:space="preserve">opatřuje nezbytná vysvětlení,</w:t>
      </w:r>
    </w:p>
    <w:p>
      <w:pPr>
        <w:pStyle w:val="Compact"/>
        <w:numPr>
          <w:numId w:val="1244"/>
          <w:ilvl w:val="2"/>
        </w:numPr>
      </w:pPr>
      <w:r>
        <w:t xml:space="preserve">provádí místní šetření.</w:t>
      </w:r>
    </w:p>
    <w:p>
      <w:pPr>
        <w:pStyle w:val="Compact"/>
        <w:numPr>
          <w:numId w:val="1245"/>
          <w:ilvl w:val="2"/>
        </w:numPr>
      </w:pPr>
      <w:r>
        <w:t xml:space="preserve">Správce daně, který není místně příslušný, může provádět místní šetření i bez dožádání.</w:t>
      </w:r>
    </w:p>
    <w:p>
      <w:pPr>
        <w:pStyle w:val="Compact"/>
        <w:numPr>
          <w:numId w:val="1238"/>
          <w:ilvl w:val="0"/>
        </w:numPr>
      </w:pPr>
      <w:r>
        <w:t xml:space="preserve">Vysvětlení:</w:t>
      </w:r>
    </w:p>
    <w:p>
      <w:pPr>
        <w:pStyle w:val="Compact"/>
        <w:numPr>
          <w:numId w:val="1247"/>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248"/>
          <w:ilvl w:val="2"/>
        </w:numPr>
      </w:pPr>
      <w:r>
        <w:t xml:space="preserve">Každý je povinen podat správci daně vysvětlení; pro odepření vysvětlení se obdobně použije § 96 odst. 2 až 4.</w:t>
      </w:r>
    </w:p>
    <w:p>
      <w:pPr>
        <w:pStyle w:val="Compact"/>
        <w:numPr>
          <w:numId w:val="1249"/>
          <w:ilvl w:val="2"/>
        </w:numPr>
      </w:pPr>
      <w:r>
        <w:t xml:space="preserve">Podané vysvětlení nelze použít jako důkazní prostředek.</w:t>
      </w:r>
    </w:p>
    <w:p>
      <w:pPr>
        <w:pStyle w:val="Compact"/>
        <w:numPr>
          <w:numId w:val="1250"/>
          <w:ilvl w:val="2"/>
        </w:numPr>
      </w:pPr>
      <w:r>
        <w:t xml:space="preserve">O podaném vysvětlení sepíše správce daně podle povahy vysvětlení protokol nebo úřední záznam.</w:t>
      </w:r>
    </w:p>
    <w:p>
      <w:pPr>
        <w:pStyle w:val="Compact"/>
        <w:numPr>
          <w:numId w:val="1238"/>
          <w:ilvl w:val="0"/>
        </w:numPr>
      </w:pPr>
      <w:r>
        <w:t xml:space="preserve">§91 - §107</w:t>
      </w:r>
    </w:p>
    <w:p>
      <w:pPr>
        <w:pStyle w:val="Compact"/>
        <w:numPr>
          <w:numId w:val="1238"/>
          <w:ilvl w:val="0"/>
        </w:numPr>
      </w:pPr>
      <w:r>
        <w:t xml:space="preserve">Zahájení řízení</w:t>
      </w:r>
    </w:p>
    <w:p>
      <w:pPr>
        <w:pStyle w:val="Compact"/>
        <w:numPr>
          <w:numId w:val="1251"/>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251"/>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238"/>
          <w:ilvl w:val="0"/>
        </w:numPr>
      </w:pPr>
      <w:r>
        <w:t xml:space="preserve">Dokazování</w:t>
      </w:r>
    </w:p>
    <w:p>
      <w:pPr>
        <w:pStyle w:val="Compact"/>
        <w:numPr>
          <w:numId w:val="1252"/>
          <w:ilvl w:val="1"/>
        </w:numPr>
      </w:pPr>
      <w:r>
        <w:t xml:space="preserve">Dokazování provádí příslušný správce daně nebo jím dožádaný správce daně.</w:t>
      </w:r>
    </w:p>
    <w:p>
      <w:pPr>
        <w:pStyle w:val="Compact"/>
        <w:numPr>
          <w:numId w:val="1252"/>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252"/>
          <w:ilvl w:val="1"/>
        </w:numPr>
      </w:pPr>
      <w:r>
        <w:t xml:space="preserve">Daňový subjekt prokazuje všechny skutečnosti, které je povinen uvádět v daňovém tvrzení a dalších podáních.</w:t>
      </w:r>
    </w:p>
    <w:p>
      <w:pPr>
        <w:pStyle w:val="Compact"/>
        <w:numPr>
          <w:numId w:val="1252"/>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52"/>
          <w:ilvl w:val="1"/>
        </w:numPr>
      </w:pPr>
      <w:r>
        <w:t xml:space="preserve">Zákon taxativně definuje, co prokazuje správce daně, například:</w:t>
      </w:r>
    </w:p>
    <w:p>
      <w:pPr>
        <w:pStyle w:val="Compact"/>
        <w:numPr>
          <w:numId w:val="1252"/>
          <w:ilvl w:val="1"/>
        </w:numPr>
      </w:pPr>
      <w:r>
        <w:t xml:space="preserve">Oznámení vlastních písemností,</w:t>
      </w:r>
    </w:p>
    <w:p>
      <w:pPr>
        <w:pStyle w:val="Compact"/>
        <w:numPr>
          <w:numId w:val="1252"/>
          <w:ilvl w:val="1"/>
        </w:numPr>
      </w:pPr>
      <w:r>
        <w:t xml:space="preserve">skutečnosti vyvracející věrohodnost úředních záznamů atd.</w:t>
      </w:r>
    </w:p>
    <w:p>
      <w:pPr>
        <w:pStyle w:val="Compact"/>
        <w:numPr>
          <w:numId w:val="1252"/>
          <w:ilvl w:val="1"/>
        </w:numPr>
      </w:pPr>
      <w:r>
        <w:t xml:space="preserve">Je možné navrhnout účast třetí osoby v řízení.</w:t>
      </w:r>
    </w:p>
    <w:p>
      <w:pPr>
        <w:pStyle w:val="Compact"/>
        <w:numPr>
          <w:numId w:val="1252"/>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238"/>
          <w:ilvl w:val="0"/>
        </w:numPr>
      </w:pPr>
      <w:r>
        <w:t xml:space="preserve">Důkazní prostředky</w:t>
      </w:r>
    </w:p>
    <w:p>
      <w:pPr>
        <w:pStyle w:val="Compact"/>
        <w:numPr>
          <w:numId w:val="1253"/>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253"/>
          <w:ilvl w:val="1"/>
        </w:numPr>
      </w:pPr>
      <w:r>
        <w:t xml:space="preserve">Jedná se tak například o:</w:t>
      </w:r>
    </w:p>
    <w:p>
      <w:pPr>
        <w:pStyle w:val="Compact"/>
        <w:numPr>
          <w:numId w:val="1253"/>
          <w:ilvl w:val="1"/>
        </w:numPr>
      </w:pPr>
      <w:r>
        <w:t xml:space="preserve">Listiny,</w:t>
      </w:r>
    </w:p>
    <w:p>
      <w:pPr>
        <w:pStyle w:val="Compact"/>
        <w:numPr>
          <w:numId w:val="1253"/>
          <w:ilvl w:val="1"/>
        </w:numPr>
      </w:pPr>
      <w:r>
        <w:t xml:space="preserve">Znalecký posudek,</w:t>
      </w:r>
    </w:p>
    <w:p>
      <w:pPr>
        <w:pStyle w:val="Compact"/>
        <w:numPr>
          <w:numId w:val="1253"/>
          <w:ilvl w:val="1"/>
        </w:numPr>
      </w:pPr>
      <w:r>
        <w:t xml:space="preserve">Svědky,</w:t>
      </w:r>
    </w:p>
    <w:p>
      <w:pPr>
        <w:pStyle w:val="Compact"/>
        <w:numPr>
          <w:numId w:val="1253"/>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238"/>
          <w:ilvl w:val="0"/>
        </w:numPr>
      </w:pPr>
      <w:r>
        <w:t xml:space="preserve">Pomůcky a sjednání daně</w:t>
      </w:r>
    </w:p>
    <w:p>
      <w:pPr>
        <w:pStyle w:val="Compact"/>
        <w:numPr>
          <w:numId w:val="1254"/>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254"/>
          <w:ilvl w:val="1"/>
        </w:numPr>
      </w:pPr>
      <w:r>
        <w:t xml:space="preserve">Pomůckami jsou zejména</w:t>
      </w:r>
    </w:p>
    <w:p>
      <w:pPr>
        <w:pStyle w:val="Compact"/>
        <w:numPr>
          <w:numId w:val="1255"/>
          <w:ilvl w:val="2"/>
        </w:numPr>
      </w:pPr>
      <w:r>
        <w:t xml:space="preserve">důkazní prostředky, které nebyly správcem daně zpochybněny,</w:t>
      </w:r>
    </w:p>
    <w:p>
      <w:pPr>
        <w:pStyle w:val="Compact"/>
        <w:numPr>
          <w:numId w:val="1256"/>
          <w:ilvl w:val="2"/>
        </w:numPr>
      </w:pPr>
      <w:r>
        <w:t xml:space="preserve">podaná vysvětlení,</w:t>
      </w:r>
    </w:p>
    <w:p>
      <w:pPr>
        <w:pStyle w:val="Compact"/>
        <w:numPr>
          <w:numId w:val="1257"/>
          <w:ilvl w:val="2"/>
        </w:numPr>
      </w:pPr>
      <w:r>
        <w:t xml:space="preserve">porovnání srovnatelných daňových subjektů a jejich daňových povinností,</w:t>
      </w:r>
    </w:p>
    <w:p>
      <w:pPr>
        <w:pStyle w:val="Compact"/>
        <w:numPr>
          <w:numId w:val="1258"/>
          <w:ilvl w:val="2"/>
        </w:numPr>
      </w:pPr>
      <w:r>
        <w:t xml:space="preserve">vlastní poznatky správce daně získané při správě daní.</w:t>
      </w:r>
    </w:p>
    <w:p>
      <w:pPr>
        <w:pStyle w:val="Compact"/>
        <w:numPr>
          <w:numId w:val="1254"/>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238"/>
          <w:ilvl w:val="0"/>
        </w:numPr>
      </w:pPr>
      <w:r>
        <w:t xml:space="preserve">Předběžná otázka</w:t>
      </w:r>
    </w:p>
    <w:p>
      <w:pPr>
        <w:pStyle w:val="Compact"/>
        <w:numPr>
          <w:numId w:val="1259"/>
          <w:ilvl w:val="1"/>
        </w:numPr>
      </w:pPr>
      <w:r>
        <w:t xml:space="preserve">Správce daně je vázán rozhodovací praxí</w:t>
      </w:r>
    </w:p>
    <w:p>
      <w:pPr>
        <w:pStyle w:val="Compact"/>
        <w:numPr>
          <w:numId w:val="1259"/>
          <w:ilvl w:val="1"/>
        </w:numPr>
      </w:pPr>
      <w:r>
        <w:t xml:space="preserve">Může však podat podnět na zahájení řízení</w:t>
      </w:r>
    </w:p>
    <w:p>
      <w:pPr>
        <w:pStyle w:val="Compact"/>
        <w:numPr>
          <w:numId w:val="1259"/>
          <w:ilvl w:val="1"/>
        </w:numPr>
      </w:pPr>
      <w:r>
        <w:t xml:space="preserve">Určité otázky může posoudit sám, jiné nemůže - §99 DŘ</w:t>
      </w:r>
    </w:p>
    <w:p>
      <w:pPr>
        <w:pStyle w:val="Compact"/>
        <w:numPr>
          <w:numId w:val="1238"/>
          <w:ilvl w:val="0"/>
        </w:numPr>
      </w:pPr>
      <w:r>
        <w:t xml:space="preserve">Předvolání a předvedení</w:t>
      </w:r>
    </w:p>
    <w:p>
      <w:pPr>
        <w:pStyle w:val="Compact"/>
        <w:numPr>
          <w:numId w:val="1260"/>
          <w:ilvl w:val="1"/>
        </w:numPr>
      </w:pPr>
      <w:r>
        <w:t xml:space="preserve">Je možné předvolat - do vlastních rukou s poučením,</w:t>
      </w:r>
    </w:p>
    <w:p>
      <w:pPr>
        <w:pStyle w:val="Compact"/>
        <w:numPr>
          <w:numId w:val="1260"/>
          <w:ilvl w:val="1"/>
        </w:numPr>
      </w:pPr>
      <w:r>
        <w:t xml:space="preserve">pokud se osoba nedostaví, je možné jí předvést - §100 DŘ.</w:t>
      </w:r>
    </w:p>
    <w:p>
      <w:pPr>
        <w:pStyle w:val="Compact"/>
        <w:numPr>
          <w:numId w:val="1238"/>
          <w:ilvl w:val="0"/>
        </w:numPr>
      </w:pPr>
      <w:r>
        <w:t xml:space="preserve">Rozhodnutí</w:t>
      </w:r>
    </w:p>
    <w:p>
      <w:pPr>
        <w:pStyle w:val="Compact"/>
        <w:numPr>
          <w:numId w:val="1261"/>
          <w:ilvl w:val="1"/>
        </w:numPr>
      </w:pPr>
      <w:r>
        <w:t xml:space="preserve">Správce daně ukládá povinnosti nebo přiznává práva anebo prohlašuje práva a povinnosti stanovené zákonem rozhodnutím.</w:t>
      </w:r>
    </w:p>
    <w:p>
      <w:pPr>
        <w:pStyle w:val="Compact"/>
        <w:numPr>
          <w:numId w:val="1261"/>
          <w:ilvl w:val="1"/>
        </w:numPr>
      </w:pPr>
      <w:r>
        <w:t xml:space="preserve">Rozhodnutí je vydané okamžikem doručení, pokud se nedoručuje je vydané okamžikem podepsání daného rozhodnutí úřední osobou - §101 DŘ.</w:t>
      </w:r>
    </w:p>
    <w:p>
      <w:pPr>
        <w:pStyle w:val="Compact"/>
        <w:numPr>
          <w:numId w:val="1261"/>
          <w:ilvl w:val="1"/>
        </w:numPr>
      </w:pPr>
      <w:r>
        <w:t xml:space="preserve">Zákon vymezuje co rozhodnutí obsahuje, především se jedná o určení stran, výrok s odůvodnění, lhůty, poučení, podpis úřední osoby a datum.</w:t>
      </w:r>
    </w:p>
    <w:p>
      <w:pPr>
        <w:pStyle w:val="Compact"/>
        <w:numPr>
          <w:numId w:val="1261"/>
          <w:ilvl w:val="1"/>
        </w:numPr>
      </w:pPr>
      <w:r>
        <w:t xml:space="preserve">Rozhodnutí, které je účinní a proti kterému se nelze odvolat, je v právní moci.</w:t>
      </w:r>
    </w:p>
    <w:p>
      <w:pPr>
        <w:pStyle w:val="Compact"/>
        <w:numPr>
          <w:numId w:val="1261"/>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238"/>
          <w:ilvl w:val="0"/>
        </w:numPr>
      </w:pPr>
      <w:r>
        <w:t xml:space="preserve">Opravy zřejmých nesprávností</w:t>
      </w:r>
    </w:p>
    <w:p>
      <w:pPr>
        <w:pStyle w:val="Compact"/>
        <w:numPr>
          <w:numId w:val="1262"/>
          <w:ilvl w:val="1"/>
        </w:numPr>
      </w:pPr>
      <w:r>
        <w:t xml:space="preserve">Správce daně může v rozhodnutí opravit zřejmé nesprávnosti.</w:t>
      </w:r>
    </w:p>
    <w:p>
      <w:pPr>
        <w:pStyle w:val="Compact"/>
        <w:numPr>
          <w:numId w:val="1238"/>
          <w:ilvl w:val="0"/>
        </w:numPr>
      </w:pPr>
      <w:r>
        <w:t xml:space="preserve">Nicotnost rozhodnutí</w:t>
      </w:r>
    </w:p>
    <w:p>
      <w:pPr>
        <w:pStyle w:val="Compact"/>
        <w:numPr>
          <w:numId w:val="1263"/>
          <w:ilvl w:val="1"/>
        </w:numPr>
      </w:pPr>
      <w:r>
        <w:t xml:space="preserve">Nicotnost rozhodnutí zjišťuje a prohlašuje z moci úřední, a to kdykoliv, správce daně nejblíže nadřízený správci daně, který rozhodnutí vydal.</w:t>
      </w:r>
    </w:p>
    <w:p>
      <w:pPr>
        <w:pStyle w:val="Compact"/>
        <w:numPr>
          <w:numId w:val="1263"/>
          <w:ilvl w:val="1"/>
        </w:numPr>
      </w:pPr>
      <w:r>
        <w:t xml:space="preserve">Důvody pro nicotnost zákon stanovuje, jedná se například o - věcnou příslušnost, trpí zásadními vadami, je vydáno na základě nicotného rozhodnutí.</w:t>
      </w:r>
    </w:p>
    <w:p>
      <w:pPr>
        <w:pStyle w:val="Compact"/>
        <w:numPr>
          <w:numId w:val="1238"/>
          <w:ilvl w:val="0"/>
        </w:numPr>
      </w:pPr>
      <w:r>
        <w:t xml:space="preserve">Zastavení řízení</w:t>
      </w:r>
    </w:p>
    <w:p>
      <w:pPr>
        <w:pStyle w:val="Compact"/>
        <w:numPr>
          <w:numId w:val="1264"/>
          <w:ilvl w:val="1"/>
        </w:numPr>
      </w:pPr>
      <w:r>
        <w:t xml:space="preserve">Správce daně rozhodnutím může zastavit řízení, pokud:</w:t>
      </w:r>
    </w:p>
    <w:p>
      <w:pPr>
        <w:pStyle w:val="Compact"/>
        <w:numPr>
          <w:numId w:val="1264"/>
          <w:ilvl w:val="1"/>
        </w:numPr>
      </w:pPr>
      <w:r>
        <w:t xml:space="preserve">osoba zůčastněná na správě daní vzala své podání zpět,</w:t>
      </w:r>
    </w:p>
    <w:p>
      <w:pPr>
        <w:pStyle w:val="Compact"/>
        <w:numPr>
          <w:numId w:val="1264"/>
          <w:ilvl w:val="1"/>
        </w:numPr>
      </w:pPr>
      <w:r>
        <w:t xml:space="preserve">jde o zjevně nepřípustné podání,</w:t>
      </w:r>
    </w:p>
    <w:p>
      <w:pPr>
        <w:pStyle w:val="Compact"/>
        <w:numPr>
          <w:numId w:val="1264"/>
          <w:ilvl w:val="1"/>
        </w:numPr>
      </w:pPr>
      <w:r>
        <w:t xml:space="preserve">ten, o jehož právech a povinnostech má být rozhodnuto, zanikl bez právního nástupce,</w:t>
      </w:r>
    </w:p>
    <w:p>
      <w:pPr>
        <w:pStyle w:val="Compact"/>
        <w:numPr>
          <w:numId w:val="1264"/>
          <w:ilvl w:val="1"/>
        </w:numPr>
      </w:pPr>
      <w:r>
        <w:t xml:space="preserve">o věci již bylo pravomocně rozhodnuto,</w:t>
      </w:r>
    </w:p>
    <w:p>
      <w:pPr>
        <w:pStyle w:val="Compact"/>
        <w:numPr>
          <w:numId w:val="1264"/>
          <w:ilvl w:val="1"/>
        </w:numPr>
      </w:pPr>
      <w:r>
        <w:t xml:space="preserve">nelze v řízení pokračovat z důvodů, které stanoví zákon, nebo,</w:t>
      </w:r>
    </w:p>
    <w:p>
      <w:pPr>
        <w:pStyle w:val="Compact"/>
        <w:numPr>
          <w:numId w:val="1264"/>
          <w:ilvl w:val="1"/>
        </w:numPr>
      </w:pPr>
      <w:r>
        <w:t xml:space="preserve">řízení se stalo bezpředmětným. - §106 DŘ</w:t>
      </w:r>
    </w:p>
    <w:p>
      <w:pPr>
        <w:pStyle w:val="Compact"/>
        <w:numPr>
          <w:numId w:val="1238"/>
          <w:ilvl w:val="0"/>
        </w:numPr>
      </w:pPr>
      <w:r>
        <w:t xml:space="preserve">Náklady řízení</w:t>
      </w:r>
    </w:p>
    <w:p>
      <w:pPr>
        <w:pStyle w:val="Compact"/>
        <w:numPr>
          <w:numId w:val="1265"/>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24" w:name="daňová-kontrola-a-jiné-instituty-pro-zjišťování-a-prověřování-daňové-povinnosti"/>
      <w:bookmarkEnd w:id="124"/>
      <w:r>
        <w:t xml:space="preserve">20. Daňová kontrola a jiné instituty pro zjišťování a prověřování daňové povinnosti</w:t>
      </w:r>
    </w:p>
    <w:p>
      <w:pPr>
        <w:pStyle w:val="Compact"/>
        <w:numPr>
          <w:numId w:val="1266"/>
          <w:ilvl w:val="0"/>
        </w:numPr>
      </w:pPr>
      <w:r>
        <w:t xml:space="preserve">Místní šetření (§ 80-84 DŘ)</w:t>
      </w:r>
    </w:p>
    <w:p>
      <w:pPr>
        <w:pStyle w:val="Compact"/>
        <w:numPr>
          <w:numId w:val="1267"/>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268"/>
          <w:ilvl w:val="1"/>
        </w:numPr>
      </w:pPr>
      <w:r>
        <w:t xml:space="preserve">K provedení místního šetření může správce daně přizvat osobu, jejíž přítomnost je podle povahy věci potřebná.</w:t>
      </w:r>
    </w:p>
    <w:p>
      <w:pPr>
        <w:pStyle w:val="Compact"/>
        <w:numPr>
          <w:numId w:val="1269"/>
          <w:ilvl w:val="1"/>
        </w:numPr>
      </w:pPr>
      <w:r>
        <w:t xml:space="preserve">O průběhu místního šetření sepíše správce daně podle povahy šetření protokol nebo úřední záznam.</w:t>
      </w:r>
    </w:p>
    <w:p>
      <w:pPr>
        <w:pStyle w:val="Compact"/>
        <w:numPr>
          <w:numId w:val="1270"/>
          <w:ilvl w:val="1"/>
        </w:numPr>
      </w:pPr>
      <w:r>
        <w:t xml:space="preserve">Správce daně může pořizovat obrazový nebo zvukový záznam o skutečnostech dokumentujících průběh úkonu, o čemž předem uvědomí osoby, které se tohoto úkonu účastní.</w:t>
      </w:r>
    </w:p>
    <w:p>
      <w:pPr>
        <w:pStyle w:val="Compact"/>
        <w:numPr>
          <w:numId w:val="1266"/>
          <w:ilvl w:val="0"/>
        </w:numPr>
      </w:pPr>
      <w:r>
        <w:t xml:space="preserve">Úřední osoba provádějící kontrolu má možnost vstupovat do všech potřebných prostor a vyžádat si věškeré věci, které potřebuju k provedení šetření.</w:t>
      </w:r>
    </w:p>
    <w:p>
      <w:pPr>
        <w:pStyle w:val="Compact"/>
        <w:numPr>
          <w:numId w:val="1266"/>
          <w:ilvl w:val="0"/>
        </w:numPr>
      </w:pPr>
      <w:r>
        <w:t xml:space="preserve">Kontrolovaná osoba má povinnost šetření strpět a poskytnou potřebnou součinnost.</w:t>
      </w:r>
    </w:p>
    <w:p>
      <w:pPr>
        <w:numPr>
          <w:numId w:val="1266"/>
          <w:ilvl w:val="0"/>
        </w:numPr>
      </w:pPr>
      <w:r>
        <w:t xml:space="preserve">Správce daně může v případě potřeby určité věci potřebné k šetření zajistit.</w:t>
      </w:r>
    </w:p>
    <w:p>
      <w:pPr>
        <w:pStyle w:val="Compact"/>
        <w:numPr>
          <w:numId w:val="1266"/>
          <w:ilvl w:val="0"/>
        </w:numPr>
      </w:pPr>
      <w:r>
        <w:t xml:space="preserve">Daňová kontrola (§ 85-88a DŘ)</w:t>
      </w:r>
    </w:p>
    <w:p>
      <w:pPr>
        <w:pStyle w:val="Compact"/>
        <w:numPr>
          <w:numId w:val="1271"/>
          <w:ilvl w:val="1"/>
        </w:numPr>
      </w:pPr>
      <w:r>
        <w:t xml:space="preserve">Předmětem daňové kontroly jsou daňové povinnosti, tvrzení daňového subjektu nebo jiné okolnosti rozhodné pro správné zjištění a stanovení daně vztahující se k jednomu daňovému řízení.</w:t>
      </w:r>
    </w:p>
    <w:p>
      <w:pPr>
        <w:pStyle w:val="Compact"/>
        <w:numPr>
          <w:numId w:val="1272"/>
          <w:ilvl w:val="1"/>
        </w:numPr>
      </w:pPr>
      <w:r>
        <w:t xml:space="preserve">Daňová kontrola se provádí u daňového subjektu nebo na místě, kde je to vzhledem k účelu kontroly nejvhodnější.</w:t>
      </w:r>
    </w:p>
    <w:p>
      <w:pPr>
        <w:pStyle w:val="Compact"/>
        <w:numPr>
          <w:numId w:val="1273"/>
          <w:ilvl w:val="1"/>
        </w:numPr>
      </w:pPr>
      <w:r>
        <w:t xml:space="preserve">Správce daně předmět daňové kontroly prověřuje ve vymezeném rozsahu. Rozsah daňové kontroly lze v jejím průběhu rozšířit nebo zúžit doručením oznámení o změně rozsahu daňové kontroly.</w:t>
      </w:r>
    </w:p>
    <w:p>
      <w:pPr>
        <w:pStyle w:val="Compact"/>
        <w:numPr>
          <w:numId w:val="1274"/>
          <w:ilvl w:val="1"/>
        </w:numPr>
      </w:pPr>
      <w:r>
        <w:t xml:space="preserve">Daňovou kontrolu lze provádět společně pro více daňových řízení týkajících se jednoho daňového subjektu.</w:t>
      </w:r>
    </w:p>
    <w:p>
      <w:pPr>
        <w:pStyle w:val="Compact"/>
        <w:numPr>
          <w:numId w:val="1275"/>
          <w:ilvl w:val="1"/>
        </w:numPr>
      </w:pPr>
      <w:r>
        <w:t xml:space="preserve">Oznámení doručované v souvislosti s daňovou kontrolou neobsahuje odůvodnění a nelze proti němu uplatnit opravné prostředky.</w:t>
      </w:r>
    </w:p>
    <w:p>
      <w:pPr>
        <w:pStyle w:val="Compact"/>
        <w:numPr>
          <w:numId w:val="1266"/>
          <w:ilvl w:val="0"/>
        </w:numPr>
      </w:pPr>
      <w:r>
        <w:t xml:space="preserve">Daňovou kontrolu ze opakovat - například pokud vyšly najevo nové skutečnosti či důkazy.</w:t>
      </w:r>
    </w:p>
    <w:p>
      <w:pPr>
        <w:pStyle w:val="Compact"/>
        <w:numPr>
          <w:numId w:val="1266"/>
          <w:ilvl w:val="0"/>
        </w:numPr>
      </w:pPr>
      <w:r>
        <w:t xml:space="preserve">Daňový subjekt je povinnen poskytnou správci daně veškerou součinnost.</w:t>
      </w:r>
    </w:p>
    <w:p>
      <w:pPr>
        <w:pStyle w:val="Compact"/>
        <w:numPr>
          <w:numId w:val="1266"/>
          <w:ilvl w:val="0"/>
        </w:numPr>
      </w:pPr>
      <w:r>
        <w:t xml:space="preserve">Daňový subjekt má v rámci daňové kontroly právo</w:t>
      </w:r>
    </w:p>
    <w:p>
      <w:pPr>
        <w:pStyle w:val="Compact"/>
        <w:numPr>
          <w:numId w:val="1277"/>
          <w:ilvl w:val="2"/>
        </w:numPr>
      </w:pPr>
      <w:r>
        <w:t xml:space="preserve">být přítomen jednání se svými zaměstnanci nebo dalšími osobami, které vykonávají jeho činnosti,</w:t>
      </w:r>
    </w:p>
    <w:p>
      <w:pPr>
        <w:pStyle w:val="Compact"/>
        <w:numPr>
          <w:numId w:val="1278"/>
          <w:ilvl w:val="2"/>
        </w:numPr>
      </w:pPr>
      <w:r>
        <w:t xml:space="preserve">předkládat důkazní prostředky nebo navrhovat provedení důkazních prostředků, které on sám nemá k dispozici,</w:t>
      </w:r>
    </w:p>
    <w:p>
      <w:pPr>
        <w:pStyle w:val="Compact"/>
        <w:numPr>
          <w:numId w:val="1279"/>
          <w:ilvl w:val="2"/>
        </w:numPr>
      </w:pPr>
      <w:r>
        <w:t xml:space="preserve">vyvracet pochybnosti vyjádřené správcem daně.</w:t>
      </w:r>
    </w:p>
    <w:p>
      <w:pPr>
        <w:pStyle w:val="Compact"/>
        <w:numPr>
          <w:numId w:val="1266"/>
          <w:ilvl w:val="0"/>
        </w:numPr>
      </w:pPr>
      <w:r>
        <w:t xml:space="preserve">Daňová kontrola je zahájena doručením oznámení o zahájení daňové kontroly, ve kterém je vymezen předmět a rozsah daňové kontroly.</w:t>
      </w:r>
    </w:p>
    <w:p>
      <w:pPr>
        <w:pStyle w:val="Compact"/>
        <w:numPr>
          <w:numId w:val="1266"/>
          <w:ilvl w:val="0"/>
        </w:numPr>
      </w:pPr>
      <w:r>
        <w:t xml:space="preserve">Dojde-li k zahájení daňové kontroly bez předchozí výzvy k podání daňového tvrzení, ačkoli byl naplněn důvod pro vydání této výzvy, nemá tato skutečnost vliv na účinky tohoto zahájení. Daňovému subjektu nevzniká povinnost uhradit penále z částky daně stanovené na základě takto zahájené daňové kontroly.</w:t>
      </w:r>
    </w:p>
    <w:p>
      <w:pPr>
        <w:pStyle w:val="Compact"/>
        <w:numPr>
          <w:numId w:val="1280"/>
          <w:ilvl w:val="1"/>
        </w:numPr>
      </w:pPr>
      <w:r>
        <w:t xml:space="preserve">Správce daně na základě provedené kontrolní činnosti sepíše dosavadní výsledek kontrolního zjištění, jehož součástí je hodnocení dosud zjištěných důkazů.</w:t>
      </w:r>
    </w:p>
    <w:p>
      <w:pPr>
        <w:pStyle w:val="Compact"/>
        <w:numPr>
          <w:numId w:val="1281"/>
          <w:ilvl w:val="1"/>
        </w:numPr>
      </w:pPr>
      <w:r>
        <w:t xml:space="preserve">Pokud z dosavadního výsledku kontrolního zjištění vyplývá, že na jeho základě dojde k vydání rozhodnutí o stanovení daně, správce daně sdělí daňovému subjektu tento výsledek a současně mu stanoví přiměřenou lhůtu pro případné vyjádření.</w:t>
      </w:r>
    </w:p>
    <w:p>
      <w:pPr>
        <w:pStyle w:val="Compact"/>
        <w:numPr>
          <w:numId w:val="1282"/>
          <w:ilvl w:val="1"/>
        </w:numPr>
      </w:pPr>
      <w:r>
        <w:t xml:space="preserve">Daňový subjekt je v rámci vyjádření k dosavadnímu výsledku kontrolního zjištění oprávněn zejména</w:t>
      </w:r>
    </w:p>
    <w:p>
      <w:pPr>
        <w:pStyle w:val="Compact"/>
        <w:numPr>
          <w:numId w:val="1284"/>
          <w:ilvl w:val="2"/>
        </w:numPr>
      </w:pPr>
      <w:r>
        <w:t xml:space="preserve">vznést výhradu k dosavadnímu výsledku kontrolního zjištění,</w:t>
      </w:r>
    </w:p>
    <w:p>
      <w:pPr>
        <w:pStyle w:val="Compact"/>
        <w:numPr>
          <w:numId w:val="1285"/>
          <w:ilvl w:val="2"/>
        </w:numPr>
      </w:pPr>
      <w:r>
        <w:t xml:space="preserve">podat návrh na doplnění dosavadního výsledku kontrolního zjištění.</w:t>
      </w:r>
    </w:p>
    <w:p>
      <w:pPr>
        <w:pStyle w:val="Compact"/>
        <w:numPr>
          <w:numId w:val="1286"/>
          <w:ilvl w:val="1"/>
        </w:numPr>
      </w:pPr>
      <w:r>
        <w:t xml:space="preserve">Daňová kontrola je ukončena doručením oznámení o ukončení daňové kontroly, k němuž je přiložena zpráva o daňové kontrole podepsaná úřední osobou.</w:t>
      </w:r>
    </w:p>
    <w:p>
      <w:pPr>
        <w:pStyle w:val="Compact"/>
        <w:numPr>
          <w:numId w:val="1287"/>
          <w:ilvl w:val="1"/>
        </w:numPr>
      </w:pPr>
      <w:r>
        <w:t xml:space="preserve">Zpráva o daňové kontrole obsahuje</w:t>
      </w:r>
    </w:p>
    <w:p>
      <w:pPr>
        <w:pStyle w:val="Compact"/>
        <w:numPr>
          <w:numId w:val="1289"/>
          <w:ilvl w:val="2"/>
        </w:numPr>
      </w:pPr>
      <w:r>
        <w:t xml:space="preserve">odkaz na oznámení o zahájení daňové kontroly, popřípadě oznámení o změně rozsahu daňové kontroly, a</w:t>
      </w:r>
    </w:p>
    <w:p>
      <w:pPr>
        <w:pStyle w:val="Compact"/>
        <w:numPr>
          <w:numId w:val="1290"/>
          <w:ilvl w:val="2"/>
        </w:numPr>
      </w:pPr>
      <w:r>
        <w:t xml:space="preserve">konečný výsledek kontrolního zjištění, včetně</w:t>
      </w:r>
    </w:p>
    <w:p>
      <w:pPr>
        <w:pStyle w:val="Compact"/>
        <w:numPr>
          <w:numId w:val="1291"/>
          <w:ilvl w:val="2"/>
        </w:numPr>
      </w:pPr>
      <w:r>
        <w:t xml:space="preserve">hodnocení zjištěných důkazů,</w:t>
      </w:r>
    </w:p>
    <w:p>
      <w:pPr>
        <w:pStyle w:val="Compact"/>
        <w:numPr>
          <w:numId w:val="1292"/>
          <w:ilvl w:val="2"/>
        </w:numPr>
      </w:pPr>
      <w:r>
        <w:t xml:space="preserve">stanoviska správce daně k vyjádření daňového subjektu k výsledku dosavadního kontrolního zjištění.</w:t>
      </w:r>
    </w:p>
    <w:p>
      <w:pPr>
        <w:pStyle w:val="Compact"/>
        <w:numPr>
          <w:numId w:val="1293"/>
          <w:ilvl w:val="1"/>
        </w:numPr>
      </w:pPr>
      <w:r>
        <w:t xml:space="preserve">Pokud z konečného výsledku kontrolního zjištění nevyplývá, že v dané věci dojde k vydání rozhodnutí o stanovení daně, je vyměřovací nebo doměřovací řízení ukončeno doručením oznámení o ukončení daňové kontroly, nejedná-li se o řízení, které bylo zahájeno podáním daňového tvrzení.</w:t>
      </w:r>
    </w:p>
    <w:p>
      <w:pPr>
        <w:pStyle w:val="Compact"/>
        <w:numPr>
          <w:numId w:val="1294"/>
          <w:ilvl w:val="1"/>
        </w:numPr>
      </w:pPr>
      <w:r>
        <w:t xml:space="preserve">Dojde-li ke stanovení daně výlučně na základě výsledku daňové kontroly, může správce daně doručit rozhodnutí o stanovení daně spolu s oznámením o ukončení daňové kontroly.</w:t>
      </w:r>
    </w:p>
    <w:p>
      <w:pPr>
        <w:pStyle w:val="Compact"/>
        <w:numPr>
          <w:numId w:val="1266"/>
          <w:ilvl w:val="0"/>
        </w:numPr>
      </w:pPr>
      <w:r>
        <w:t xml:space="preserve">Postup k odstranění pochybností (§ 89-90 DŘ)</w:t>
      </w:r>
    </w:p>
    <w:p>
      <w:pPr>
        <w:pStyle w:val="Compact"/>
        <w:numPr>
          <w:numId w:val="1295"/>
          <w:ilvl w:val="1"/>
        </w:numPr>
      </w:pPr>
      <w:r>
        <w:t xml:space="preserve">Má-li správce daně konkrétní pochybnosti o správnosti, průkaznosti nebo úplnosti podaného daňového tvrzení nebo jiné písemnosti předložené daňovým subjektem nebo o pravdivosti údajů v nich uvedených, vyzve daňový subjekt k odstranění těchto pochybností.</w:t>
      </w:r>
    </w:p>
    <w:p>
      <w:pPr>
        <w:pStyle w:val="Compact"/>
        <w:numPr>
          <w:numId w:val="1296"/>
          <w:ilvl w:val="1"/>
        </w:numPr>
      </w:pPr>
      <w:r>
        <w:t xml:space="preserve">Ve výzvě správce daně uvede své pochybnosti způsobem, který umožní daňovému subjektu, aby se k nim vyjádřil, neúplné údaje doplnil, nejasnosti vysvětlil, nepravdivé údaje opravil nebo pravdivost údajů prokázal a předložil důkazní prostředky tak, aby došlo k odstranění těchto pochybností.</w:t>
      </w:r>
    </w:p>
    <w:p>
      <w:pPr>
        <w:pStyle w:val="Compact"/>
        <w:numPr>
          <w:numId w:val="1297"/>
          <w:ilvl w:val="1"/>
        </w:numPr>
      </w:pPr>
      <w:r>
        <w:t xml:space="preserve">Ve výzvě daňovému subjektu stanoví správce daně lhůtu k odstranění pochybností, která nesmí být kratší než 15 dnů, a poučí ho o následcích spojených s neodstraněním pochybností nebo nedodržením stanovené lhůty.</w:t>
      </w:r>
    </w:p>
    <w:p>
      <w:pPr>
        <w:pStyle w:val="Compact"/>
        <w:numPr>
          <w:numId w:val="1298"/>
          <w:ilvl w:val="1"/>
        </w:numPr>
      </w:pPr>
      <w:r>
        <w:t xml:space="preserve">Správce daně může zahájit za účelem odstranění pochybností daňovou kontrolu, jejíž předmět a rozsah nejsou tímto účelem omezeny. Zahájením této daňové kontroly je postup k odstranění pochybností ukončen.</w:t>
      </w:r>
    </w:p>
    <w:p>
      <w:pPr>
        <w:pStyle w:val="Compact"/>
        <w:numPr>
          <w:numId w:val="1299"/>
          <w:ilvl w:val="1"/>
        </w:numPr>
      </w:pPr>
      <w:r>
        <w:t xml:space="preserve">O průběhu postupu k odstranění pochybností sepíše správce daně podle povahy svého úkonu protokol nebo úřední záznam, ve kterém uvede vyjádření nebo důkazní prostředky, na jejichž základě považuje pochybnosti za zcela nebo zčásti odstraněné, a případné důvody přetrvávajících pochybností.</w:t>
      </w:r>
    </w:p>
    <w:p>
      <w:pPr>
        <w:pStyle w:val="Compact"/>
        <w:numPr>
          <w:numId w:val="1300"/>
          <w:ilvl w:val="1"/>
        </w:numPr>
      </w:pPr>
      <w:r>
        <w:t xml:space="preserve">Nedošlo-li k odstranění pochybností a výše daně nebyla prokázána dostatečně věrohodně, sdělí správce daně daňovému subjektu výsledek postupu k odstranění pochybností. Daňový subjekt je oprávněn do 15 dnů ode dne, kdy byl seznámen s dosavadním výsledkem postupu k odstranění pochybností, podat návrh na pokračování v dokazovaní spolu s návrhem na provedení dalších důkazních prostředků.</w:t>
      </w:r>
    </w:p>
    <w:p>
      <w:pPr>
        <w:pStyle w:val="Compact"/>
        <w:numPr>
          <w:numId w:val="1301"/>
          <w:ilvl w:val="1"/>
        </w:numPr>
      </w:pPr>
      <w:r>
        <w:t xml:space="preserve">Neshledá-li správce daně důvody k pokračování v dokazování, vydá do 15 dnů ode dne, kdy daňový subjekt podal návrh na pokračování v dokazování, rozhodnutí o stanovení daně.</w:t>
      </w:r>
    </w:p>
    <w:p>
      <w:pPr>
        <w:pStyle w:val="Compact"/>
        <w:numPr>
          <w:numId w:val="1302"/>
          <w:ilvl w:val="1"/>
        </w:numPr>
      </w:pPr>
      <w:r>
        <w:t xml:space="preserve">Neposkytne-li daňový subjekt potřebnou součinnost k odstranění pochybností, může správce daně stanovit daň podle pomůcek.</w:t>
      </w:r>
    </w:p>
    <w:p>
      <w:pPr>
        <w:pStyle w:val="Compact"/>
        <w:numPr>
          <w:numId w:val="1303"/>
          <w:ilvl w:val="1"/>
        </w:numPr>
      </w:pPr>
      <w:r>
        <w:t xml:space="preserve">Nedošlo-li k odstranění pochybností ohledně skutečnosti, která nemá vliv na výši daně, vydá správce daně rozhodnutí ve věci nebo rozhodnutí o zastavení řízení, v jehož odůvodnění uvede výsledek postupu k odstranění pochybností.</w:t>
      </w:r>
    </w:p>
    <w:p>
      <w:pPr>
        <w:pStyle w:val="Heading2"/>
      </w:pPr>
      <w:bookmarkStart w:id="125" w:name="dokazování-v-daňovém-řízení"/>
      <w:bookmarkEnd w:id="125"/>
      <w:r>
        <w:t xml:space="preserve">21. Dokazování v daňovém řízení</w:t>
      </w:r>
    </w:p>
    <w:p>
      <w:pPr>
        <w:pStyle w:val="Heading3"/>
      </w:pPr>
      <w:bookmarkStart w:id="126" w:name="obsah"/>
      <w:bookmarkEnd w:id="126"/>
      <w:r>
        <w:t xml:space="preserve">Obsah</w:t>
      </w:r>
    </w:p>
    <w:p>
      <w:pPr>
        <w:pStyle w:val="Compact"/>
        <w:numPr>
          <w:numId w:val="1304"/>
          <w:ilvl w:val="0"/>
        </w:numPr>
      </w:pPr>
      <w:r>
        <w:t xml:space="preserve">Procesní otázky:</w:t>
      </w:r>
    </w:p>
    <w:p>
      <w:pPr>
        <w:pStyle w:val="Compact"/>
        <w:numPr>
          <w:numId w:val="1304"/>
          <w:ilvl w:val="0"/>
        </w:numPr>
      </w:pPr>
      <w:r>
        <w:t xml:space="preserve">Důkazní břemeno</w:t>
      </w:r>
    </w:p>
    <w:p>
      <w:pPr>
        <w:pStyle w:val="Compact"/>
        <w:numPr>
          <w:numId w:val="1304"/>
          <w:ilvl w:val="0"/>
        </w:numPr>
      </w:pPr>
      <w:r>
        <w:t xml:space="preserve">Dokazování</w:t>
      </w:r>
    </w:p>
    <w:p>
      <w:pPr>
        <w:pStyle w:val="Compact"/>
        <w:numPr>
          <w:numId w:val="1304"/>
          <w:ilvl w:val="0"/>
        </w:numPr>
      </w:pPr>
      <w:r>
        <w:t xml:space="preserve">Stanovení daně podle pomůcek</w:t>
      </w:r>
    </w:p>
    <w:p>
      <w:pPr>
        <w:pStyle w:val="Compact"/>
        <w:numPr>
          <w:numId w:val="1304"/>
          <w:ilvl w:val="0"/>
        </w:numPr>
      </w:pPr>
      <w:r>
        <w:t xml:space="preserve">Dokazování ve vybraných případech (reklama, zprostředkování, manažerské služby)</w:t>
      </w:r>
    </w:p>
    <w:p>
      <w:pPr>
        <w:pStyle w:val="Compact"/>
        <w:numPr>
          <w:numId w:val="1304"/>
          <w:ilvl w:val="0"/>
        </w:numPr>
      </w:pPr>
      <w:r>
        <w:t xml:space="preserve">Judikatura soudů a její význam pro daňovou praxi</w:t>
      </w:r>
    </w:p>
    <w:p>
      <w:pPr>
        <w:pStyle w:val="Heading3"/>
      </w:pPr>
      <w:bookmarkStart w:id="127" w:name="dokazování"/>
      <w:bookmarkEnd w:id="127"/>
      <w:r>
        <w:t xml:space="preserve">Dokazování</w:t>
      </w:r>
    </w:p>
    <w:p>
      <w:pPr>
        <w:pStyle w:val="Compact"/>
        <w:numPr>
          <w:numId w:val="1305"/>
          <w:ilvl w:val="0"/>
        </w:numPr>
      </w:pPr>
      <w:r>
        <w:t xml:space="preserve">Dokazování I.</w:t>
      </w:r>
    </w:p>
    <w:p>
      <w:pPr>
        <w:pStyle w:val="Compact"/>
        <w:numPr>
          <w:numId w:val="1305"/>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305"/>
          <w:ilvl w:val="0"/>
        </w:numPr>
      </w:pPr>
      <w:r>
        <w:t xml:space="preserve">Správce daně dbá, aby skutečnosti rozhodné pro správné zjištění a stanovení daně byly zjištěny co nejúplněji, a není v tom vázán jen návrhy daňových subjektů.</w:t>
      </w:r>
    </w:p>
    <w:p>
      <w:pPr>
        <w:numPr>
          <w:numId w:val="1305"/>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305"/>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305"/>
          <w:ilvl w:val="0"/>
        </w:numPr>
      </w:pPr>
      <w:r>
        <w:t xml:space="preserve">Správce daně prokazuje</w:t>
      </w:r>
    </w:p>
    <w:p>
      <w:pPr>
        <w:pStyle w:val="Compact"/>
        <w:numPr>
          <w:numId w:val="1306"/>
          <w:ilvl w:val="1"/>
        </w:numPr>
      </w:pPr>
      <w:r>
        <w:t xml:space="preserve">oznámení vlastních písemností,</w:t>
      </w:r>
    </w:p>
    <w:p>
      <w:pPr>
        <w:pStyle w:val="Compact"/>
        <w:numPr>
          <w:numId w:val="1307"/>
          <w:ilvl w:val="1"/>
        </w:numPr>
      </w:pPr>
      <w:r>
        <w:t xml:space="preserve">skutečnosti rozhodné pro užití právní domněnky nebo právní fikce,</w:t>
      </w:r>
    </w:p>
    <w:p>
      <w:pPr>
        <w:pStyle w:val="Compact"/>
        <w:numPr>
          <w:numId w:val="1308"/>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309"/>
          <w:ilvl w:val="1"/>
        </w:numPr>
      </w:pPr>
      <w:r>
        <w:t xml:space="preserve">skutečnosti rozhodné pro posouzení skutečného obsahu právního úkonu nebo jiné skutečnosti (v ZSDP nebylo),</w:t>
      </w:r>
    </w:p>
    <w:p>
      <w:pPr>
        <w:pStyle w:val="Compact"/>
        <w:numPr>
          <w:numId w:val="1310"/>
          <w:ilvl w:val="1"/>
        </w:numPr>
      </w:pPr>
      <w:r>
        <w:t xml:space="preserve">skutečnosti rozhodné pro uplatnění následku za porušení povinnosti při správě daní.</w:t>
      </w:r>
    </w:p>
    <w:p>
      <w:pPr>
        <w:pStyle w:val="Compact"/>
        <w:numPr>
          <w:numId w:val="1311"/>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312"/>
          <w:ilvl w:val="1"/>
        </w:numPr>
      </w:pPr>
      <w:r>
        <w:t xml:space="preserve">zneužití práva</w:t>
      </w:r>
    </w:p>
    <w:p>
      <w:pPr>
        <w:pStyle w:val="Compact"/>
        <w:numPr>
          <w:numId w:val="1305"/>
          <w:ilvl w:val="0"/>
        </w:numPr>
      </w:pPr>
      <w:r>
        <w:t xml:space="preserve">Dokazování II.</w:t>
      </w:r>
    </w:p>
    <w:p>
      <w:pPr>
        <w:pStyle w:val="Compact"/>
        <w:numPr>
          <w:numId w:val="1305"/>
          <w:ilvl w:val="0"/>
        </w:numPr>
      </w:pPr>
      <w:r>
        <w:t xml:space="preserve">DS x SD</w:t>
      </w:r>
    </w:p>
    <w:p>
      <w:pPr>
        <w:pStyle w:val="Compact"/>
        <w:numPr>
          <w:numId w:val="1314"/>
          <w:ilvl w:val="2"/>
        </w:numPr>
      </w:pPr>
      <w:r>
        <w:t xml:space="preserve">Povinnost DS k tvrzení (např. podat DP)</w:t>
      </w:r>
    </w:p>
    <w:p>
      <w:pPr>
        <w:pStyle w:val="Compact"/>
        <w:numPr>
          <w:numId w:val="1315"/>
          <w:ilvl w:val="2"/>
        </w:numPr>
      </w:pPr>
      <w:r>
        <w:t xml:space="preserve">Výzva SD k prokázání</w:t>
      </w:r>
    </w:p>
    <w:p>
      <w:pPr>
        <w:pStyle w:val="Compact"/>
        <w:numPr>
          <w:numId w:val="1316"/>
          <w:ilvl w:val="2"/>
        </w:numPr>
      </w:pPr>
      <w:r>
        <w:t xml:space="preserve">Povinnost DS důkazní (doložit tvrzení)</w:t>
      </w:r>
    </w:p>
    <w:p>
      <w:pPr>
        <w:pStyle w:val="Compact"/>
        <w:numPr>
          <w:numId w:val="1317"/>
          <w:ilvl w:val="2"/>
        </w:numPr>
      </w:pPr>
      <w:r>
        <w:t xml:space="preserve">Povinnost SD prokázat, proč má pochybnosti</w:t>
      </w:r>
    </w:p>
    <w:p>
      <w:pPr>
        <w:pStyle w:val="Compact"/>
        <w:numPr>
          <w:numId w:val="1318"/>
          <w:ilvl w:val="2"/>
        </w:numPr>
      </w:pPr>
      <w:r>
        <w:t xml:space="preserve">Povinnost DS pochybnosti vyvrátit</w:t>
      </w:r>
    </w:p>
    <w:p>
      <w:pPr>
        <w:pStyle w:val="Compact"/>
        <w:numPr>
          <w:numId w:val="1305"/>
          <w:ilvl w:val="0"/>
        </w:numPr>
      </w:pPr>
      <w:r>
        <w:t xml:space="preserve">Dokazování III.</w:t>
      </w:r>
    </w:p>
    <w:p>
      <w:pPr>
        <w:numPr>
          <w:numId w:val="1305"/>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305"/>
          <w:ilvl w:val="0"/>
        </w:numPr>
      </w:pPr>
      <w:r>
        <w:t xml:space="preserve">Dokazování IV. důkazní prostředky</w:t>
      </w:r>
    </w:p>
    <w:p>
      <w:pPr>
        <w:pStyle w:val="Compact"/>
        <w:numPr>
          <w:numId w:val="1305"/>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305"/>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305"/>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305"/>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305"/>
          <w:ilvl w:val="0"/>
        </w:numPr>
      </w:pPr>
      <w:r>
        <w:t xml:space="preserve">Dokazování V.</w:t>
      </w:r>
    </w:p>
    <w:p>
      <w:pPr>
        <w:pStyle w:val="Compact"/>
        <w:numPr>
          <w:numId w:val="1305"/>
          <w:ilvl w:val="0"/>
        </w:numPr>
      </w:pPr>
      <w:r>
        <w:t xml:space="preserve">§ 8 odst. 3 DŘ</w:t>
      </w:r>
    </w:p>
    <w:p>
      <w:pPr>
        <w:pStyle w:val="Compact"/>
        <w:numPr>
          <w:numId w:val="1319"/>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305"/>
          <w:ilvl w:val="0"/>
        </w:numPr>
      </w:pPr>
      <w:r>
        <w:t xml:space="preserve">srovnej s:</w:t>
      </w:r>
    </w:p>
    <w:p>
      <w:pPr>
        <w:pStyle w:val="Compact"/>
        <w:numPr>
          <w:numId w:val="1305"/>
          <w:ilvl w:val="0"/>
        </w:numPr>
      </w:pPr>
      <w:r>
        <w:t xml:space="preserve">§2 odst. 7 ZSDP x</w:t>
      </w:r>
    </w:p>
    <w:p>
      <w:pPr>
        <w:pStyle w:val="Compact"/>
        <w:numPr>
          <w:numId w:val="1320"/>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305"/>
          <w:ilvl w:val="0"/>
        </w:numPr>
      </w:pPr>
      <w:r>
        <w:t xml:space="preserve">(nutnost nové judikatury, též zneužití práva §8/4 DŘ)</w:t>
      </w:r>
    </w:p>
    <w:p>
      <w:pPr>
        <w:pStyle w:val="Compact"/>
        <w:numPr>
          <w:numId w:val="1305"/>
          <w:ilvl w:val="0"/>
        </w:numPr>
      </w:pPr>
      <w:r>
        <w:t xml:space="preserve">Dokazování VI.</w:t>
      </w:r>
    </w:p>
    <w:p>
      <w:pPr>
        <w:pStyle w:val="Compact"/>
        <w:numPr>
          <w:numId w:val="1305"/>
          <w:ilvl w:val="0"/>
        </w:numPr>
      </w:pPr>
      <w:r>
        <w:t xml:space="preserve">Hodnocení důkazních prostředků:</w:t>
      </w:r>
    </w:p>
    <w:p>
      <w:pPr>
        <w:pStyle w:val="Compact"/>
        <w:numPr>
          <w:numId w:val="1321"/>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305"/>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305"/>
          <w:ilvl w:val="0"/>
        </w:numPr>
      </w:pPr>
      <w:r>
        <w:t xml:space="preserve">Dokazování VII.</w:t>
      </w:r>
    </w:p>
    <w:p>
      <w:pPr>
        <w:pStyle w:val="Compact"/>
        <w:numPr>
          <w:numId w:val="1305"/>
          <w:ilvl w:val="0"/>
        </w:numPr>
      </w:pPr>
      <w:r>
        <w:t xml:space="preserve">Neunesení důkazního břemene:</w:t>
      </w:r>
    </w:p>
    <w:p>
      <w:pPr>
        <w:numPr>
          <w:numId w:val="1305"/>
          <w:ilvl w:val="0"/>
        </w:numPr>
      </w:pPr>
      <w:r>
        <w:t xml:space="preserve">možnost pomůcek</w:t>
      </w:r>
    </w:p>
    <w:p>
      <w:pPr>
        <w:pStyle w:val="Compact"/>
        <w:numPr>
          <w:numId w:val="1305"/>
          <w:ilvl w:val="0"/>
        </w:numPr>
      </w:pPr>
      <w:r>
        <w:t xml:space="preserve">Nahlížení do spisu</w:t>
      </w:r>
    </w:p>
    <w:p>
      <w:pPr>
        <w:pStyle w:val="Compact"/>
        <w:numPr>
          <w:numId w:val="1305"/>
          <w:ilvl w:val="0"/>
        </w:numPr>
      </w:pPr>
      <w:r>
        <w:t xml:space="preserve">Veřejná a „tajná“ vyhledávací část spisu</w:t>
      </w:r>
    </w:p>
    <w:p>
      <w:pPr>
        <w:numPr>
          <w:numId w:val="1305"/>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305"/>
          <w:ilvl w:val="0"/>
        </w:numPr>
      </w:pPr>
      <w:r>
        <w:t xml:space="preserve">Nahlížení do spisu II.</w:t>
      </w:r>
    </w:p>
    <w:p>
      <w:pPr>
        <w:pStyle w:val="Compact"/>
        <w:numPr>
          <w:numId w:val="1305"/>
          <w:ilvl w:val="0"/>
        </w:numPr>
      </w:pPr>
      <w:r>
        <w:t xml:space="preserve">Obrana pro neumožnění nahlédnutí - sporná:</w:t>
      </w:r>
    </w:p>
    <w:p>
      <w:pPr>
        <w:pStyle w:val="Compact"/>
        <w:numPr>
          <w:numId w:val="1305"/>
          <w:ilvl w:val="0"/>
        </w:numPr>
      </w:pPr>
      <w:r>
        <w:t xml:space="preserve">Stížnost § 261 DŘ</w:t>
      </w:r>
    </w:p>
    <w:p>
      <w:pPr>
        <w:pStyle w:val="Compact"/>
        <w:numPr>
          <w:numId w:val="1305"/>
          <w:ilvl w:val="0"/>
        </w:numPr>
      </w:pPr>
      <w:r>
        <w:t xml:space="preserve">Odvolání § 101 DŘ</w:t>
      </w:r>
    </w:p>
    <w:p>
      <w:pPr>
        <w:numPr>
          <w:numId w:val="1305"/>
          <w:ilvl w:val="0"/>
        </w:numPr>
      </w:pPr>
      <w:r>
        <w:t xml:space="preserve">Soudní obrana</w:t>
      </w:r>
    </w:p>
    <w:p>
      <w:pPr>
        <w:pStyle w:val="Compact"/>
        <w:numPr>
          <w:numId w:val="1305"/>
          <w:ilvl w:val="0"/>
        </w:numPr>
      </w:pPr>
      <w:r>
        <w:t xml:space="preserve">Svědci</w:t>
      </w:r>
    </w:p>
    <w:p>
      <w:pPr>
        <w:pStyle w:val="Compact"/>
        <w:numPr>
          <w:numId w:val="1305"/>
          <w:ilvl w:val="0"/>
        </w:numPr>
      </w:pPr>
      <w:r>
        <w:t xml:space="preserve">nutnost vyrozumění DS a umožnění účasti na ní,</w:t>
      </w:r>
    </w:p>
    <w:p>
      <w:pPr>
        <w:pStyle w:val="Compact"/>
        <w:numPr>
          <w:numId w:val="1305"/>
          <w:ilvl w:val="0"/>
        </w:numPr>
      </w:pPr>
      <w:r>
        <w:t xml:space="preserve">označení svědka a věci, ve které bude vypovídat,</w:t>
      </w:r>
    </w:p>
    <w:p>
      <w:pPr>
        <w:numPr>
          <w:numId w:val="1305"/>
          <w:ilvl w:val="0"/>
        </w:numPr>
      </w:pPr>
      <w:r>
        <w:t xml:space="preserve">vyrozumění není nutné, pokud hrozí nebezpečí z prodlení nebo zmaření účelu výpovědi</w:t>
      </w:r>
    </w:p>
    <w:p>
      <w:pPr>
        <w:pStyle w:val="Compact"/>
        <w:numPr>
          <w:numId w:val="1305"/>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305"/>
          <w:ilvl w:val="0"/>
        </w:numPr>
      </w:pPr>
      <w:r>
        <w:t xml:space="preserve">Výpověď může odepřít ten, kdo by tím způsobil nebezpečí trestního stíhání sobě nebo osobám mu blízkým.</w:t>
      </w:r>
    </w:p>
    <w:p>
      <w:pPr>
        <w:numPr>
          <w:numId w:val="1305"/>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305"/>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305"/>
          <w:ilvl w:val="0"/>
        </w:numPr>
      </w:pPr>
      <w:r>
        <w:t xml:space="preserve">Svědek má nárok na náhradu nákladů.</w:t>
      </w:r>
    </w:p>
    <w:p>
      <w:pPr>
        <w:pStyle w:val="Compact"/>
        <w:numPr>
          <w:numId w:val="1305"/>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305"/>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28" w:name="pomůcky"/>
      <w:bookmarkEnd w:id="128"/>
      <w:r>
        <w:t xml:space="preserve">Pomůcky</w:t>
      </w:r>
    </w:p>
    <w:p>
      <w:pPr>
        <w:pStyle w:val="Compact"/>
        <w:numPr>
          <w:numId w:val="1322"/>
          <w:ilvl w:val="0"/>
        </w:numPr>
      </w:pPr>
      <w:r>
        <w:t xml:space="preserve">Pomůcky – kdy se použijí?</w:t>
      </w:r>
    </w:p>
    <w:p>
      <w:pPr>
        <w:pStyle w:val="Compact"/>
        <w:numPr>
          <w:numId w:val="1322"/>
          <w:ilvl w:val="0"/>
        </w:numPr>
      </w:pPr>
      <w:r>
        <w:t xml:space="preserve">§ 87 – Nevyhovění výzvě SD k zahájení kontroly (Daňová kontrola, Daňová kontrola a Postup k odstranění pochybností jsou dva druhy Kontrolních postupů)</w:t>
      </w:r>
      <w:r>
        <w:rPr>
          <w:rStyle w:val="FootnoteReference"/>
        </w:rPr>
        <w:footnoteReference w:id="129"/>
      </w:r>
    </w:p>
    <w:p>
      <w:pPr>
        <w:pStyle w:val="Compact"/>
        <w:numPr>
          <w:numId w:val="1322"/>
          <w:ilvl w:val="0"/>
        </w:numPr>
      </w:pPr>
      <w:r>
        <w:t xml:space="preserve">§ 90 - Neposkytnutí součinnosti u POP (Postup k odstranění pochybností)</w:t>
      </w:r>
    </w:p>
    <w:p>
      <w:pPr>
        <w:pStyle w:val="Compact"/>
        <w:numPr>
          <w:numId w:val="1322"/>
          <w:ilvl w:val="0"/>
        </w:numPr>
      </w:pPr>
      <w:r>
        <w:t xml:space="preserve">§ 98 – Nemožnost stanovit daň dokazováním</w:t>
      </w:r>
    </w:p>
    <w:p>
      <w:pPr>
        <w:pStyle w:val="Compact"/>
        <w:numPr>
          <w:numId w:val="1322"/>
          <w:ilvl w:val="0"/>
        </w:numPr>
      </w:pPr>
      <w:r>
        <w:t xml:space="preserve">§ 145 – Nepodání DP nebo dodateč. DP ani po výzvě SD</w:t>
      </w:r>
    </w:p>
    <w:p>
      <w:pPr>
        <w:pStyle w:val="Compact"/>
        <w:numPr>
          <w:numId w:val="1322"/>
          <w:ilvl w:val="0"/>
        </w:numPr>
      </w:pPr>
      <w:r>
        <w:t xml:space="preserve">§ 167 – Zjištění výše zajišť. částky u zajišťovacího příkazu</w:t>
      </w:r>
    </w:p>
    <w:p>
      <w:pPr>
        <w:numPr>
          <w:numId w:val="1322"/>
          <w:ilvl w:val="0"/>
        </w:numPr>
      </w:pPr>
      <w:r>
        <w:t xml:space="preserve">§ 244 – Zjistí-li insolvenční správce, že nemá podklady</w:t>
      </w:r>
    </w:p>
    <w:p>
      <w:pPr>
        <w:pStyle w:val="Compact"/>
        <w:numPr>
          <w:numId w:val="1322"/>
          <w:ilvl w:val="0"/>
        </w:numPr>
      </w:pPr>
      <w:r>
        <w:t xml:space="preserve">Pomůcky - pravidla</w:t>
      </w:r>
    </w:p>
    <w:p>
      <w:pPr>
        <w:pStyle w:val="Compact"/>
        <w:numPr>
          <w:numId w:val="1322"/>
          <w:ilvl w:val="0"/>
        </w:numPr>
      </w:pPr>
      <w:r>
        <w:t xml:space="preserve">pomůcky správce daně buď má nebo si je obstará</w:t>
      </w:r>
    </w:p>
    <w:p>
      <w:pPr>
        <w:pStyle w:val="Compact"/>
        <w:numPr>
          <w:numId w:val="1322"/>
          <w:ilvl w:val="0"/>
        </w:numPr>
      </w:pPr>
      <w:r>
        <w:t xml:space="preserve">při použití pomůcek není nutná součinnost s DS</w:t>
      </w:r>
    </w:p>
    <w:p>
      <w:pPr>
        <w:pStyle w:val="Compact"/>
        <w:numPr>
          <w:numId w:val="1322"/>
          <w:ilvl w:val="0"/>
        </w:numPr>
      </w:pPr>
      <w:r>
        <w:t xml:space="preserve">uplatnění pomůcek se uvede ve výroku rozhodnutí</w:t>
      </w:r>
    </w:p>
    <w:p>
      <w:pPr>
        <w:numPr>
          <w:numId w:val="1322"/>
          <w:ilvl w:val="0"/>
        </w:numPr>
      </w:pPr>
      <w:r>
        <w:t xml:space="preserve">nutno přihlédnout k výhodám pro DS, i když jím nebyly uplatněny</w:t>
      </w:r>
    </w:p>
    <w:p>
      <w:pPr>
        <w:pStyle w:val="Compact"/>
        <w:numPr>
          <w:numId w:val="1322"/>
          <w:ilvl w:val="0"/>
        </w:numPr>
      </w:pPr>
      <w:r>
        <w:t xml:space="preserve">Pomůcky – podmnínky pro použití</w:t>
      </w:r>
    </w:p>
    <w:p>
      <w:pPr>
        <w:pStyle w:val="Compact"/>
        <w:numPr>
          <w:numId w:val="1322"/>
          <w:ilvl w:val="0"/>
        </w:numPr>
      </w:pPr>
      <w:r>
        <w:t xml:space="preserve">Stanovit daň za použití pomůcek lze za splnění dvou kumulativních podmínek:</w:t>
      </w:r>
    </w:p>
    <w:p>
      <w:pPr>
        <w:pStyle w:val="Compact"/>
        <w:numPr>
          <w:numId w:val="1323"/>
          <w:ilvl w:val="1"/>
        </w:numPr>
      </w:pPr>
      <w:r>
        <w:t xml:space="preserve">Daňový subjekt nesplní při dokazování některou ze svých zákonných povinností</w:t>
      </w:r>
    </w:p>
    <w:p>
      <w:pPr>
        <w:pStyle w:val="Compact"/>
        <w:numPr>
          <w:numId w:val="1324"/>
          <w:ilvl w:val="1"/>
        </w:numPr>
      </w:pPr>
      <w:r>
        <w:t xml:space="preserve">Současně není možno stanovit daňovou povinnost dokazováním.</w:t>
      </w:r>
    </w:p>
    <w:p>
      <w:pPr>
        <w:pStyle w:val="Compact"/>
        <w:numPr>
          <w:numId w:val="1322"/>
          <w:ilvl w:val="0"/>
        </w:numPr>
      </w:pPr>
      <w:r>
        <w:t xml:space="preserve">Pomůcky - výčet</w:t>
      </w:r>
    </w:p>
    <w:p>
      <w:pPr>
        <w:pStyle w:val="Compact"/>
        <w:numPr>
          <w:numId w:val="1322"/>
          <w:ilvl w:val="0"/>
        </w:numPr>
      </w:pPr>
      <w:r>
        <w:t xml:space="preserve">Co může být pomůckou?</w:t>
      </w:r>
    </w:p>
    <w:p>
      <w:pPr>
        <w:pStyle w:val="Compact"/>
        <w:numPr>
          <w:numId w:val="1326"/>
          <w:ilvl w:val="2"/>
        </w:numPr>
      </w:pPr>
      <w:r>
        <w:t xml:space="preserve">důkazní prostředky, které nebyly správcem daně zpochybněny,</w:t>
      </w:r>
    </w:p>
    <w:p>
      <w:pPr>
        <w:pStyle w:val="Compact"/>
        <w:numPr>
          <w:numId w:val="1327"/>
          <w:ilvl w:val="2"/>
        </w:numPr>
      </w:pPr>
      <w:r>
        <w:t xml:space="preserve">podaná vysvětlení,</w:t>
      </w:r>
    </w:p>
    <w:p>
      <w:pPr>
        <w:pStyle w:val="Compact"/>
        <w:numPr>
          <w:numId w:val="1328"/>
          <w:ilvl w:val="2"/>
        </w:numPr>
      </w:pPr>
      <w:r>
        <w:t xml:space="preserve">porovnání srovnatelných daňových subjektů a jejich daňových povinností,</w:t>
      </w:r>
    </w:p>
    <w:p>
      <w:pPr>
        <w:pStyle w:val="Compact"/>
        <w:numPr>
          <w:numId w:val="1329"/>
          <w:ilvl w:val="2"/>
        </w:numPr>
      </w:pPr>
      <w:r>
        <w:t xml:space="preserve">vlastní poznatky správce daně získané při správě daní.</w:t>
      </w:r>
    </w:p>
    <w:p>
      <w:pPr>
        <w:pStyle w:val="Compact"/>
        <w:numPr>
          <w:numId w:val="1322"/>
          <w:ilvl w:val="0"/>
        </w:numPr>
      </w:pPr>
      <w:r>
        <w:t xml:space="preserve">Pomůcky – kde je najdeme?</w:t>
      </w:r>
    </w:p>
    <w:p>
      <w:pPr>
        <w:pStyle w:val="Compact"/>
        <w:numPr>
          <w:numId w:val="1322"/>
          <w:ilvl w:val="0"/>
        </w:numPr>
      </w:pPr>
      <w:r>
        <w:t xml:space="preserve">Součástí vyhledávací části spisu jsou:</w:t>
      </w:r>
    </w:p>
    <w:p>
      <w:pPr>
        <w:numPr>
          <w:numId w:val="1322"/>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322"/>
          <w:ilvl w:val="0"/>
        </w:numPr>
      </w:pPr>
      <w:r>
        <w:t xml:space="preserve">Pomůcky – jejich zpřístupnění</w:t>
      </w:r>
    </w:p>
    <w:p>
      <w:pPr>
        <w:pStyle w:val="Compact"/>
        <w:numPr>
          <w:numId w:val="1322"/>
          <w:ilvl w:val="0"/>
        </w:numPr>
      </w:pPr>
      <w:r>
        <w:t xml:space="preserve">nevztahuje se na ně §65/2 o nutnosti je z vyhledávací části spisu ponechat nejdéle do provedení hodnocení důkazů</w:t>
      </w:r>
    </w:p>
    <w:p>
      <w:pPr>
        <w:numPr>
          <w:numId w:val="1322"/>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322"/>
          <w:ilvl w:val="0"/>
        </w:numPr>
      </w:pPr>
      <w:r>
        <w:t xml:space="preserve">Pomůcky - odvolání</w:t>
      </w:r>
    </w:p>
    <w:p>
      <w:pPr>
        <w:numPr>
          <w:numId w:val="1322"/>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322"/>
          <w:ilvl w:val="0"/>
        </w:numPr>
      </w:pPr>
      <w:r>
        <w:t xml:space="preserve">Pomůcky – sjednání daně</w:t>
      </w:r>
    </w:p>
    <w:p>
      <w:pPr>
        <w:pStyle w:val="Compact"/>
        <w:numPr>
          <w:numId w:val="1322"/>
          <w:ilvl w:val="0"/>
        </w:numPr>
      </w:pPr>
      <w:r>
        <w:t xml:space="preserve">Sjednání daně přichází v úvahu, jestiže:</w:t>
      </w:r>
    </w:p>
    <w:p>
      <w:pPr>
        <w:pStyle w:val="Compact"/>
        <w:numPr>
          <w:numId w:val="1330"/>
          <w:ilvl w:val="1"/>
        </w:numPr>
      </w:pPr>
      <w:r>
        <w:t xml:space="preserve">daň nelze stanovit dokazováním a zároveň</w:t>
      </w:r>
    </w:p>
    <w:p>
      <w:pPr>
        <w:pStyle w:val="Compact"/>
        <w:numPr>
          <w:numId w:val="1330"/>
          <w:ilvl w:val="1"/>
        </w:numPr>
      </w:pPr>
      <w:r>
        <w:t xml:space="preserve">daň nelze dostatečně spolehlivě stanovit ani podle pomůcek, které má správce daně k dispozici (ne tedy, které si opatří)</w:t>
      </w:r>
    </w:p>
    <w:p>
      <w:pPr>
        <w:pStyle w:val="Compact"/>
        <w:numPr>
          <w:numId w:val="1322"/>
          <w:ilvl w:val="0"/>
        </w:numPr>
      </w:pPr>
      <w:r>
        <w:t xml:space="preserve">Sjednání daně se zaprotokoluje</w:t>
      </w:r>
    </w:p>
    <w:p>
      <w:pPr>
        <w:pStyle w:val="Compact"/>
        <w:numPr>
          <w:numId w:val="1322"/>
          <w:ilvl w:val="0"/>
        </w:numPr>
      </w:pPr>
      <w:r>
        <w:t xml:space="preserve">výše sjednané daně se uvede v rozhodnutí, které má náležitosti rozhodnutí o stanovení daně a které je součástí tohoto protokolu;</w:t>
      </w:r>
    </w:p>
    <w:p>
      <w:pPr>
        <w:numPr>
          <w:numId w:val="1322"/>
          <w:ilvl w:val="0"/>
        </w:numPr>
      </w:pPr>
      <w:r>
        <w:t xml:space="preserve">proti tomuto rozhodnutí nelze uplatnit opravné prostředky.</w:t>
      </w:r>
    </w:p>
    <w:p>
      <w:pPr>
        <w:pStyle w:val="Compact"/>
        <w:numPr>
          <w:numId w:val="1322"/>
          <w:ilvl w:val="0"/>
        </w:numPr>
      </w:pPr>
      <w:r>
        <w:t xml:space="preserve">Pomůcky – možné směry obrany</w:t>
      </w:r>
    </w:p>
    <w:p>
      <w:pPr>
        <w:pStyle w:val="Compact"/>
        <w:numPr>
          <w:numId w:val="1322"/>
          <w:ilvl w:val="0"/>
        </w:numPr>
      </w:pPr>
      <w:r>
        <w:t xml:space="preserve">Daň se dala stanovit dokazováním - snaha o vyvrácení tvrzení správce daně, že daň bylo nutno stanovit podle pomůcek.</w:t>
      </w:r>
    </w:p>
    <w:p>
      <w:pPr>
        <w:pStyle w:val="Compact"/>
        <w:numPr>
          <w:numId w:val="1322"/>
          <w:ilvl w:val="0"/>
        </w:numPr>
      </w:pPr>
      <w:r>
        <w:t xml:space="preserve">Správce daně neunesl své důkazní břemeno</w:t>
      </w:r>
    </w:p>
    <w:p>
      <w:pPr>
        <w:pStyle w:val="Compact"/>
        <w:numPr>
          <w:numId w:val="1322"/>
          <w:ilvl w:val="0"/>
        </w:numPr>
      </w:pPr>
      <w:r>
        <w:t xml:space="preserve">(např. neprokáže, že doručil výzvu k odstranění pochybností, platební výměr apod.)</w:t>
      </w:r>
    </w:p>
    <w:p>
      <w:pPr>
        <w:pStyle w:val="Compact"/>
        <w:numPr>
          <w:numId w:val="1322"/>
          <w:ilvl w:val="0"/>
        </w:numPr>
      </w:pPr>
      <w:r>
        <w:t xml:space="preserve">Porušení práv daňového subjektu</w:t>
      </w:r>
    </w:p>
    <w:p>
      <w:pPr>
        <w:pStyle w:val="Compact"/>
        <w:numPr>
          <w:numId w:val="1331"/>
          <w:ilvl w:val="1"/>
        </w:numPr>
      </w:pPr>
      <w:r>
        <w:t xml:space="preserve">nenechal daňový subjekt nahlédnout do spisu</w:t>
      </w:r>
    </w:p>
    <w:p>
      <w:pPr>
        <w:pStyle w:val="Compact"/>
        <w:numPr>
          <w:numId w:val="1331"/>
          <w:ilvl w:val="1"/>
        </w:numPr>
      </w:pPr>
      <w:r>
        <w:t xml:space="preserve">nevyslechl navrhované svědky</w:t>
      </w:r>
    </w:p>
    <w:p>
      <w:pPr>
        <w:pStyle w:val="Compact"/>
        <w:numPr>
          <w:numId w:val="1331"/>
          <w:ilvl w:val="1"/>
        </w:numPr>
      </w:pPr>
      <w:r>
        <w:t xml:space="preserve">neprojednal s ním zprávu o kontrole</w:t>
      </w:r>
    </w:p>
    <w:p>
      <w:pPr>
        <w:pStyle w:val="Compact"/>
        <w:numPr>
          <w:numId w:val="1322"/>
          <w:ilvl w:val="0"/>
        </w:numPr>
      </w:pPr>
      <w:r>
        <w:t xml:space="preserve">Pomůcky – možné směry obrany II.</w:t>
      </w:r>
    </w:p>
    <w:p>
      <w:pPr>
        <w:pStyle w:val="Compact"/>
        <w:numPr>
          <w:numId w:val="1322"/>
          <w:ilvl w:val="0"/>
        </w:numPr>
      </w:pPr>
      <w:r>
        <w:t xml:space="preserve">Procesní problémy správce daně:</w:t>
      </w:r>
    </w:p>
    <w:p>
      <w:pPr>
        <w:pStyle w:val="Compact"/>
        <w:numPr>
          <w:numId w:val="1332"/>
          <w:ilvl w:val="1"/>
        </w:numPr>
      </w:pPr>
      <w:r>
        <w:t xml:space="preserve">rozhodnutí bez všech náležitostí,</w:t>
      </w:r>
    </w:p>
    <w:p>
      <w:pPr>
        <w:pStyle w:val="Compact"/>
        <w:numPr>
          <w:numId w:val="1332"/>
          <w:ilvl w:val="1"/>
        </w:numPr>
      </w:pPr>
      <w:r>
        <w:t xml:space="preserve">nepřezkoumatelnost rozhodnutí finančních orgánů pro nedostatek odůvodnění rozhodnutí</w:t>
      </w:r>
    </w:p>
    <w:p>
      <w:pPr>
        <w:numPr>
          <w:numId w:val="1322"/>
          <w:ilvl w:val="0"/>
        </w:numPr>
      </w:pPr>
      <w:r>
        <w:t xml:space="preserve">polemika s výší pomůcek - nepřiměřenost jejich výše, nestanovení daně dostatečně spolehlivě, nepřihlédnutí k výhodám svědčící pro daňový subjekt</w:t>
      </w:r>
    </w:p>
    <w:p>
      <w:pPr>
        <w:numPr>
          <w:numId w:val="1322"/>
          <w:ilvl w:val="0"/>
        </w:numPr>
      </w:pPr>
      <w:r>
        <w:t xml:space="preserve">Pomůcky - judikatura</w:t>
      </w:r>
    </w:p>
    <w:p>
      <w:pPr>
        <w:pStyle w:val="Compact"/>
        <w:numPr>
          <w:numId w:val="1322"/>
          <w:ilvl w:val="0"/>
        </w:numPr>
      </w:pPr>
      <w:r>
        <w:t xml:space="preserve">Pomůcky – judikatura – nahlížení do pomůcek</w:t>
      </w:r>
    </w:p>
    <w:p>
      <w:pPr>
        <w:pStyle w:val="Compact"/>
        <w:numPr>
          <w:numId w:val="1333"/>
          <w:ilvl w:val="1"/>
        </w:numPr>
      </w:pPr>
      <w:r>
        <w:t xml:space="preserve">ÚS 359/05 z 28. března 2006</w:t>
      </w:r>
    </w:p>
    <w:p>
      <w:pPr>
        <w:pStyle w:val="Compact"/>
        <w:numPr>
          <w:numId w:val="1334"/>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322"/>
          <w:ilvl w:val="0"/>
        </w:numPr>
      </w:pPr>
      <w:r>
        <w:t xml:space="preserve">Pomůcky – judikatura – nahlížení do pomůcek</w:t>
      </w:r>
    </w:p>
    <w:p>
      <w:pPr>
        <w:pStyle w:val="Compact"/>
        <w:numPr>
          <w:numId w:val="1335"/>
          <w:ilvl w:val="1"/>
        </w:numPr>
      </w:pPr>
      <w:r>
        <w:t xml:space="preserve">ÚS 359/05 – pokrač.:</w:t>
      </w:r>
    </w:p>
    <w:p>
      <w:pPr>
        <w:pStyle w:val="Compact"/>
        <w:numPr>
          <w:numId w:val="1336"/>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322"/>
          <w:ilvl w:val="0"/>
        </w:numPr>
      </w:pPr>
      <w:r>
        <w:t xml:space="preserve">Pomůcky – judikatura – výhody pro DS</w:t>
      </w:r>
    </w:p>
    <w:p>
      <w:pPr>
        <w:pStyle w:val="Compact"/>
        <w:numPr>
          <w:numId w:val="1337"/>
          <w:ilvl w:val="1"/>
        </w:numPr>
      </w:pPr>
      <w:r>
        <w:t xml:space="preserve">ÚS 179/01 z 31. 8. 2001</w:t>
      </w:r>
    </w:p>
    <w:p>
      <w:pPr>
        <w:pStyle w:val="Compact"/>
        <w:numPr>
          <w:numId w:val="1338"/>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322"/>
          <w:ilvl w:val="0"/>
        </w:numPr>
      </w:pPr>
      <w:r>
        <w:t xml:space="preserve">Pomůcky – judikatura – výhody pro DS</w:t>
      </w:r>
    </w:p>
    <w:p>
      <w:pPr>
        <w:pStyle w:val="Compact"/>
        <w:numPr>
          <w:numId w:val="1339"/>
          <w:ilvl w:val="1"/>
        </w:numPr>
      </w:pPr>
      <w:r>
        <w:t xml:space="preserve">ÚS 360/05 z 20. 11. 2006</w:t>
      </w:r>
    </w:p>
    <w:p>
      <w:pPr>
        <w:pStyle w:val="Compact"/>
        <w:numPr>
          <w:numId w:val="1340"/>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322"/>
          <w:ilvl w:val="0"/>
        </w:numPr>
      </w:pPr>
      <w:r>
        <w:t xml:space="preserve">Pomůcky – judikatura – pomůcky chtěl marně DS</w:t>
      </w:r>
    </w:p>
    <w:p>
      <w:pPr>
        <w:pStyle w:val="Compact"/>
        <w:numPr>
          <w:numId w:val="1322"/>
          <w:ilvl w:val="0"/>
        </w:numPr>
      </w:pPr>
      <w:r>
        <w:t xml:space="preserve">NSS 7 Afs 21/2012 – 44 z 27. 9. 2012</w:t>
      </w:r>
    </w:p>
    <w:p>
      <w:pPr>
        <w:pStyle w:val="Compact"/>
        <w:numPr>
          <w:numId w:val="1341"/>
          <w:ilvl w:val="1"/>
        </w:numPr>
      </w:pPr>
      <w:r>
        <w:t xml:space="preserve">Stěžovatelce byla doměřena daň (dokazováním) 77 868 Kč, protože nedokázala prokázat výdaje</w:t>
      </w:r>
    </w:p>
    <w:p>
      <w:pPr>
        <w:pStyle w:val="Compact"/>
        <w:numPr>
          <w:numId w:val="1341"/>
          <w:ilvl w:val="1"/>
        </w:numPr>
      </w:pPr>
      <w:r>
        <w:t xml:space="preserve">Stěžovatelka požadovala doměření podle pomůcek, protože když existovalo prodané zboží, je nemyslitelné, aby na něj nebyly žádné výdaje</w:t>
      </w:r>
    </w:p>
    <w:p>
      <w:pPr>
        <w:numPr>
          <w:numId w:val="1322"/>
          <w:ilvl w:val="0"/>
        </w:numPr>
      </w:pPr>
      <w:r>
        <w:t xml:space="preserve">SD ani KS nevyhověl</w:t>
      </w:r>
    </w:p>
    <w:p>
      <w:pPr>
        <w:pStyle w:val="Compact"/>
        <w:numPr>
          <w:numId w:val="1322"/>
          <w:ilvl w:val="0"/>
        </w:numPr>
      </w:pPr>
      <w:r>
        <w:t xml:space="preserve">Pomůcky – judikatura – pomůcky chtěl marně DS</w:t>
      </w:r>
    </w:p>
    <w:p>
      <w:pPr>
        <w:pStyle w:val="Compact"/>
        <w:numPr>
          <w:numId w:val="1322"/>
          <w:ilvl w:val="0"/>
        </w:numPr>
      </w:pPr>
      <w:r>
        <w:t xml:space="preserve">NSS 7 Afs 21/2012 – 44 pokrač.:</w:t>
      </w:r>
    </w:p>
    <w:p>
      <w:pPr>
        <w:pStyle w:val="Compact"/>
        <w:numPr>
          <w:numId w:val="1342"/>
          <w:ilvl w:val="1"/>
        </w:numPr>
      </w:pPr>
      <w:r>
        <w:t xml:space="preserve">Názor NSS:</w:t>
      </w:r>
    </w:p>
    <w:p>
      <w:pPr>
        <w:pStyle w:val="Compact"/>
        <w:numPr>
          <w:numId w:val="1342"/>
          <w:ilvl w:val="1"/>
        </w:numPr>
      </w:pPr>
      <w:r>
        <w:t xml:space="preserve">SD neuznal 95 % výdajů, nebyly věrohodně stanoveny ani příjmy</w:t>
      </w:r>
    </w:p>
    <w:p>
      <w:pPr>
        <w:pStyle w:val="Compact"/>
        <w:numPr>
          <w:numId w:val="1342"/>
          <w:ilvl w:val="1"/>
        </w:numPr>
      </w:pPr>
      <w:r>
        <w:t xml:space="preserve">Daň nebylo možno stanovit dokazováním, mělo být použito pomůcek</w:t>
      </w:r>
    </w:p>
    <w:p>
      <w:pPr>
        <w:pStyle w:val="Compact"/>
        <w:numPr>
          <w:numId w:val="1342"/>
          <w:ilvl w:val="1"/>
        </w:numPr>
      </w:pPr>
      <w:r>
        <w:t xml:space="preserve">Nelze zcela opomenout výdaje DS, pomůcky by byly pro ni výhodnější, proto SD pochybil, když je nepoužil</w:t>
      </w:r>
    </w:p>
    <w:p>
      <w:pPr>
        <w:pStyle w:val="Compact"/>
        <w:numPr>
          <w:numId w:val="1322"/>
          <w:ilvl w:val="0"/>
        </w:numPr>
      </w:pPr>
      <w:r>
        <w:t xml:space="preserve">Pomůcky – judikatura – DPH nutnost pomůcek na vstup i výstup</w:t>
      </w:r>
    </w:p>
    <w:p>
      <w:pPr>
        <w:pStyle w:val="Compact"/>
        <w:numPr>
          <w:numId w:val="1322"/>
          <w:ilvl w:val="0"/>
        </w:numPr>
      </w:pPr>
      <w:r>
        <w:t xml:space="preserve">1 Afs 19/2004 – 67 ze dne 3. 11. 2004 (Sbírka NSS 12/2006 č. 991/2006):</w:t>
      </w:r>
    </w:p>
    <w:p>
      <w:pPr>
        <w:pStyle w:val="Compact"/>
        <w:numPr>
          <w:numId w:val="1343"/>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322"/>
          <w:ilvl w:val="0"/>
        </w:numPr>
      </w:pPr>
      <w:r>
        <w:t xml:space="preserve">Pomůcky – judikatura – částečné dokazování</w:t>
      </w:r>
    </w:p>
    <w:p>
      <w:pPr>
        <w:pStyle w:val="Compact"/>
        <w:numPr>
          <w:numId w:val="1322"/>
          <w:ilvl w:val="0"/>
        </w:numPr>
      </w:pPr>
      <w:r>
        <w:t xml:space="preserve">2 Afs 25/2003 – 87 ze dne 25. května 2004</w:t>
      </w:r>
    </w:p>
    <w:p>
      <w:pPr>
        <w:pStyle w:val="Compact"/>
        <w:numPr>
          <w:numId w:val="1344"/>
          <w:ilvl w:val="1"/>
        </w:numPr>
      </w:pPr>
      <w:r>
        <w:t xml:space="preserve">Správce daně nemůže hovořit o vyměření daň podle pomůcek tam, kde ve skutečnosti stanovil daň dokazováním, nemožnost stanovit daň částečně dokazováním a částečné pomůckami</w:t>
      </w:r>
    </w:p>
    <w:p>
      <w:pPr>
        <w:numPr>
          <w:numId w:val="1322"/>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322"/>
          <w:ilvl w:val="0"/>
        </w:numPr>
      </w:pPr>
      <w:r>
        <w:t xml:space="preserve">Pomůcky – malý rozsah chyb neopravňuje k přechodu na pomůcky</w:t>
      </w:r>
    </w:p>
    <w:p>
      <w:pPr>
        <w:pStyle w:val="Compact"/>
        <w:numPr>
          <w:numId w:val="1322"/>
          <w:ilvl w:val="0"/>
        </w:numPr>
      </w:pPr>
      <w:r>
        <w:t xml:space="preserve">NSS 2 Afs 132/2005 – 71 z 27. 7. 2006</w:t>
      </w:r>
    </w:p>
    <w:p>
      <w:pPr>
        <w:pStyle w:val="Compact"/>
        <w:numPr>
          <w:numId w:val="1345"/>
          <w:ilvl w:val="1"/>
        </w:numPr>
      </w:pPr>
      <w:r>
        <w:t xml:space="preserve">„Nesplnění povinností daňovým subjektem je důvodem pro stanovení daně podle pomůcek jen za situace, kdy je v důsledku toho vyloučeno stanovení daně dokazováním.</w:t>
      </w:r>
    </w:p>
    <w:p>
      <w:pPr>
        <w:pStyle w:val="Compact"/>
        <w:numPr>
          <w:numId w:val="1345"/>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322"/>
          <w:ilvl w:val="0"/>
        </w:numPr>
      </w:pPr>
      <w:r>
        <w:t xml:space="preserve">Pomůcky – judikatura – oprávněnost použití</w:t>
      </w:r>
    </w:p>
    <w:p>
      <w:pPr>
        <w:pStyle w:val="Compact"/>
        <w:numPr>
          <w:numId w:val="1322"/>
          <w:ilvl w:val="0"/>
        </w:numPr>
      </w:pPr>
      <w:r>
        <w:t xml:space="preserve">NSS 5 Afs 129/2006 z 27. 7. 2007</w:t>
      </w:r>
    </w:p>
    <w:p>
      <w:pPr>
        <w:pStyle w:val="Compact"/>
        <w:numPr>
          <w:numId w:val="1346"/>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322"/>
          <w:ilvl w:val="0"/>
        </w:numPr>
      </w:pPr>
      <w:r>
        <w:t xml:space="preserve">Pomůcky – judikatura – odcizené účetnictví</w:t>
      </w:r>
    </w:p>
    <w:p>
      <w:pPr>
        <w:pStyle w:val="Compact"/>
        <w:numPr>
          <w:numId w:val="1322"/>
          <w:ilvl w:val="0"/>
        </w:numPr>
      </w:pPr>
      <w:r>
        <w:t xml:space="preserve">NSS 1 Afs 94/2006-60 ze dne 31. 1. 2007</w:t>
      </w:r>
    </w:p>
    <w:p>
      <w:pPr>
        <w:pStyle w:val="Compact"/>
        <w:numPr>
          <w:numId w:val="1347"/>
          <w:ilvl w:val="1"/>
        </w:numPr>
      </w:pPr>
      <w:r>
        <w:t xml:space="preserve">Žalobce se ocitl v důkazní nouzi, neboť účetní doklady mu byly odcizeny.</w:t>
      </w:r>
    </w:p>
    <w:p>
      <w:pPr>
        <w:pStyle w:val="Compact"/>
        <w:numPr>
          <w:numId w:val="1347"/>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347"/>
          <w:ilvl w:val="1"/>
        </w:numPr>
      </w:pPr>
      <w:r>
        <w:t xml:space="preserve">Lze si představit, že i v takové situaci budou existovat jiné důkazy, jimiž daňový subjekt spolehlivě prokáže jím tvrzenou daň.</w:t>
      </w:r>
    </w:p>
    <w:p>
      <w:pPr>
        <w:pStyle w:val="Compact"/>
        <w:numPr>
          <w:numId w:val="1322"/>
          <w:ilvl w:val="0"/>
        </w:numPr>
      </w:pPr>
      <w:r>
        <w:t xml:space="preserve">Dokazování ve vybraných případech</w:t>
      </w:r>
    </w:p>
    <w:p>
      <w:pPr>
        <w:pStyle w:val="Compact"/>
        <w:numPr>
          <w:numId w:val="1322"/>
          <w:ilvl w:val="0"/>
        </w:numPr>
      </w:pPr>
      <w:r>
        <w:t xml:space="preserve">Zprostředkování, reklama, manažerské služby</w:t>
      </w:r>
    </w:p>
    <w:p>
      <w:pPr>
        <w:pStyle w:val="Compact"/>
        <w:numPr>
          <w:numId w:val="1322"/>
          <w:ilvl w:val="0"/>
        </w:numPr>
      </w:pPr>
      <w:r>
        <w:t xml:space="preserve">Základní problémy:</w:t>
      </w:r>
    </w:p>
    <w:p>
      <w:pPr>
        <w:pStyle w:val="Compact"/>
        <w:numPr>
          <w:numId w:val="1322"/>
          <w:ilvl w:val="0"/>
        </w:numPr>
      </w:pPr>
      <w:r>
        <w:t xml:space="preserve">Fakturování fiktivních služeb, které nebyly poskytnuty</w:t>
      </w:r>
    </w:p>
    <w:p>
      <w:pPr>
        <w:pStyle w:val="Compact"/>
        <w:numPr>
          <w:numId w:val="1322"/>
          <w:ilvl w:val="0"/>
        </w:numPr>
      </w:pPr>
      <w:r>
        <w:t xml:space="preserve">Falešné doklady</w:t>
      </w:r>
    </w:p>
    <w:p>
      <w:pPr>
        <w:pStyle w:val="Compact"/>
        <w:numPr>
          <w:numId w:val="1322"/>
          <w:ilvl w:val="0"/>
        </w:numPr>
      </w:pPr>
      <w:r>
        <w:t xml:space="preserve">Nereálné ceny za služby, řetězové navyšování cen – cena „obvyklá“</w:t>
      </w:r>
    </w:p>
    <w:p>
      <w:pPr>
        <w:pStyle w:val="Compact"/>
        <w:numPr>
          <w:numId w:val="1322"/>
          <w:ilvl w:val="0"/>
        </w:numPr>
      </w:pPr>
      <w:r>
        <w:t xml:space="preserve">Nekontaktní a zapomnětliví svědci</w:t>
      </w:r>
    </w:p>
    <w:p>
      <w:pPr>
        <w:numPr>
          <w:numId w:val="1322"/>
          <w:ilvl w:val="0"/>
        </w:numPr>
      </w:pPr>
      <w:r>
        <w:t xml:space="preserve">Chybějící dokumentace k prováděným činnostem</w:t>
      </w:r>
    </w:p>
    <w:p>
      <w:pPr>
        <w:pStyle w:val="Compact"/>
        <w:numPr>
          <w:numId w:val="1322"/>
          <w:ilvl w:val="0"/>
        </w:numPr>
      </w:pPr>
      <w:r>
        <w:t xml:space="preserve">Reklama</w:t>
      </w:r>
    </w:p>
    <w:p>
      <w:pPr>
        <w:numPr>
          <w:numId w:val="1322"/>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322"/>
          <w:ilvl w:val="0"/>
        </w:numPr>
      </w:pPr>
      <w:r>
        <w:t xml:space="preserve">Reklama</w:t>
      </w:r>
    </w:p>
    <w:p>
      <w:pPr>
        <w:pStyle w:val="Compact"/>
        <w:numPr>
          <w:numId w:val="1322"/>
          <w:ilvl w:val="0"/>
        </w:numPr>
      </w:pPr>
      <w:r>
        <w:t xml:space="preserve">Problémy:</w:t>
      </w:r>
    </w:p>
    <w:p>
      <w:pPr>
        <w:pStyle w:val="Compact"/>
        <w:numPr>
          <w:numId w:val="1349"/>
          <w:ilvl w:val="2"/>
        </w:numPr>
      </w:pPr>
      <w:r>
        <w:t xml:space="preserve">prokázat, že jde o výdaj na reklamu a nikoli na reprezentaci,</w:t>
      </w:r>
    </w:p>
    <w:p>
      <w:pPr>
        <w:pStyle w:val="Compact"/>
        <w:numPr>
          <w:numId w:val="1350"/>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351"/>
          <w:ilvl w:val="2"/>
        </w:numPr>
      </w:pPr>
      <w:r>
        <w:t xml:space="preserve">můžeme se setkat i s opačným problémem, tedy se snahou vykázat reklamu jako „charitativní“ dar s možností uplatnit jej jako odečitatelnou položku od základu daně.</w:t>
      </w:r>
    </w:p>
    <w:p>
      <w:pPr>
        <w:pStyle w:val="Compact"/>
        <w:numPr>
          <w:numId w:val="1352"/>
          <w:ilvl w:val="2"/>
        </w:numPr>
      </w:pPr>
      <w:r>
        <w:t xml:space="preserve">plnění, které daňový subjekt poskytuje, bývá posouzeno jako dar a nikoli jako součást ceny (jiného) prodávaného zboží či služby,</w:t>
      </w:r>
    </w:p>
    <w:p>
      <w:pPr>
        <w:pStyle w:val="Compact"/>
        <w:numPr>
          <w:numId w:val="1353"/>
          <w:ilvl w:val="2"/>
        </w:numPr>
      </w:pPr>
      <w:r>
        <w:t xml:space="preserve">plnění spočívající obvykle v uspořádání nějaké akce (i bez poskytovaných dárků) nebývá uznáno jako reklama, ale označeno za výdaj na reprezentaci,</w:t>
      </w:r>
    </w:p>
    <w:p>
      <w:pPr>
        <w:pStyle w:val="Compact"/>
        <w:numPr>
          <w:numId w:val="1354"/>
          <w:ilvl w:val="2"/>
        </w:numPr>
      </w:pPr>
      <w:r>
        <w:t xml:space="preserve">předmětné plnění sice definici reprezentace nenaplňuje, ale příčinná souvislost příslušné akce s daňovými výnosy je nedostatečná.</w:t>
      </w:r>
    </w:p>
    <w:p>
      <w:pPr>
        <w:pStyle w:val="Compact"/>
        <w:numPr>
          <w:numId w:val="1322"/>
          <w:ilvl w:val="0"/>
        </w:numPr>
      </w:pPr>
      <w:r>
        <w:t xml:space="preserve">Reklama</w:t>
      </w:r>
    </w:p>
    <w:p>
      <w:pPr>
        <w:pStyle w:val="Compact"/>
        <w:numPr>
          <w:numId w:val="1322"/>
          <w:ilvl w:val="0"/>
        </w:numPr>
      </w:pPr>
      <w:r>
        <w:t xml:space="preserve">Příklad</w:t>
      </w:r>
    </w:p>
    <w:p>
      <w:pPr>
        <w:pStyle w:val="Compact"/>
        <w:numPr>
          <w:numId w:val="1355"/>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322"/>
          <w:ilvl w:val="0"/>
        </w:numPr>
      </w:pPr>
      <w:r>
        <w:t xml:space="preserve">Reklama - judikatura</w:t>
      </w:r>
    </w:p>
    <w:p>
      <w:pPr>
        <w:pStyle w:val="Compact"/>
        <w:numPr>
          <w:numId w:val="1322"/>
          <w:ilvl w:val="0"/>
        </w:numPr>
      </w:pPr>
      <w:r>
        <w:t xml:space="preserve">Prokázání uskutečnění reklamy (NSS 7 Afs 112/2008 – 64 ze dne 11. 12. 2008)</w:t>
      </w:r>
    </w:p>
    <w:p>
      <w:pPr>
        <w:pStyle w:val="Compact"/>
        <w:numPr>
          <w:numId w:val="1356"/>
          <w:ilvl w:val="1"/>
        </w:numPr>
      </w:pPr>
      <w:r>
        <w:t xml:space="preserve">DS předložil formálně bezvadné doklady, fotodokumentaci o tom, že reklamní činnost proběhla, navrhl svědky a další důkazy.</w:t>
      </w:r>
    </w:p>
    <w:p>
      <w:pPr>
        <w:pStyle w:val="Compact"/>
        <w:numPr>
          <w:numId w:val="1356"/>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322"/>
          <w:ilvl w:val="0"/>
        </w:numPr>
      </w:pPr>
      <w:r>
        <w:t xml:space="preserve">Reklama - judikatura</w:t>
      </w:r>
    </w:p>
    <w:p>
      <w:pPr>
        <w:pStyle w:val="Compact"/>
        <w:numPr>
          <w:numId w:val="1322"/>
          <w:ilvl w:val="0"/>
        </w:numPr>
      </w:pPr>
      <w:r>
        <w:t xml:space="preserve">7 Afs 112/2008 – pokrač.</w:t>
      </w:r>
    </w:p>
    <w:p>
      <w:pPr>
        <w:pStyle w:val="Compact"/>
        <w:numPr>
          <w:numId w:val="1357"/>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357"/>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322"/>
          <w:ilvl w:val="0"/>
        </w:numPr>
      </w:pPr>
      <w:r>
        <w:t xml:space="preserve">Reklama - judikatura</w:t>
      </w:r>
    </w:p>
    <w:p>
      <w:pPr>
        <w:pStyle w:val="Compact"/>
        <w:numPr>
          <w:numId w:val="1322"/>
          <w:ilvl w:val="0"/>
        </w:numPr>
      </w:pPr>
      <w:r>
        <w:t xml:space="preserve">Reklama nebo zakryté financování sportovních aktivit? (NSS 7 Afs 10/2007-55 z 1. 11. 2007)</w:t>
      </w:r>
    </w:p>
    <w:p>
      <w:pPr>
        <w:pStyle w:val="Compact"/>
        <w:numPr>
          <w:numId w:val="1358"/>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358"/>
          <w:ilvl w:val="1"/>
        </w:numPr>
      </w:pPr>
      <w:r>
        <w:t xml:space="preserve">reklama nebyla v odpovídající šíři prokázána (např. fotodokumentace reklamy nebyla datovaná a zjistilo se, že by mohla odpovídat spíše jiné sezóně).</w:t>
      </w:r>
    </w:p>
    <w:p>
      <w:pPr>
        <w:pStyle w:val="Compact"/>
        <w:numPr>
          <w:numId w:val="1322"/>
          <w:ilvl w:val="0"/>
        </w:numPr>
      </w:pPr>
      <w:r>
        <w:t xml:space="preserve">Reklama - judikatura</w:t>
      </w:r>
    </w:p>
    <w:p>
      <w:pPr>
        <w:pStyle w:val="Compact"/>
        <w:numPr>
          <w:numId w:val="1322"/>
          <w:ilvl w:val="0"/>
        </w:numPr>
      </w:pPr>
      <w:r>
        <w:t xml:space="preserve">7 Afs 10/2007-55 pokrač.:</w:t>
      </w:r>
    </w:p>
    <w:p>
      <w:pPr>
        <w:pStyle w:val="Compact"/>
        <w:numPr>
          <w:numId w:val="1359"/>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322"/>
          <w:ilvl w:val="0"/>
        </w:numPr>
      </w:pPr>
      <w:r>
        <w:t xml:space="preserve">Reklama - judikatura</w:t>
      </w:r>
    </w:p>
    <w:p>
      <w:pPr>
        <w:pStyle w:val="Compact"/>
        <w:numPr>
          <w:numId w:val="1322"/>
          <w:ilvl w:val="0"/>
        </w:numPr>
      </w:pPr>
      <w:r>
        <w:t xml:space="preserve">Neprokázaný mediální servis (NSS 9 Afs 27/2010 – 130 z 30. 11. 2010)</w:t>
      </w:r>
    </w:p>
    <w:p>
      <w:pPr>
        <w:pStyle w:val="Compact"/>
        <w:numPr>
          <w:numId w:val="1360"/>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322"/>
          <w:ilvl w:val="0"/>
        </w:numPr>
      </w:pPr>
      <w:r>
        <w:t xml:space="preserve">Reklama - judikatura</w:t>
      </w:r>
    </w:p>
    <w:p>
      <w:pPr>
        <w:pStyle w:val="Compact"/>
        <w:numPr>
          <w:numId w:val="1322"/>
          <w:ilvl w:val="0"/>
        </w:numPr>
      </w:pPr>
      <w:r>
        <w:t xml:space="preserve">9 Afs 27/2010 pokrač.:</w:t>
      </w:r>
    </w:p>
    <w:p>
      <w:pPr>
        <w:pStyle w:val="Compact"/>
        <w:numPr>
          <w:numId w:val="1361"/>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361"/>
          <w:ilvl w:val="1"/>
        </w:numPr>
      </w:pPr>
      <w:r>
        <w:t xml:space="preserve">V daních však platí presumpce viny a odběratel musí mít příslušné důkazy k dispozici.</w:t>
      </w:r>
    </w:p>
    <w:p>
      <w:pPr>
        <w:pStyle w:val="Compact"/>
        <w:numPr>
          <w:numId w:val="1322"/>
          <w:ilvl w:val="0"/>
        </w:numPr>
      </w:pPr>
      <w:r>
        <w:t xml:space="preserve">Reklama - judikatura</w:t>
      </w:r>
    </w:p>
    <w:p>
      <w:pPr>
        <w:pStyle w:val="Compact"/>
        <w:numPr>
          <w:numId w:val="1322"/>
          <w:ilvl w:val="0"/>
        </w:numPr>
      </w:pPr>
      <w:r>
        <w:t xml:space="preserve">Socha, parní čistič a vstupenky na hrad v daňových nákladech (podle rozsudku Nejvyššího správního soudu 2 Afs 200/2005 – 86 ze dne 26. září 2006)</w:t>
      </w:r>
    </w:p>
    <w:p>
      <w:pPr>
        <w:pStyle w:val="Compact"/>
        <w:numPr>
          <w:numId w:val="1362"/>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322"/>
          <w:ilvl w:val="0"/>
        </w:numPr>
      </w:pPr>
      <w:r>
        <w:t xml:space="preserve">Reklama - judikatura</w:t>
      </w:r>
    </w:p>
    <w:p>
      <w:pPr>
        <w:pStyle w:val="Compact"/>
        <w:numPr>
          <w:numId w:val="1322"/>
          <w:ilvl w:val="0"/>
        </w:numPr>
      </w:pPr>
      <w:r>
        <w:t xml:space="preserve">Věrnostní program a nárok na odpočet DPH (podle rozsudku Evropského soudního dvora C-48/97 (Kuwait Petroleum))</w:t>
      </w:r>
    </w:p>
    <w:p>
      <w:pPr>
        <w:pStyle w:val="Compact"/>
        <w:numPr>
          <w:numId w:val="1363"/>
          <w:ilvl w:val="1"/>
        </w:numPr>
      </w:pPr>
      <w:r>
        <w:t xml:space="preserve">Dodavatel pohonných hmot – společnost Kuwait Petroleum poskytoval tento subjekt svým zákazníkům známky na „sběratelskou kartu“ za každých odebraných 12 litrů benzínu.</w:t>
      </w:r>
    </w:p>
    <w:p>
      <w:pPr>
        <w:pStyle w:val="Compact"/>
        <w:numPr>
          <w:numId w:val="1363"/>
          <w:ilvl w:val="1"/>
        </w:numPr>
      </w:pPr>
      <w:r>
        <w:t xml:space="preserve">Po nasbírání určitého počtu známek bylo možno „sběratelské karty“ vyměnit za určité zboží (dárek).</w:t>
      </w:r>
    </w:p>
    <w:p>
      <w:pPr>
        <w:pStyle w:val="Compact"/>
        <w:numPr>
          <w:numId w:val="1363"/>
          <w:ilvl w:val="1"/>
        </w:numPr>
      </w:pPr>
      <w:r>
        <w:t xml:space="preserve">Za příslušný dárek již zákazník nic nedoplácel.</w:t>
      </w:r>
    </w:p>
    <w:p>
      <w:pPr>
        <w:pStyle w:val="Compact"/>
        <w:numPr>
          <w:numId w:val="1363"/>
          <w:ilvl w:val="1"/>
        </w:numPr>
      </w:pPr>
      <w:r>
        <w:t xml:space="preserve">Pokud se týká ceny pohonných hmot, ať už si zákazník vzal známku do sběratelské karty či nevzal, za pohonné hmoty platil stejnou částku.</w:t>
      </w:r>
    </w:p>
    <w:p>
      <w:pPr>
        <w:pStyle w:val="Compact"/>
        <w:numPr>
          <w:numId w:val="1322"/>
          <w:ilvl w:val="0"/>
        </w:numPr>
      </w:pPr>
      <w:r>
        <w:t xml:space="preserve">Reklama - judikatura</w:t>
      </w:r>
    </w:p>
    <w:p>
      <w:pPr>
        <w:pStyle w:val="Compact"/>
        <w:numPr>
          <w:numId w:val="1322"/>
          <w:ilvl w:val="0"/>
        </w:numPr>
      </w:pPr>
      <w:r>
        <w:t xml:space="preserve">C-48/97 – pokrač.:</w:t>
      </w:r>
    </w:p>
    <w:p>
      <w:pPr>
        <w:pStyle w:val="Compact"/>
        <w:numPr>
          <w:numId w:val="1364"/>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364"/>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364"/>
          <w:ilvl w:val="1"/>
        </w:numPr>
      </w:pPr>
      <w:r>
        <w:t xml:space="preserve">Poskytnutí dárků z katalogu tak bylo posouzeno jako samostatné zdanitelné plnění s povinností odvést DPH na výstupu.</w:t>
      </w:r>
    </w:p>
    <w:p>
      <w:pPr>
        <w:pStyle w:val="Compact"/>
        <w:numPr>
          <w:numId w:val="1322"/>
          <w:ilvl w:val="0"/>
        </w:numPr>
      </w:pPr>
      <w:r>
        <w:t xml:space="preserve">Reklama - judikatura</w:t>
      </w:r>
    </w:p>
    <w:p>
      <w:pPr>
        <w:pStyle w:val="Compact"/>
        <w:numPr>
          <w:numId w:val="1322"/>
          <w:ilvl w:val="0"/>
        </w:numPr>
      </w:pPr>
      <w:r>
        <w:t xml:space="preserve">Nárok na odpočet DPH z ohňostroje (podle rozsudku Nejvyššího správního soudu 5 Afs 152/2004 – 55 ze dne 4. srpna 2005)</w:t>
      </w:r>
    </w:p>
    <w:p>
      <w:pPr>
        <w:pStyle w:val="Compact"/>
        <w:numPr>
          <w:numId w:val="1365"/>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365"/>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365"/>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322"/>
          <w:ilvl w:val="0"/>
        </w:numPr>
      </w:pPr>
      <w:r>
        <w:t xml:space="preserve">Reklama - judikatura</w:t>
      </w:r>
    </w:p>
    <w:p>
      <w:pPr>
        <w:pStyle w:val="Compact"/>
        <w:numPr>
          <w:numId w:val="1322"/>
          <w:ilvl w:val="0"/>
        </w:numPr>
      </w:pPr>
      <w:r>
        <w:t xml:space="preserve">Dálniční známky zdarma MS v Praze čj. 5 Ca 67/2008-77 z 25. srpna 2010</w:t>
      </w:r>
    </w:p>
    <w:p>
      <w:pPr>
        <w:pStyle w:val="Compact"/>
        <w:numPr>
          <w:numId w:val="1366"/>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322"/>
          <w:ilvl w:val="0"/>
        </w:numPr>
      </w:pPr>
      <w:r>
        <w:t xml:space="preserve">Reklama - judikatura</w:t>
      </w:r>
    </w:p>
    <w:p>
      <w:pPr>
        <w:pStyle w:val="Compact"/>
        <w:numPr>
          <w:numId w:val="1322"/>
          <w:ilvl w:val="0"/>
        </w:numPr>
      </w:pPr>
      <w:r>
        <w:t xml:space="preserve">Přeprava, vstupné a občerstvení účastníků „prodejních“ zájezdů NSS čj. 2 Afs 6/2004 – 67 z 27. 10. 2004)</w:t>
      </w:r>
    </w:p>
    <w:p>
      <w:pPr>
        <w:pStyle w:val="Compact"/>
        <w:numPr>
          <w:numId w:val="1367"/>
          <w:ilvl w:val="1"/>
        </w:numPr>
      </w:pPr>
      <w:r>
        <w:t xml:space="preserve">výdaje za stravování účastníků, vstupné na prohlídku pivovaru, náklady za výlet lodí, výlety parním vlakem a za přepravu autobusem,</w:t>
      </w:r>
    </w:p>
    <w:p>
      <w:pPr>
        <w:pStyle w:val="Compact"/>
        <w:numPr>
          <w:numId w:val="1367"/>
          <w:ilvl w:val="1"/>
        </w:numPr>
      </w:pPr>
      <w:r>
        <w:t xml:space="preserve">hlavní činnost žalobkyně spočívá v nákupu zboží za účelem jeho dalšího prodeje, který je realizován prostřednictvím prodejních zájezdů.</w:t>
      </w:r>
    </w:p>
    <w:p>
      <w:pPr>
        <w:pStyle w:val="Compact"/>
        <w:numPr>
          <w:numId w:val="1367"/>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322"/>
          <w:ilvl w:val="0"/>
        </w:numPr>
      </w:pPr>
      <w:r>
        <w:t xml:space="preserve">Reklama - judikatura</w:t>
      </w:r>
    </w:p>
    <w:p>
      <w:pPr>
        <w:pStyle w:val="Compact"/>
        <w:numPr>
          <w:numId w:val="1322"/>
          <w:ilvl w:val="0"/>
        </w:numPr>
      </w:pPr>
      <w:r>
        <w:t xml:space="preserve">2 Afs 6/2004 pokrač.:</w:t>
      </w:r>
    </w:p>
    <w:p>
      <w:pPr>
        <w:pStyle w:val="Compact"/>
        <w:numPr>
          <w:numId w:val="1368"/>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368"/>
          <w:ilvl w:val="1"/>
        </w:numPr>
      </w:pPr>
      <w:r>
        <w:t xml:space="preserve">a historických památek v Letohradě. Účastnický poplatek zájezdu činil 140 Kč.</w:t>
      </w:r>
    </w:p>
    <w:p>
      <w:pPr>
        <w:pStyle w:val="Compact"/>
        <w:numPr>
          <w:numId w:val="1368"/>
          <w:ilvl w:val="1"/>
        </w:numPr>
      </w:pPr>
      <w:r>
        <w:t xml:space="preserve">NO nebyl uznán</w:t>
      </w:r>
    </w:p>
    <w:p>
      <w:pPr>
        <w:pStyle w:val="Compact"/>
        <w:numPr>
          <w:numId w:val="1322"/>
          <w:ilvl w:val="0"/>
        </w:numPr>
      </w:pPr>
      <w:r>
        <w:t xml:space="preserve">Dokazování ve vybraných případech</w:t>
      </w:r>
    </w:p>
    <w:p>
      <w:pPr>
        <w:pStyle w:val="Compact"/>
        <w:numPr>
          <w:numId w:val="1322"/>
          <w:ilvl w:val="0"/>
        </w:numPr>
      </w:pPr>
      <w:r>
        <w:t xml:space="preserve">I zde platí základní schéma dokazování:</w:t>
      </w:r>
    </w:p>
    <w:p>
      <w:pPr>
        <w:pStyle w:val="Compact"/>
        <w:numPr>
          <w:numId w:val="1370"/>
          <w:ilvl w:val="2"/>
        </w:numPr>
      </w:pPr>
      <w:r>
        <w:t xml:space="preserve">Povinnost DS k tvrzení (např. podat DP)</w:t>
      </w:r>
    </w:p>
    <w:p>
      <w:pPr>
        <w:pStyle w:val="Compact"/>
        <w:numPr>
          <w:numId w:val="1371"/>
          <w:ilvl w:val="2"/>
        </w:numPr>
      </w:pPr>
      <w:r>
        <w:t xml:space="preserve">Výzva SD k prokázání</w:t>
      </w:r>
    </w:p>
    <w:p>
      <w:pPr>
        <w:pStyle w:val="Compact"/>
        <w:numPr>
          <w:numId w:val="1372"/>
          <w:ilvl w:val="2"/>
        </w:numPr>
      </w:pPr>
      <w:r>
        <w:t xml:space="preserve">Povinnost DS důkazní (doložit tvrzení)</w:t>
      </w:r>
    </w:p>
    <w:p>
      <w:pPr>
        <w:pStyle w:val="Compact"/>
        <w:numPr>
          <w:numId w:val="1373"/>
          <w:ilvl w:val="2"/>
        </w:numPr>
      </w:pPr>
      <w:r>
        <w:t xml:space="preserve">Povinnost SD prokázat, proč má pochybnosti</w:t>
      </w:r>
    </w:p>
    <w:p>
      <w:pPr>
        <w:pStyle w:val="Compact"/>
        <w:numPr>
          <w:numId w:val="1374"/>
          <w:ilvl w:val="2"/>
        </w:numPr>
      </w:pPr>
      <w:r>
        <w:t xml:space="preserve">Povinnost DS pochybnosti vyvrátit</w:t>
      </w:r>
    </w:p>
    <w:p>
      <w:pPr>
        <w:pStyle w:val="Heading2"/>
      </w:pPr>
      <w:bookmarkStart w:id="130" w:name="opravné-a-dozorčí-prostředky-v-daňovém-řízení"/>
      <w:bookmarkEnd w:id="130"/>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31"/>
      </w:r>
      <w:r>
        <w:t xml:space="preserve"> </w:t>
      </w:r>
      <w:r>
        <w:t xml:space="preserve">v daňovém řízení -</w:t>
      </w:r>
      <w:r>
        <w:t xml:space="preserve"> </w:t>
      </w:r>
      <w:r>
        <w:rPr>
          <w:b/>
        </w:rPr>
        <w:t xml:space="preserve">daňový řád</w:t>
      </w:r>
      <w:r>
        <w:t xml:space="preserve">.</w:t>
      </w:r>
    </w:p>
    <w:p>
      <w:pPr>
        <w:pStyle w:val="Compact"/>
        <w:numPr>
          <w:numId w:val="1375"/>
          <w:ilvl w:val="0"/>
        </w:numPr>
      </w:pPr>
      <w:r>
        <w:t xml:space="preserve">Paragrafy 108 až §124a.</w:t>
      </w:r>
    </w:p>
    <w:p>
      <w:pPr>
        <w:pStyle w:val="Heading3"/>
      </w:pPr>
      <w:bookmarkStart w:id="132" w:name="použití-opravných-a-dozorčích-prostředků"/>
      <w:bookmarkEnd w:id="132"/>
      <w:r>
        <w:t xml:space="preserve">Použití opravných a dozorčích prostředků</w:t>
      </w:r>
    </w:p>
    <w:p>
      <w:pPr>
        <w:pStyle w:val="Compact"/>
        <w:numPr>
          <w:numId w:val="1376"/>
          <w:ilvl w:val="0"/>
        </w:numPr>
      </w:pPr>
      <w:r>
        <w:t xml:space="preserve">Rozhodnutí vydané při správě daní lze přezkoumat na základě:</w:t>
      </w:r>
    </w:p>
    <w:p>
      <w:pPr>
        <w:pStyle w:val="Compact"/>
        <w:numPr>
          <w:numId w:val="1377"/>
          <w:ilvl w:val="1"/>
        </w:numPr>
      </w:pPr>
      <w:r>
        <w:t xml:space="preserve">řádného opravného prostředku, kterým je odvolání nebo rozklad,</w:t>
      </w:r>
    </w:p>
    <w:p>
      <w:pPr>
        <w:pStyle w:val="Compact"/>
        <w:numPr>
          <w:numId w:val="1378"/>
          <w:ilvl w:val="1"/>
        </w:numPr>
      </w:pPr>
      <w:r>
        <w:t xml:space="preserve">mimořádného opravného prostředku, kterým je návrh na povolení obnovy řízení, nebo</w:t>
      </w:r>
    </w:p>
    <w:p>
      <w:pPr>
        <w:pStyle w:val="Compact"/>
        <w:numPr>
          <w:numId w:val="1379"/>
          <w:ilvl w:val="1"/>
        </w:numPr>
      </w:pPr>
      <w:r>
        <w:t xml:space="preserve">dozorčího prostředku, kterým je nařízení obnovy řízení a nařízení přezkoumání rozhodnutí.</w:t>
      </w:r>
    </w:p>
    <w:p>
      <w:pPr>
        <w:numPr>
          <w:numId w:val="1376"/>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376"/>
          <w:ilvl w:val="0"/>
        </w:numPr>
      </w:pPr>
      <w:r>
        <w:t xml:space="preserve">Opravné a dozorčí prostředky v daňovém řízení</w:t>
      </w:r>
    </w:p>
    <w:p>
      <w:pPr>
        <w:pStyle w:val="Compact"/>
        <w:numPr>
          <w:numId w:val="1376"/>
          <w:ilvl w:val="0"/>
        </w:numPr>
      </w:pPr>
      <w:r>
        <w:t xml:space="preserve">Řádný opravný prostředek</w:t>
      </w:r>
    </w:p>
    <w:p>
      <w:pPr>
        <w:pStyle w:val="Compact"/>
        <w:numPr>
          <w:numId w:val="1376"/>
          <w:ilvl w:val="0"/>
        </w:numPr>
      </w:pPr>
      <w:r>
        <w:t xml:space="preserve">odvolání</w:t>
      </w:r>
    </w:p>
    <w:p>
      <w:pPr>
        <w:pStyle w:val="Compact"/>
        <w:numPr>
          <w:numId w:val="1376"/>
          <w:ilvl w:val="0"/>
        </w:numPr>
      </w:pPr>
      <w:r>
        <w:t xml:space="preserve">Rozklad</w:t>
      </w:r>
    </w:p>
    <w:p>
      <w:pPr>
        <w:pStyle w:val="Compact"/>
        <w:numPr>
          <w:numId w:val="1376"/>
          <w:ilvl w:val="0"/>
        </w:numPr>
      </w:pPr>
      <w:r>
        <w:t xml:space="preserve">Mimořádný opravný prostředek</w:t>
      </w:r>
    </w:p>
    <w:p>
      <w:pPr>
        <w:pStyle w:val="Compact"/>
        <w:numPr>
          <w:numId w:val="1376"/>
          <w:ilvl w:val="0"/>
        </w:numPr>
      </w:pPr>
      <w:r>
        <w:t xml:space="preserve">návrh na povolení obnovy řízení - pokud podá sám stěžovatel</w:t>
      </w:r>
    </w:p>
    <w:p>
      <w:pPr>
        <w:pStyle w:val="Compact"/>
        <w:numPr>
          <w:numId w:val="1376"/>
          <w:ilvl w:val="0"/>
        </w:numPr>
      </w:pPr>
      <w:r>
        <w:t xml:space="preserve">Dozorčí prostředek</w:t>
      </w:r>
    </w:p>
    <w:p>
      <w:pPr>
        <w:pStyle w:val="Compact"/>
        <w:numPr>
          <w:numId w:val="1376"/>
          <w:ilvl w:val="0"/>
        </w:numPr>
      </w:pPr>
      <w:r>
        <w:t xml:space="preserve">nařízení obnovy - z moci úřední</w:t>
      </w:r>
    </w:p>
    <w:p>
      <w:pPr>
        <w:numPr>
          <w:numId w:val="1376"/>
          <w:ilvl w:val="0"/>
        </w:numPr>
      </w:pPr>
      <w:r>
        <w:t xml:space="preserve">nařízení přezkoumání</w:t>
      </w:r>
    </w:p>
    <w:p>
      <w:pPr>
        <w:pStyle w:val="Compact"/>
        <w:numPr>
          <w:numId w:val="1376"/>
          <w:ilvl w:val="0"/>
        </w:numPr>
      </w:pPr>
      <w:r>
        <w:rPr>
          <w:b/>
        </w:rPr>
        <w:t xml:space="preserve">Odvolání (§ 109-116 DŘ)</w:t>
      </w:r>
    </w:p>
    <w:p>
      <w:pPr>
        <w:pStyle w:val="Compact"/>
        <w:numPr>
          <w:numId w:val="1376"/>
          <w:ilvl w:val="0"/>
        </w:numPr>
      </w:pPr>
      <w:r>
        <w:t xml:space="preserve">Obecná ustanovení o odvolání</w:t>
      </w:r>
    </w:p>
    <w:p>
      <w:pPr>
        <w:pStyle w:val="Compact"/>
        <w:numPr>
          <w:numId w:val="1380"/>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380"/>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380"/>
          <w:ilvl w:val="1"/>
        </w:numPr>
      </w:pPr>
      <w:r>
        <w:t xml:space="preserve">Odvolání se podává u správce daně, jehož rozhodnutí je odvoláním napadeno.</w:t>
      </w:r>
    </w:p>
    <w:p>
      <w:pPr>
        <w:pStyle w:val="Compact"/>
        <w:numPr>
          <w:numId w:val="1380"/>
          <w:ilvl w:val="1"/>
        </w:numPr>
      </w:pPr>
      <w:r>
        <w:t xml:space="preserve">Odvolání lze podat do 30 dnů ode dne doručení rozhodnutí, proti němuž odvolání směřuje, a to i před doručením tohoto rozhodnutí.</w:t>
      </w:r>
    </w:p>
    <w:p>
      <w:pPr>
        <w:pStyle w:val="Compact"/>
        <w:numPr>
          <w:numId w:val="1380"/>
          <w:ilvl w:val="1"/>
        </w:numPr>
      </w:pPr>
      <w:r>
        <w:t xml:space="preserve">Pokud je nesprávné poučení podle §102 - do 30 dní od doručení správného rozhodnutí, maximálně do 3 měsíců od původního rozhodnutí.</w:t>
      </w:r>
    </w:p>
    <w:p>
      <w:pPr>
        <w:pStyle w:val="Compact"/>
        <w:numPr>
          <w:numId w:val="1380"/>
          <w:ilvl w:val="1"/>
        </w:numPr>
      </w:pPr>
      <w:r>
        <w:t xml:space="preserve">Pokud je v poučení nesprávně určeno, že odvolání je přípustné - řízení o odvolání se zastaví, pokud bylo podáno.</w:t>
      </w:r>
    </w:p>
    <w:p>
      <w:pPr>
        <w:pStyle w:val="Compact"/>
        <w:numPr>
          <w:numId w:val="1380"/>
          <w:ilvl w:val="1"/>
        </w:numPr>
      </w:pPr>
      <w:r>
        <w:t xml:space="preserve">Pokud je v poučení nesprávně určen odkladný účinek, i když ho zákon nepřiznává - nastává odkladný účinek.</w:t>
      </w:r>
    </w:p>
    <w:p>
      <w:pPr>
        <w:pStyle w:val="Compact"/>
        <w:numPr>
          <w:numId w:val="1380"/>
          <w:ilvl w:val="1"/>
        </w:numPr>
      </w:pPr>
      <w:r>
        <w:t xml:space="preserve">Odvolání nemá odkladný účinek, pokud zákon nestanoví jinak.</w:t>
      </w:r>
    </w:p>
    <w:p>
      <w:pPr>
        <w:pStyle w:val="Compact"/>
        <w:numPr>
          <w:numId w:val="1376"/>
          <w:ilvl w:val="0"/>
        </w:numPr>
      </w:pPr>
      <w:r>
        <w:t xml:space="preserve">Náležitosti odvolání</w:t>
      </w:r>
    </w:p>
    <w:p>
      <w:pPr>
        <w:pStyle w:val="Compact"/>
        <w:numPr>
          <w:numId w:val="1381"/>
          <w:ilvl w:val="1"/>
        </w:numPr>
      </w:pPr>
      <w:r>
        <w:t xml:space="preserve">Odvolání lze vzít zpět.</w:t>
      </w:r>
    </w:p>
    <w:p>
      <w:pPr>
        <w:pStyle w:val="Compact"/>
        <w:numPr>
          <w:numId w:val="1381"/>
          <w:ilvl w:val="1"/>
        </w:numPr>
      </w:pPr>
      <w:r>
        <w:t xml:space="preserve">Dokud neuplyne lhůta pro odvolání je možné ho měnit, doplňovat, nebo vzít zpět.</w:t>
      </w:r>
    </w:p>
    <w:p>
      <w:pPr>
        <w:pStyle w:val="Compact"/>
        <w:numPr>
          <w:numId w:val="1381"/>
          <w:ilvl w:val="1"/>
        </w:numPr>
      </w:pPr>
      <w:r>
        <w:t xml:space="preserve">Zpětvzetím je odvolací řízení zastaveno - původní rozhodnutí nabývá právní moci.</w:t>
      </w:r>
    </w:p>
    <w:p>
      <w:pPr>
        <w:pStyle w:val="Compact"/>
        <w:numPr>
          <w:numId w:val="1381"/>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381"/>
          <w:ilvl w:val="1"/>
        </w:numPr>
      </w:pPr>
      <w:r>
        <w:t xml:space="preserve">Odvolání musí mít následující náležitosti:</w:t>
      </w:r>
    </w:p>
    <w:p>
      <w:pPr>
        <w:pStyle w:val="Compact"/>
        <w:numPr>
          <w:numId w:val="1381"/>
          <w:ilvl w:val="1"/>
        </w:numPr>
      </w:pPr>
      <w:r>
        <w:t xml:space="preserve">označení správního orgánu, který napadané rozhodnutí vydal</w:t>
      </w:r>
    </w:p>
    <w:p>
      <w:pPr>
        <w:pStyle w:val="Compact"/>
        <w:numPr>
          <w:numId w:val="1381"/>
          <w:ilvl w:val="1"/>
        </w:numPr>
      </w:pPr>
      <w:r>
        <w:t xml:space="preserve">označení odvolatele,</w:t>
      </w:r>
    </w:p>
    <w:p>
      <w:pPr>
        <w:pStyle w:val="Compact"/>
        <w:numPr>
          <w:numId w:val="1381"/>
          <w:ilvl w:val="1"/>
        </w:numPr>
      </w:pPr>
      <w:r>
        <w:t xml:space="preserve">identifikace rozhodnutí,</w:t>
      </w:r>
    </w:p>
    <w:p>
      <w:pPr>
        <w:pStyle w:val="Compact"/>
        <w:numPr>
          <w:numId w:val="1381"/>
          <w:ilvl w:val="1"/>
        </w:numPr>
      </w:pPr>
      <w:r>
        <w:t xml:space="preserve">uvedení důvodů, v nichž jsou spatřovány nesprávnosti nebo nezákonnosti napadeného rozhodnutí,</w:t>
      </w:r>
    </w:p>
    <w:p>
      <w:pPr>
        <w:pStyle w:val="Compact"/>
        <w:numPr>
          <w:numId w:val="1381"/>
          <w:ilvl w:val="1"/>
        </w:numPr>
      </w:pPr>
      <w:r>
        <w:t xml:space="preserve">označení důkazů,</w:t>
      </w:r>
    </w:p>
    <w:p>
      <w:pPr>
        <w:pStyle w:val="Compact"/>
        <w:numPr>
          <w:numId w:val="1381"/>
          <w:ilvl w:val="1"/>
        </w:numPr>
      </w:pPr>
      <w:r>
        <w:t xml:space="preserve">návrh na změnu, nebo zrušení rozhodnutí.</w:t>
      </w:r>
    </w:p>
    <w:p>
      <w:pPr>
        <w:pStyle w:val="Compact"/>
        <w:numPr>
          <w:numId w:val="1381"/>
          <w:ilvl w:val="1"/>
        </w:numPr>
      </w:pPr>
      <w:r>
        <w:t xml:space="preserve">Pokud odvolání obsahuje vady - vyzve ho správce daně k nápravě v minimální lhůtě 15 dní, pokud nejsou vady opraveny - řízení se zastaví.</w:t>
      </w:r>
    </w:p>
    <w:p>
      <w:pPr>
        <w:pStyle w:val="Compact"/>
        <w:numPr>
          <w:numId w:val="1376"/>
          <w:ilvl w:val="0"/>
        </w:numPr>
      </w:pPr>
      <w:r>
        <w:t xml:space="preserve">Postup správce daně prvního stupně</w:t>
      </w:r>
    </w:p>
    <w:p>
      <w:pPr>
        <w:pStyle w:val="Compact"/>
        <w:numPr>
          <w:numId w:val="1382"/>
          <w:ilvl w:val="1"/>
        </w:numPr>
      </w:pPr>
      <w:r>
        <w:t xml:space="preserve">Může rozhodnout o odvolání sám pokud - mu plně vyhoví a toto rozhodnutí není v rozporu s vyjádřením příjemců,</w:t>
      </w:r>
    </w:p>
    <w:p>
      <w:pPr>
        <w:pStyle w:val="Compact"/>
        <w:numPr>
          <w:numId w:val="1382"/>
          <w:ilvl w:val="1"/>
        </w:numPr>
      </w:pPr>
      <w:r>
        <w:t xml:space="preserve">Může rozhodnout pokud mu vyhoví částečně,</w:t>
      </w:r>
    </w:p>
    <w:p>
      <w:pPr>
        <w:pStyle w:val="Compact"/>
        <w:numPr>
          <w:numId w:val="1382"/>
          <w:ilvl w:val="1"/>
        </w:numPr>
      </w:pPr>
      <w:r>
        <w:t xml:space="preserve">Může řízení zastavit, pokud je odvolání nepřípustné, nebo bylo podáno po lhůtě.</w:t>
      </w:r>
    </w:p>
    <w:p>
      <w:pPr>
        <w:pStyle w:val="Compact"/>
        <w:numPr>
          <w:numId w:val="1376"/>
          <w:ilvl w:val="0"/>
        </w:numPr>
      </w:pPr>
      <w:r>
        <w:t xml:space="preserve">Postup odvolacího orgánu</w:t>
      </w:r>
    </w:p>
    <w:p>
      <w:pPr>
        <w:pStyle w:val="Compact"/>
        <w:numPr>
          <w:numId w:val="1383"/>
          <w:ilvl w:val="1"/>
        </w:numPr>
      </w:pPr>
      <w:r>
        <w:t xml:space="preserve">Pokud o něm nemůže rozhodnout správce v prvním stupni.</w:t>
      </w:r>
    </w:p>
    <w:p>
      <w:pPr>
        <w:pStyle w:val="Compact"/>
        <w:numPr>
          <w:numId w:val="1383"/>
          <w:ilvl w:val="1"/>
        </w:numPr>
      </w:pPr>
      <w:r>
        <w:t xml:space="preserve">Odvolacím orgánem je orgán nejblíže nadřazený správci daně, který rozhodnutí vydal.</w:t>
      </w:r>
    </w:p>
    <w:p>
      <w:pPr>
        <w:pStyle w:val="Compact"/>
        <w:numPr>
          <w:numId w:val="1383"/>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383"/>
          <w:ilvl w:val="1"/>
        </w:numPr>
      </w:pPr>
      <w:r>
        <w:t xml:space="preserve">Rovněž může provádět vlastní šetření a doplňovat.</w:t>
      </w:r>
    </w:p>
    <w:p>
      <w:pPr>
        <w:pStyle w:val="Compact"/>
        <w:numPr>
          <w:numId w:val="1383"/>
          <w:ilvl w:val="1"/>
        </w:numPr>
      </w:pPr>
      <w:r>
        <w:t xml:space="preserve">Musí s nimi odvolatele seznámit, umožnit mu se k nim vyjádřit a navrhnout vlastní.</w:t>
      </w:r>
    </w:p>
    <w:p>
      <w:pPr>
        <w:pStyle w:val="Compact"/>
        <w:numPr>
          <w:numId w:val="1383"/>
          <w:ilvl w:val="1"/>
        </w:numPr>
      </w:pPr>
      <w:r>
        <w:t xml:space="preserve">Lhůta maximálně 15 dní.</w:t>
      </w:r>
    </w:p>
    <w:p>
      <w:pPr>
        <w:pStyle w:val="Compact"/>
        <w:numPr>
          <w:numId w:val="1383"/>
          <w:ilvl w:val="1"/>
        </w:numPr>
      </w:pPr>
      <w:r>
        <w:t xml:space="preserve">Může prověřit použití pomůcek pro stanovení výše daně, pokud proti nim odvolání směřuje.</w:t>
      </w:r>
    </w:p>
    <w:p>
      <w:pPr>
        <w:pStyle w:val="Compact"/>
        <w:numPr>
          <w:numId w:val="1383"/>
          <w:ilvl w:val="1"/>
        </w:numPr>
      </w:pPr>
      <w:r>
        <w:t xml:space="preserve">Rozhodnutí:</w:t>
      </w:r>
    </w:p>
    <w:p>
      <w:pPr>
        <w:pStyle w:val="Compact"/>
        <w:numPr>
          <w:numId w:val="1383"/>
          <w:ilvl w:val="1"/>
        </w:numPr>
      </w:pPr>
      <w:r>
        <w:t xml:space="preserve">napadené rozhodnutí změní,</w:t>
      </w:r>
    </w:p>
    <w:p>
      <w:pPr>
        <w:pStyle w:val="Compact"/>
        <w:numPr>
          <w:numId w:val="1383"/>
          <w:ilvl w:val="1"/>
        </w:numPr>
      </w:pPr>
      <w:r>
        <w:t xml:space="preserve">napadené rozhodnutí zruší a zastaví řízení,</w:t>
      </w:r>
    </w:p>
    <w:p>
      <w:pPr>
        <w:pStyle w:val="Compact"/>
        <w:numPr>
          <w:numId w:val="1383"/>
          <w:ilvl w:val="1"/>
        </w:numPr>
      </w:pPr>
      <w:r>
        <w:t xml:space="preserve">odvolání zamítne a napadené rozhodnutí potvrdí,</w:t>
      </w:r>
    </w:p>
    <w:p>
      <w:pPr>
        <w:pStyle w:val="Compact"/>
        <w:numPr>
          <w:numId w:val="1383"/>
          <w:ilvl w:val="1"/>
        </w:numPr>
      </w:pPr>
      <w:r>
        <w:t xml:space="preserve">pokud zjistí, že mohl rozhodnout správce daně v prvním stupni, může mu odvolání vrátit s právním názorem.</w:t>
      </w:r>
    </w:p>
    <w:p>
      <w:pPr>
        <w:pStyle w:val="Compact"/>
        <w:numPr>
          <w:numId w:val="1383"/>
          <w:ilvl w:val="1"/>
        </w:numPr>
      </w:pPr>
      <w:r>
        <w:t xml:space="preserve">Nelze se proti tomuto rozhodnutí dále odvolat - lze pouze použít mimořádné opravné prostředky.</w:t>
      </w:r>
    </w:p>
    <w:p>
      <w:pPr>
        <w:pStyle w:val="Compact"/>
        <w:numPr>
          <w:numId w:val="1376"/>
          <w:ilvl w:val="0"/>
        </w:numPr>
      </w:pPr>
      <w:r>
        <w:t xml:space="preserve">Obnova řízení (§117-120 DŘ)</w:t>
      </w:r>
    </w:p>
    <w:p>
      <w:pPr>
        <w:pStyle w:val="Compact"/>
        <w:numPr>
          <w:numId w:val="1376"/>
          <w:ilvl w:val="0"/>
        </w:numPr>
      </w:pPr>
      <w:r>
        <w:t xml:space="preserve">Povolení obnovy řízení</w:t>
      </w:r>
    </w:p>
    <w:p>
      <w:pPr>
        <w:pStyle w:val="Compact"/>
        <w:numPr>
          <w:numId w:val="1384"/>
          <w:ilvl w:val="1"/>
        </w:numPr>
      </w:pPr>
      <w:r>
        <w:t xml:space="preserve">Řízení ukončené pravomocným rozhodnutím správce daně se obnoví na návrh příjemce rozhodnutí, nebo z moci úřední, jestliže:</w:t>
      </w:r>
    </w:p>
    <w:p>
      <w:pPr>
        <w:pStyle w:val="Compact"/>
        <w:numPr>
          <w:numId w:val="1384"/>
          <w:ilvl w:val="1"/>
        </w:numPr>
      </w:pPr>
      <w:r>
        <w:t xml:space="preserve">vyšly najevo nové skutečnosti, nebo důkazy,</w:t>
      </w:r>
    </w:p>
    <w:p>
      <w:pPr>
        <w:pStyle w:val="Compact"/>
        <w:numPr>
          <w:numId w:val="1384"/>
          <w:ilvl w:val="1"/>
        </w:numPr>
      </w:pPr>
      <w:r>
        <w:t xml:space="preserve">za jiných zákonem stanovených podmínek - například bylo rozhodnuto kvůli padělaným dokladům, nebo bylo rozhodnutí dosaženo pomocí trestného činu.</w:t>
      </w:r>
    </w:p>
    <w:p>
      <w:pPr>
        <w:pStyle w:val="Compact"/>
        <w:numPr>
          <w:numId w:val="1384"/>
          <w:ilvl w:val="1"/>
        </w:numPr>
      </w:pPr>
      <w:r>
        <w:t xml:space="preserve">Návrh se podává u správce daně, který o věci rozhodl v prvním stupni.</w:t>
      </w:r>
    </w:p>
    <w:p>
      <w:pPr>
        <w:pStyle w:val="Compact"/>
        <w:numPr>
          <w:numId w:val="1384"/>
          <w:ilvl w:val="1"/>
        </w:numPr>
      </w:pPr>
      <w:r>
        <w:t xml:space="preserve">Existuje subjektivní lhůta 6 měsíců ode dne, kdy se navrhovatel měl dozvědět o skutečnostech, objektivní lhůta je 3 roky.</w:t>
      </w:r>
    </w:p>
    <w:p>
      <w:pPr>
        <w:pStyle w:val="Compact"/>
        <w:numPr>
          <w:numId w:val="1384"/>
          <w:ilvl w:val="1"/>
        </w:numPr>
      </w:pPr>
      <w:r>
        <w:t xml:space="preserve">Návrh musí obsahovat okolnosti svědčící o jeho důvodnosti a dodržení lhůty.</w:t>
      </w:r>
    </w:p>
    <w:p>
      <w:pPr>
        <w:pStyle w:val="Compact"/>
        <w:numPr>
          <w:numId w:val="1384"/>
          <w:ilvl w:val="1"/>
        </w:numPr>
      </w:pPr>
      <w:r>
        <w:t xml:space="preserve">Obnovu řízení povolí nebo nařídí správce daně, který ve věci rozhodl v posledním stupni, a neshledá-li důvod povolení obnovy, návrh zamítne.</w:t>
      </w:r>
    </w:p>
    <w:p>
      <w:pPr>
        <w:pStyle w:val="Compact"/>
        <w:numPr>
          <w:numId w:val="1384"/>
          <w:ilvl w:val="1"/>
        </w:numPr>
      </w:pPr>
      <w:r>
        <w:t xml:space="preserve">Řízení probíhá u správce daně v prvním stupni, zahajuje se rozhodnutím, má odkladné účinky a pokud bude vydáno nové rozhodnutí se původní rozhodnutí ruší.</w:t>
      </w:r>
    </w:p>
    <w:p>
      <w:pPr>
        <w:numPr>
          <w:numId w:val="1376"/>
          <w:ilvl w:val="0"/>
        </w:numPr>
      </w:pPr>
      <w:r>
        <w:t xml:space="preserve">Nařízení obnovy řízení (dozorčí prostředek)</w:t>
      </w:r>
    </w:p>
    <w:p>
      <w:pPr>
        <w:pStyle w:val="Compact"/>
        <w:numPr>
          <w:numId w:val="1376"/>
          <w:ilvl w:val="0"/>
        </w:numPr>
      </w:pPr>
      <w:r>
        <w:t xml:space="preserve">Přezkumné řízení (§ 121-123)</w:t>
      </w:r>
    </w:p>
    <w:p>
      <w:pPr>
        <w:pStyle w:val="Compact"/>
        <w:numPr>
          <w:numId w:val="1376"/>
          <w:ilvl w:val="0"/>
        </w:numPr>
      </w:pPr>
      <w:r>
        <w:t xml:space="preserve">Nařízení přezkoumání rozhodnutí (dozorčí prostředek)</w:t>
      </w:r>
    </w:p>
    <w:p>
      <w:pPr>
        <w:pStyle w:val="Compact"/>
        <w:numPr>
          <w:numId w:val="1385"/>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385"/>
          <w:ilvl w:val="1"/>
        </w:numPr>
      </w:pPr>
      <w:r>
        <w:t xml:space="preserve">Podnět může podat kterýkoliv správce daně, u správce daně, který rozhodl v řízení v posledním stupni.</w:t>
      </w:r>
    </w:p>
    <w:p>
      <w:pPr>
        <w:pStyle w:val="Compact"/>
        <w:numPr>
          <w:numId w:val="1376"/>
          <w:ilvl w:val="0"/>
        </w:numPr>
      </w:pPr>
      <w:r>
        <w:t xml:space="preserve">Postup při přezkumném řízení</w:t>
      </w:r>
    </w:p>
    <w:p>
      <w:pPr>
        <w:pStyle w:val="Compact"/>
        <w:numPr>
          <w:numId w:val="1386"/>
          <w:ilvl w:val="1"/>
        </w:numPr>
      </w:pPr>
      <w:r>
        <w:t xml:space="preserve">Přezkoumání rozhodnutí nařídí správce daně nejblíže nadřízený správci daně, který ve věci rozhodl v posledním stupni.</w:t>
      </w:r>
    </w:p>
    <w:p>
      <w:pPr>
        <w:pStyle w:val="Compact"/>
        <w:numPr>
          <w:numId w:val="1386"/>
          <w:ilvl w:val="1"/>
        </w:numPr>
      </w:pPr>
      <w:r>
        <w:t xml:space="preserve">Maximálně ve lhůtě 3 let.</w:t>
      </w:r>
    </w:p>
    <w:p>
      <w:pPr>
        <w:pStyle w:val="Compact"/>
        <w:numPr>
          <w:numId w:val="1386"/>
          <w:ilvl w:val="1"/>
        </w:numPr>
      </w:pPr>
      <w:r>
        <w:t xml:space="preserve">Přezkumné řízení provede správce daně, který ve věci rozhodl v posledním stupni.</w:t>
      </w:r>
    </w:p>
    <w:p>
      <w:pPr>
        <w:pStyle w:val="Compact"/>
        <w:numPr>
          <w:numId w:val="1386"/>
          <w:ilvl w:val="1"/>
        </w:numPr>
      </w:pPr>
      <w:r>
        <w:t xml:space="preserve">Řízení je zahájeno vydáním rozhodnutí o nařízení přezkoumání rozhodnutí.</w:t>
      </w:r>
    </w:p>
    <w:p>
      <w:pPr>
        <w:pStyle w:val="Compact"/>
        <w:numPr>
          <w:numId w:val="1386"/>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386"/>
          <w:ilvl w:val="1"/>
        </w:numPr>
      </w:pPr>
      <w:r>
        <w:t xml:space="preserve">Má odkladný účinek.</w:t>
      </w:r>
    </w:p>
    <w:p>
      <w:pPr>
        <w:pStyle w:val="Heading3"/>
      </w:pPr>
      <w:bookmarkStart w:id="133" w:name="vztah-ke-správnímu-soudnictví"/>
      <w:bookmarkEnd w:id="133"/>
      <w:r>
        <w:t xml:space="preserve">Vztah ke správnímu soudnictví</w:t>
      </w:r>
    </w:p>
    <w:p>
      <w:pPr>
        <w:pStyle w:val="Compact"/>
        <w:numPr>
          <w:numId w:val="1387"/>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387"/>
          <w:ilvl w:val="0"/>
        </w:numPr>
      </w:pPr>
      <w:r>
        <w:t xml:space="preserve">V rámci přezkumného řízení směřujícího k uspokojení navrhovatele ve správním soudnictví nelze změnit rozhodnutí v neprospěch navrhovatele.</w:t>
      </w:r>
    </w:p>
    <w:p>
      <w:pPr>
        <w:pStyle w:val="Heading2"/>
      </w:pPr>
      <w:bookmarkStart w:id="134" w:name="ochrana-daňového-subjektu-ve-správním-soudnictví-žaloby-a-opravné-prostředky"/>
      <w:bookmarkEnd w:id="134"/>
      <w:r>
        <w:t xml:space="preserve">23. Ochrana daňového subjektu ve správním soudnictví – žaloby a opravné prostředky</w:t>
      </w:r>
    </w:p>
    <w:p>
      <w:pPr>
        <w:pStyle w:val="Heading3"/>
      </w:pPr>
      <w:bookmarkStart w:id="135" w:name="podklady"/>
      <w:bookmarkEnd w:id="135"/>
      <w:r>
        <w:t xml:space="preserve">Podklady</w:t>
      </w:r>
    </w:p>
    <w:p>
      <w:pPr>
        <w:pStyle w:val="Compact"/>
        <w:numPr>
          <w:numId w:val="1388"/>
          <w:ilvl w:val="0"/>
        </w:numPr>
      </w:pPr>
      <w:r>
        <w:t xml:space="preserve">Ústavní zákon č. 1/1993 Sb., Ústava České republiky</w:t>
      </w:r>
    </w:p>
    <w:p>
      <w:pPr>
        <w:pStyle w:val="Compact"/>
        <w:numPr>
          <w:numId w:val="1388"/>
          <w:ilvl w:val="0"/>
        </w:numPr>
      </w:pPr>
      <w:r>
        <w:t xml:space="preserve">Usnesení č. 2/1993 předsednictva ČNR o vyhlášení Listiny základních práv a svobod jako součásti ústavního pořádku ČR</w:t>
      </w:r>
    </w:p>
    <w:p>
      <w:pPr>
        <w:pStyle w:val="Compact"/>
        <w:numPr>
          <w:numId w:val="1388"/>
          <w:ilvl w:val="0"/>
        </w:numPr>
      </w:pPr>
      <w:r>
        <w:t xml:space="preserve">Zákon č. 99/1963 Sb., občanský soudní řád</w:t>
      </w:r>
    </w:p>
    <w:p>
      <w:pPr>
        <w:pStyle w:val="Compact"/>
        <w:numPr>
          <w:numId w:val="1388"/>
          <w:ilvl w:val="0"/>
        </w:numPr>
      </w:pPr>
      <w:r>
        <w:t xml:space="preserve">Zákon č. 150/2002 Sb., soudní řád správní</w:t>
      </w:r>
    </w:p>
    <w:p>
      <w:pPr>
        <w:pStyle w:val="Compact"/>
        <w:numPr>
          <w:numId w:val="1388"/>
          <w:ilvl w:val="0"/>
        </w:numPr>
      </w:pPr>
      <w:r>
        <w:t xml:space="preserve">Vyhláška 177/1996 Sb. – advokátní tarif</w:t>
      </w:r>
    </w:p>
    <w:p>
      <w:pPr>
        <w:pStyle w:val="Compact"/>
        <w:numPr>
          <w:numId w:val="1388"/>
          <w:ilvl w:val="0"/>
        </w:numPr>
      </w:pPr>
      <w:r>
        <w:t xml:space="preserve">Zákon č. 549/1991 Sb., o správních poplatcích</w:t>
      </w:r>
    </w:p>
    <w:p>
      <w:pPr>
        <w:pStyle w:val="Heading3"/>
      </w:pPr>
      <w:bookmarkStart w:id="136" w:name="opravné-a-dozorčí-prostředky"/>
      <w:bookmarkEnd w:id="136"/>
      <w:r>
        <w:t xml:space="preserve">Opravné a dozorčí prostředky</w:t>
      </w:r>
    </w:p>
    <w:p>
      <w:pPr>
        <w:pStyle w:val="Compact"/>
        <w:numPr>
          <w:numId w:val="1389"/>
          <w:ilvl w:val="0"/>
        </w:numPr>
      </w:pPr>
      <w:r>
        <w:t xml:space="preserve">Správní řízení má</w:t>
      </w:r>
      <w:r>
        <w:rPr>
          <w:rStyle w:val="FootnoteReference"/>
        </w:rPr>
        <w:footnoteReference w:id="137"/>
      </w:r>
      <w:r>
        <w:t xml:space="preserve">:</w:t>
      </w:r>
    </w:p>
    <w:p>
      <w:pPr>
        <w:pStyle w:val="Compact"/>
        <w:numPr>
          <w:numId w:val="1389"/>
          <w:ilvl w:val="0"/>
        </w:numPr>
      </w:pPr>
      <w:r>
        <w:t xml:space="preserve">opravné a</w:t>
      </w:r>
    </w:p>
    <w:p>
      <w:pPr>
        <w:numPr>
          <w:numId w:val="1389"/>
          <w:ilvl w:val="0"/>
        </w:numPr>
      </w:pPr>
      <w:r>
        <w:t xml:space="preserve">dozorčí prostředky.</w:t>
      </w:r>
    </w:p>
    <w:p>
      <w:pPr>
        <w:pStyle w:val="Compact"/>
        <w:numPr>
          <w:numId w:val="1389"/>
          <w:ilvl w:val="0"/>
        </w:numPr>
      </w:pPr>
      <w:r>
        <w:t xml:space="preserve">Důležité je, že před podáním žaloby musí být vyčerpány všechny opravné prostředky, dozorčí prostředky však použity být nemusí.</w:t>
      </w:r>
    </w:p>
    <w:p>
      <w:pPr>
        <w:numPr>
          <w:numId w:val="1389"/>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389"/>
          <w:ilvl w:val="0"/>
        </w:numPr>
      </w:pPr>
      <w:r>
        <w:t xml:space="preserve">Existující opravné prostředky ve správním řízení:</w:t>
      </w:r>
    </w:p>
    <w:p>
      <w:pPr>
        <w:pStyle w:val="Compact"/>
        <w:numPr>
          <w:numId w:val="1389"/>
          <w:ilvl w:val="0"/>
        </w:numPr>
      </w:pPr>
      <w:r>
        <w:t xml:space="preserve">odvolání - napadení rozhodnutí správního orgánu - standardně rozhoduje nadřízený orgán,</w:t>
      </w:r>
    </w:p>
    <w:p>
      <w:pPr>
        <w:pStyle w:val="Compact"/>
        <w:numPr>
          <w:numId w:val="1389"/>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389"/>
          <w:ilvl w:val="0"/>
        </w:numPr>
      </w:pPr>
      <w:r>
        <w:t xml:space="preserve">odpor - forma odvolání proti uložení písemného příkazu.</w:t>
      </w:r>
    </w:p>
    <w:p>
      <w:pPr>
        <w:pStyle w:val="Compact"/>
        <w:numPr>
          <w:numId w:val="1389"/>
          <w:ilvl w:val="0"/>
        </w:numPr>
      </w:pPr>
      <w:r>
        <w:t xml:space="preserve">Existující mimořádné opravné prostředky ve správním řízení:</w:t>
      </w:r>
    </w:p>
    <w:p>
      <w:pPr>
        <w:pStyle w:val="Compact"/>
        <w:numPr>
          <w:numId w:val="1389"/>
          <w:ilvl w:val="0"/>
        </w:numPr>
      </w:pPr>
      <w:r>
        <w:t xml:space="preserve">obnova řízení - před správním orgánem - například pokud vyšly najevo dříve neznáme skutečnosti nebo důkazy,</w:t>
      </w:r>
    </w:p>
    <w:p>
      <w:pPr>
        <w:numPr>
          <w:numId w:val="1389"/>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38" w:name="obsah-kapitoly"/>
      <w:bookmarkEnd w:id="138"/>
      <w:r>
        <w:t xml:space="preserve">Obsah kapitoly</w:t>
      </w:r>
    </w:p>
    <w:p>
      <w:pPr>
        <w:pStyle w:val="Compact"/>
        <w:numPr>
          <w:numId w:val="1390"/>
          <w:ilvl w:val="0"/>
        </w:numPr>
      </w:pPr>
      <w:r>
        <w:t xml:space="preserve">Důvody existence správního soudnictví</w:t>
      </w:r>
    </w:p>
    <w:p>
      <w:pPr>
        <w:pStyle w:val="Compact"/>
        <w:numPr>
          <w:numId w:val="1390"/>
          <w:ilvl w:val="0"/>
        </w:numPr>
      </w:pPr>
      <w:r>
        <w:t xml:space="preserve">Správní soudnictví v ČR</w:t>
      </w:r>
    </w:p>
    <w:p>
      <w:pPr>
        <w:pStyle w:val="Compact"/>
        <w:numPr>
          <w:numId w:val="1390"/>
          <w:ilvl w:val="0"/>
        </w:numPr>
      </w:pPr>
      <w:r>
        <w:t xml:space="preserve">Druhy žalob</w:t>
      </w:r>
    </w:p>
    <w:p>
      <w:pPr>
        <w:pStyle w:val="Compact"/>
        <w:numPr>
          <w:numId w:val="1390"/>
          <w:ilvl w:val="0"/>
        </w:numPr>
      </w:pPr>
      <w:r>
        <w:t xml:space="preserve">Žaloba proti rozhodnutí správního orgánu</w:t>
      </w:r>
    </w:p>
    <w:p>
      <w:pPr>
        <w:pStyle w:val="Compact"/>
        <w:numPr>
          <w:numId w:val="1390"/>
          <w:ilvl w:val="0"/>
        </w:numPr>
      </w:pPr>
      <w:r>
        <w:t xml:space="preserve">Nečinnostní žaloba</w:t>
      </w:r>
    </w:p>
    <w:p>
      <w:pPr>
        <w:pStyle w:val="Compact"/>
        <w:numPr>
          <w:numId w:val="1390"/>
          <w:ilvl w:val="0"/>
        </w:numPr>
      </w:pPr>
      <w:r>
        <w:t xml:space="preserve">Zásahová žaloba</w:t>
      </w:r>
    </w:p>
    <w:p>
      <w:pPr>
        <w:pStyle w:val="Compact"/>
        <w:numPr>
          <w:numId w:val="1390"/>
          <w:ilvl w:val="0"/>
        </w:numPr>
      </w:pPr>
      <w:r>
        <w:t xml:space="preserve">Přezkum opatření obecné povahy</w:t>
      </w:r>
    </w:p>
    <w:p>
      <w:pPr>
        <w:pStyle w:val="Compact"/>
        <w:numPr>
          <w:numId w:val="1390"/>
          <w:ilvl w:val="0"/>
        </w:numPr>
      </w:pPr>
      <w:r>
        <w:t xml:space="preserve">Opravné prostředky ve správním soudnictví – kasační stížnost, obnova řízení</w:t>
      </w:r>
    </w:p>
    <w:p>
      <w:pPr>
        <w:pStyle w:val="Compact"/>
        <w:numPr>
          <w:numId w:val="1390"/>
          <w:ilvl w:val="0"/>
        </w:numPr>
      </w:pPr>
      <w:r>
        <w:t xml:space="preserve">Náklady na soudní řízení</w:t>
      </w:r>
    </w:p>
    <w:p>
      <w:pPr>
        <w:pStyle w:val="Heading3"/>
      </w:pPr>
      <w:bookmarkStart w:id="139" w:name="důvody-existence-správního-soudnictví"/>
      <w:bookmarkEnd w:id="139"/>
      <w:r>
        <w:t xml:space="preserve">Důvody existence správního soudnictví</w:t>
      </w:r>
    </w:p>
    <w:p>
      <w:pPr>
        <w:pStyle w:val="Compact"/>
        <w:numPr>
          <w:numId w:val="1391"/>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391"/>
          <w:ilvl w:val="0"/>
        </w:numPr>
      </w:pPr>
      <w:r>
        <w:t xml:space="preserve">(obvykle občan nebo právnická osoba na straně jedné a orgán státu nebo obce či samosprávného kraje na straně druhé).</w:t>
      </w:r>
    </w:p>
    <w:p>
      <w:pPr>
        <w:numPr>
          <w:numId w:val="1391"/>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391"/>
          <w:ilvl w:val="0"/>
        </w:numPr>
      </w:pPr>
      <w:r>
        <w:t xml:space="preserve">Veřejné právo – např. stavební, daňové, celní, živnostenská oprávnění, dopravní předpisy, různé poplatky, sociální oblast, životní prostředí, ochrana památek, právo na informace apod.</w:t>
      </w:r>
    </w:p>
    <w:p>
      <w:pPr>
        <w:numPr>
          <w:numId w:val="1391"/>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40" w:name="správní-soudnictví-v-čr"/>
      <w:bookmarkEnd w:id="140"/>
      <w:r>
        <w:t xml:space="preserve">Správní soudnictví v Čr</w:t>
      </w:r>
    </w:p>
    <w:p>
      <w:pPr>
        <w:pStyle w:val="Compact"/>
        <w:numPr>
          <w:numId w:val="1393"/>
          <w:ilvl w:val="1"/>
        </w:numPr>
      </w:pPr>
      <w:r>
        <w:t xml:space="preserve">ŽALOBA PROTI ROZHODNUTÍ SPRÁVNÍHO ORGÁNU</w:t>
      </w:r>
    </w:p>
    <w:p>
      <w:pPr>
        <w:pStyle w:val="Compact"/>
        <w:numPr>
          <w:numId w:val="1394"/>
          <w:ilvl w:val="1"/>
        </w:numPr>
      </w:pPr>
      <w:r>
        <w:t xml:space="preserve">ŽALOBA PROTI NEČINNOSTI</w:t>
      </w:r>
    </w:p>
    <w:p>
      <w:pPr>
        <w:pStyle w:val="Compact"/>
        <w:numPr>
          <w:numId w:val="1395"/>
          <w:ilvl w:val="1"/>
        </w:numPr>
      </w:pPr>
      <w:r>
        <w:t xml:space="preserve">ŽALOBA PROTI NEZÁKONNÉMU ZÁSAHU</w:t>
      </w:r>
    </w:p>
    <w:p>
      <w:pPr>
        <w:pStyle w:val="Compact"/>
        <w:numPr>
          <w:numId w:val="1396"/>
          <w:ilvl w:val="1"/>
        </w:numPr>
      </w:pPr>
      <w:r>
        <w:t xml:space="preserve">SOUDNICTVÍ VE VĚCECH VOLEBNÍCH A VE VĚCECH MÍSTNÍHO A KRAJSKÉHO REFERENDA</w:t>
      </w:r>
    </w:p>
    <w:p>
      <w:pPr>
        <w:pStyle w:val="Compact"/>
        <w:numPr>
          <w:numId w:val="1397"/>
          <w:ilvl w:val="1"/>
        </w:numPr>
      </w:pPr>
      <w:r>
        <w:t xml:space="preserve">ŘÍZENÍ VE VĚCECH POLITICKÝCH STRAN A POLITICKÝCH HNUTÍ</w:t>
      </w:r>
    </w:p>
    <w:p>
      <w:pPr>
        <w:pStyle w:val="Compact"/>
        <w:numPr>
          <w:numId w:val="1398"/>
          <w:ilvl w:val="1"/>
        </w:numPr>
      </w:pPr>
      <w:r>
        <w:t xml:space="preserve">ŘÍZENÍ O ZRUŠENÍ OPATŘENÍ OBECNÉ POVAHY NEBO JEHO ČÁSTI</w:t>
      </w:r>
    </w:p>
    <w:p>
      <w:pPr>
        <w:pStyle w:val="Compact"/>
        <w:numPr>
          <w:numId w:val="1399"/>
          <w:ilvl w:val="1"/>
        </w:numPr>
      </w:pPr>
      <w:r>
        <w:t xml:space="preserve">KOMPETENČNÍ ŽALOBY</w:t>
      </w:r>
    </w:p>
    <w:p>
      <w:pPr>
        <w:pStyle w:val="Compact"/>
        <w:numPr>
          <w:numId w:val="1400"/>
          <w:ilvl w:val="1"/>
        </w:numPr>
      </w:pPr>
      <w:r>
        <w:t xml:space="preserve">OPRAVNÉ PROSTŘEDKY PROTI ROZHODNUTÍM SPRÁVNÍCH SOUDŮ</w:t>
      </w:r>
    </w:p>
    <w:p>
      <w:pPr>
        <w:pStyle w:val="Compact"/>
        <w:numPr>
          <w:numId w:val="1401"/>
          <w:ilvl w:val="1"/>
        </w:numPr>
      </w:pPr>
      <w:r>
        <w:t xml:space="preserve">ROZHODOVÁNÍ SPRÁVNÍHO ORGÁNU O VĚCECH SOUKROMÉHO PRÁVA</w:t>
      </w:r>
    </w:p>
    <w:p>
      <w:pPr>
        <w:pStyle w:val="Compact"/>
        <w:numPr>
          <w:numId w:val="1402"/>
          <w:ilvl w:val="1"/>
        </w:numPr>
      </w:pPr>
      <w:r>
        <w:t xml:space="preserve">KONFLIKT KOMPETENCÍ MEZI MOCÍ VÝKONNOU A MOCÍ SOUDNÍ</w:t>
      </w:r>
    </w:p>
    <w:p>
      <w:pPr>
        <w:pStyle w:val="Compact"/>
        <w:numPr>
          <w:numId w:val="1392"/>
          <w:ilvl w:val="0"/>
        </w:numPr>
      </w:pPr>
      <w:r>
        <w:t xml:space="preserve">V dnešní podobně od roku 2003 (do té doby neexistoval Nejvyšší správní soud)</w:t>
      </w:r>
    </w:p>
    <w:p>
      <w:pPr>
        <w:pStyle w:val="Compact"/>
        <w:numPr>
          <w:numId w:val="1392"/>
          <w:ilvl w:val="0"/>
        </w:numPr>
      </w:pPr>
      <w:r>
        <w:t xml:space="preserve">do r. 2003 pouze krajské soudy a Ústavní soud</w:t>
      </w:r>
    </w:p>
    <w:p>
      <w:pPr>
        <w:pStyle w:val="Heading3"/>
      </w:pPr>
      <w:bookmarkStart w:id="141" w:name="druhy-žalob"/>
      <w:bookmarkEnd w:id="141"/>
      <w:r>
        <w:t xml:space="preserve">Druhy žalob</w:t>
      </w:r>
    </w:p>
    <w:p>
      <w:pPr>
        <w:pStyle w:val="Compact"/>
        <w:numPr>
          <w:numId w:val="1403"/>
          <w:ilvl w:val="0"/>
        </w:numPr>
      </w:pPr>
      <w:r>
        <w:t xml:space="preserve">Ve správním soudnictví poskytují krajské soudy (jako soudy správní)</w:t>
      </w:r>
      <w:r>
        <w:rPr>
          <w:rStyle w:val="FootnoteReference"/>
        </w:rPr>
        <w:footnoteReference w:id="142"/>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403"/>
          <w:ilvl w:val="0"/>
        </w:numPr>
      </w:pPr>
      <w:r>
        <w:t xml:space="preserve">Žaloba proti rozhodnutí správního orgánu</w:t>
      </w:r>
    </w:p>
    <w:p>
      <w:pPr>
        <w:pStyle w:val="Compact"/>
        <w:numPr>
          <w:numId w:val="1403"/>
          <w:ilvl w:val="0"/>
        </w:numPr>
      </w:pPr>
      <w:r>
        <w:t xml:space="preserve">Žaloba na odstranění nečinnosti</w:t>
      </w:r>
    </w:p>
    <w:p>
      <w:pPr>
        <w:pStyle w:val="Compact"/>
        <w:numPr>
          <w:numId w:val="1403"/>
          <w:ilvl w:val="0"/>
        </w:numPr>
      </w:pPr>
      <w:r>
        <w:t xml:space="preserve">Žaloba proti nezákonnému zásahu</w:t>
      </w:r>
    </w:p>
    <w:p>
      <w:pPr>
        <w:pStyle w:val="Compact"/>
        <w:numPr>
          <w:numId w:val="1403"/>
          <w:ilvl w:val="0"/>
        </w:numPr>
      </w:pPr>
      <w:r>
        <w:t xml:space="preserve">Řízení o zrušení opatření obecné povahy</w:t>
      </w:r>
    </w:p>
    <w:p>
      <w:pPr>
        <w:pStyle w:val="Heading3"/>
      </w:pPr>
      <w:bookmarkStart w:id="143" w:name="žaloba-proti-rozhodnutí-správního-orgánu"/>
      <w:bookmarkEnd w:id="143"/>
      <w:r>
        <w:t xml:space="preserve">Žaloba proti rozhodnutí správního orgánu</w:t>
      </w:r>
    </w:p>
    <w:p>
      <w:pPr>
        <w:pStyle w:val="FirstParagraph"/>
      </w:pPr>
      <w:r>
        <w:rPr>
          <w:b/>
        </w:rPr>
        <w:t xml:space="preserve">Kdo žalobu podává?</w:t>
      </w:r>
    </w:p>
    <w:p>
      <w:pPr>
        <w:pStyle w:val="Compact"/>
        <w:numPr>
          <w:numId w:val="1404"/>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405"/>
          <w:ilvl w:val="0"/>
        </w:numPr>
      </w:pPr>
      <w:r>
        <w:t xml:space="preserve">Chceme obvykle buď zrušení rozhodnutí, popřípadě vyslovení jeho nicotnosti.</w:t>
      </w:r>
    </w:p>
    <w:p>
      <w:pPr>
        <w:numPr>
          <w:numId w:val="1405"/>
          <w:ilvl w:val="0"/>
        </w:numPr>
      </w:pPr>
      <w:r>
        <w:t xml:space="preserve">Zvláštním případem žaloby může být snaha o upuštění od trestu za správní delikt nebo jeho snížení v mezích dovolených zákonem.</w:t>
      </w:r>
    </w:p>
    <w:p>
      <w:pPr>
        <w:pStyle w:val="Compact"/>
        <w:numPr>
          <w:numId w:val="1405"/>
          <w:ilvl w:val="0"/>
        </w:numPr>
      </w:pPr>
      <w:r>
        <w:t xml:space="preserve">Příklad:</w:t>
      </w:r>
    </w:p>
    <w:p>
      <w:pPr>
        <w:numPr>
          <w:numId w:val="1405"/>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406"/>
          <w:ilvl w:val="0"/>
        </w:numPr>
      </w:pPr>
      <w:r>
        <w:t xml:space="preserve">Žalovaným je správní orgán, který věc rozhodl v posledním stupni.</w:t>
      </w:r>
    </w:p>
    <w:p>
      <w:pPr>
        <w:pStyle w:val="Compact"/>
        <w:numPr>
          <w:numId w:val="1406"/>
          <w:ilvl w:val="0"/>
        </w:numPr>
      </w:pPr>
      <w:r>
        <w:t xml:space="preserve">Příklad:</w:t>
      </w:r>
    </w:p>
    <w:p>
      <w:pPr>
        <w:pStyle w:val="Compact"/>
        <w:numPr>
          <w:numId w:val="1407"/>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408"/>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408"/>
          <w:ilvl w:val="0"/>
        </w:numPr>
      </w:pPr>
      <w:r>
        <w:t xml:space="preserve">Příklad:</w:t>
      </w:r>
    </w:p>
    <w:p>
      <w:pPr>
        <w:pStyle w:val="Compact"/>
        <w:numPr>
          <w:numId w:val="1409"/>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410"/>
          <w:ilvl w:val="0"/>
        </w:numPr>
      </w:pPr>
      <w:r>
        <w:rPr>
          <w:b/>
        </w:rPr>
        <w:t xml:space="preserve">Ne vždy je podání žaloby možné. Žaloba není přípustná tehdy, jestliže např.:</w:t>
      </w:r>
    </w:p>
    <w:p>
      <w:pPr>
        <w:pStyle w:val="Compact"/>
        <w:numPr>
          <w:numId w:val="1411"/>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412"/>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412"/>
          <w:ilvl w:val="1"/>
        </w:numPr>
      </w:pPr>
      <w:r>
        <w:t xml:space="preserve">Žaloba je nepřípustná, protože nebyly vyčerpány řádné opravné prostředky.</w:t>
      </w:r>
    </w:p>
    <w:p>
      <w:pPr>
        <w:pStyle w:val="Compact"/>
        <w:numPr>
          <w:numId w:val="1412"/>
          <w:ilvl w:val="1"/>
        </w:numPr>
      </w:pPr>
      <w:r>
        <w:t xml:space="preserve">Příklad</w:t>
      </w:r>
    </w:p>
    <w:p>
      <w:pPr>
        <w:pStyle w:val="Compact"/>
        <w:numPr>
          <w:numId w:val="1412"/>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413"/>
          <w:ilvl w:val="1"/>
        </w:numPr>
      </w:pPr>
      <w:r>
        <w:rPr>
          <w:b/>
        </w:rPr>
        <w:t xml:space="preserve">Je-li jediným jejím důvodem tvrzená nicotnost napadeného rozhodnutí, nedomáhal-li se žalobce vyslovení této nicotnosti v řízení před správním orgánem</w:t>
      </w:r>
    </w:p>
    <w:p>
      <w:pPr>
        <w:pStyle w:val="Compact"/>
        <w:numPr>
          <w:numId w:val="1414"/>
          <w:ilvl w:val="1"/>
        </w:numPr>
      </w:pPr>
      <w:r>
        <w:t xml:space="preserve">Příklad</w:t>
      </w:r>
    </w:p>
    <w:p>
      <w:pPr>
        <w:pStyle w:val="Compact"/>
        <w:numPr>
          <w:numId w:val="1414"/>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415"/>
          <w:ilvl w:val="1"/>
        </w:numPr>
      </w:pPr>
      <w:r>
        <w:rPr>
          <w:b/>
        </w:rPr>
        <w:t xml:space="preserve">Směřuje-li jen proti důvodům rozhodnutí</w:t>
      </w:r>
    </w:p>
    <w:p>
      <w:pPr>
        <w:pStyle w:val="Compact"/>
        <w:numPr>
          <w:numId w:val="1416"/>
          <w:ilvl w:val="1"/>
        </w:numPr>
      </w:pPr>
      <w:r>
        <w:t xml:space="preserve">Příklad</w:t>
      </w:r>
    </w:p>
    <w:p>
      <w:pPr>
        <w:pStyle w:val="Compact"/>
        <w:numPr>
          <w:numId w:val="1416"/>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417"/>
          <w:ilvl w:val="1"/>
        </w:numPr>
      </w:pPr>
      <w:r>
        <w:rPr>
          <w:b/>
        </w:rPr>
        <w:t xml:space="preserve">Domáhá-li se přezkoumání rozhodnutí, které je z přezkoumání podle tohoto nebo zvláštního zákona vyloučeno.</w:t>
      </w:r>
    </w:p>
    <w:p>
      <w:pPr>
        <w:pStyle w:val="Compact"/>
        <w:numPr>
          <w:numId w:val="1418"/>
          <w:ilvl w:val="1"/>
        </w:numPr>
      </w:pPr>
      <w:r>
        <w:t xml:space="preserve">Ze soudního přezkoumání jsou vyloučeny např. následující úkony správního orgánu:</w:t>
      </w:r>
    </w:p>
    <w:p>
      <w:pPr>
        <w:pStyle w:val="Compact"/>
        <w:numPr>
          <w:numId w:val="1419"/>
          <w:ilvl w:val="2"/>
        </w:numPr>
      </w:pPr>
      <w:r>
        <w:t xml:space="preserve">které nejsou rozhodnutími</w:t>
      </w:r>
    </w:p>
    <w:p>
      <w:pPr>
        <w:pStyle w:val="Compact"/>
        <w:numPr>
          <w:numId w:val="1420"/>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421"/>
          <w:ilvl w:val="2"/>
        </w:numPr>
      </w:pPr>
      <w:r>
        <w:t xml:space="preserve">předběžné povahy</w:t>
      </w:r>
    </w:p>
    <w:p>
      <w:pPr>
        <w:pStyle w:val="Compact"/>
        <w:numPr>
          <w:numId w:val="1422"/>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423"/>
          <w:ilvl w:val="0"/>
        </w:numPr>
      </w:pPr>
      <w:r>
        <w:t xml:space="preserve">Žalobu je nutno podat do dvou měsíců od doručení rozhodnutí, které žalobou napadáme.</w:t>
      </w:r>
    </w:p>
    <w:p>
      <w:pPr>
        <w:pStyle w:val="Compact"/>
        <w:numPr>
          <w:numId w:val="1423"/>
          <w:ilvl w:val="0"/>
        </w:numPr>
      </w:pPr>
      <w:r>
        <w:t xml:space="preserve">Lhůta je zachována, byla-li žaloba ve lhůtě podána u správního orgánu, proti jehož rozhodnutí směřuje.</w:t>
      </w:r>
    </w:p>
    <w:p>
      <w:pPr>
        <w:pStyle w:val="Compact"/>
        <w:numPr>
          <w:numId w:val="1423"/>
          <w:ilvl w:val="0"/>
        </w:numPr>
      </w:pPr>
      <w:r>
        <w:t xml:space="preserve">Zmeškání lhůty pro podání žaloby nelze prominout.</w:t>
      </w:r>
    </w:p>
    <w:p>
      <w:pPr>
        <w:pStyle w:val="FirstParagraph"/>
      </w:pPr>
      <w:r>
        <w:rPr>
          <w:b/>
        </w:rPr>
        <w:t xml:space="preserve">Odkladný účinek žaloby:</w:t>
      </w:r>
    </w:p>
    <w:p>
      <w:pPr>
        <w:pStyle w:val="Compact"/>
        <w:numPr>
          <w:numId w:val="1424"/>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424"/>
          <w:ilvl w:val="0"/>
        </w:numPr>
      </w:pPr>
      <w:r>
        <w:t xml:space="preserve">Příklad:</w:t>
      </w:r>
    </w:p>
    <w:p>
      <w:pPr>
        <w:pStyle w:val="Compact"/>
        <w:numPr>
          <w:numId w:val="1425"/>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426"/>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426"/>
          <w:ilvl w:val="0"/>
        </w:numPr>
      </w:pPr>
      <w:r>
        <w:t xml:space="preserve">Rozhodnutí bez zbytečného odkladu, nejdéle do 30 dnů</w:t>
      </w:r>
    </w:p>
    <w:p>
      <w:pPr>
        <w:numPr>
          <w:numId w:val="1426"/>
          <w:ilvl w:val="0"/>
        </w:numPr>
      </w:pPr>
      <w:r>
        <w:t xml:space="preserve">Lze i u ostatních žalob, nejen proti rozhodnutí spr. org., je tedy širší</w:t>
      </w:r>
    </w:p>
    <w:p>
      <w:pPr>
        <w:pStyle w:val="Compact"/>
        <w:numPr>
          <w:numId w:val="1426"/>
          <w:ilvl w:val="0"/>
        </w:numPr>
      </w:pPr>
      <w:r>
        <w:t xml:space="preserve">Příklad:</w:t>
      </w:r>
    </w:p>
    <w:p>
      <w:pPr>
        <w:pStyle w:val="Compact"/>
        <w:numPr>
          <w:numId w:val="1426"/>
          <w:ilvl w:val="0"/>
        </w:numPr>
      </w:pPr>
      <w:r>
        <w:t xml:space="preserve">Firma ZZZ, s.r.o., požádala o posečkání daně. Byla zamítnuta, stejně tak i odvolání.</w:t>
      </w:r>
    </w:p>
    <w:p>
      <w:pPr>
        <w:pStyle w:val="Compact"/>
        <w:numPr>
          <w:numId w:val="1427"/>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428"/>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428"/>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429"/>
          <w:ilvl w:val="0"/>
        </w:numPr>
      </w:pPr>
      <w:r>
        <w:t xml:space="preserve">Ne vždy musí dojít k osobnímu jednání u soudu. K jednání nedojde v následujících případech:</w:t>
      </w:r>
    </w:p>
    <w:p>
      <w:pPr>
        <w:pStyle w:val="Compact"/>
        <w:numPr>
          <w:numId w:val="1430"/>
          <w:ilvl w:val="1"/>
        </w:numPr>
      </w:pPr>
      <w:r>
        <w:t xml:space="preserve">Důvody nezávislé na tom, zda si zúčastněné strany jednání přejí či nikoli.</w:t>
      </w:r>
    </w:p>
    <w:p>
      <w:pPr>
        <w:pStyle w:val="Compact"/>
        <w:numPr>
          <w:numId w:val="1431"/>
          <w:ilvl w:val="1"/>
        </w:numPr>
      </w:pPr>
      <w:r>
        <w:t xml:space="preserve">Soud totiž zruší napadené rozhodnutí pro vady řízení bez jednání rozsudkem:</w:t>
      </w:r>
    </w:p>
    <w:p>
      <w:pPr>
        <w:pStyle w:val="Compact"/>
        <w:numPr>
          <w:numId w:val="1432"/>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433"/>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434"/>
          <w:ilvl w:val="2"/>
        </w:numPr>
      </w:pPr>
      <w:r>
        <w:t xml:space="preserve">(Například za základ pro napadené rozhodnutí byla vzata výpověď důležitého svědka, přičemž protokol o jeho výslechu ve spise chybí).</w:t>
      </w:r>
    </w:p>
    <w:p>
      <w:pPr>
        <w:pStyle w:val="Compact"/>
        <w:numPr>
          <w:numId w:val="1435"/>
          <w:ilvl w:val="2"/>
        </w:numPr>
      </w:pPr>
      <w:r>
        <w:t xml:space="preserve">pro podstatné porušení ustanovení o řízení před správním orgánem, mohlo-li mít za následek nezákonné rozhodnutí o věci samé.</w:t>
      </w:r>
    </w:p>
    <w:p>
      <w:pPr>
        <w:pStyle w:val="Compact"/>
        <w:numPr>
          <w:numId w:val="1436"/>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437"/>
          <w:ilvl w:val="1"/>
        </w:numPr>
      </w:pPr>
      <w:r>
        <w:t xml:space="preserve">Dohoda účastníků řízení, o tom, že bude rozhodováno bez jednání.</w:t>
      </w:r>
    </w:p>
    <w:p>
      <w:pPr>
        <w:pStyle w:val="Compact"/>
        <w:numPr>
          <w:numId w:val="1438"/>
          <w:ilvl w:val="1"/>
        </w:numPr>
      </w:pPr>
      <w:r>
        <w:t xml:space="preserve">Soud může rozhodnout o věci samé bez jednání, jestliže to účastníci shodně navrhli nebo s tím souhlasí.</w:t>
      </w:r>
    </w:p>
    <w:p>
      <w:pPr>
        <w:pStyle w:val="Compact"/>
        <w:numPr>
          <w:numId w:val="1438"/>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440"/>
          <w:ilvl w:val="1"/>
        </w:numPr>
      </w:pPr>
      <w:r>
        <w:t xml:space="preserve">Žaloba není důvodná – soud žalobu zamítne</w:t>
      </w:r>
    </w:p>
    <w:p>
      <w:pPr>
        <w:pStyle w:val="Compact"/>
        <w:numPr>
          <w:numId w:val="1441"/>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439"/>
          <w:ilvl w:val="0"/>
        </w:numPr>
      </w:pPr>
      <w:r>
        <w:t xml:space="preserve">Příklad:</w:t>
      </w:r>
    </w:p>
    <w:p>
      <w:pPr>
        <w:pStyle w:val="Compact"/>
        <w:numPr>
          <w:numId w:val="1439"/>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442"/>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439"/>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439"/>
          <w:ilvl w:val="0"/>
        </w:numPr>
      </w:pPr>
      <w:r>
        <w:t xml:space="preserve">Napadené rozhodnutí soud zruší:</w:t>
      </w:r>
    </w:p>
    <w:p>
      <w:pPr>
        <w:pStyle w:val="Compact"/>
        <w:numPr>
          <w:numId w:val="1443"/>
          <w:ilvl w:val="1"/>
        </w:numPr>
      </w:pPr>
      <w:r>
        <w:t xml:space="preserve">pro nezákonnost</w:t>
      </w:r>
    </w:p>
    <w:p>
      <w:pPr>
        <w:pStyle w:val="Compact"/>
        <w:numPr>
          <w:numId w:val="1444"/>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444"/>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445"/>
          <w:ilvl w:val="1"/>
        </w:numPr>
      </w:pPr>
      <w:r>
        <w:t xml:space="preserve">pro vady řízení</w:t>
      </w:r>
    </w:p>
    <w:p>
      <w:pPr>
        <w:pStyle w:val="Compact"/>
        <w:numPr>
          <w:numId w:val="1446"/>
          <w:ilvl w:val="1"/>
        </w:numPr>
      </w:pPr>
      <w:r>
        <w:t xml:space="preserve">Příklad:</w:t>
      </w:r>
    </w:p>
    <w:p>
      <w:pPr>
        <w:pStyle w:val="Compact"/>
        <w:numPr>
          <w:numId w:val="1446"/>
          <w:ilvl w:val="1"/>
        </w:numPr>
      </w:pPr>
      <w:r>
        <w:t xml:space="preserve">Vadou řízení může být např. situace, kdy správce daně vyslechl svědka, ale neumožnil daňovému subjektu být přítomen jeho výslechu.</w:t>
      </w:r>
    </w:p>
    <w:p>
      <w:pPr>
        <w:pStyle w:val="Compact"/>
        <w:numPr>
          <w:numId w:val="1439"/>
          <w:ilvl w:val="0"/>
        </w:numPr>
      </w:pPr>
      <w:r>
        <w:t xml:space="preserve">Zvláštním případem rozsudku bude situace, kdy soud rozhoduje o žalobě proti rozhodnutí, jímž správní orgán uložil trest za správní delikt.</w:t>
      </w:r>
    </w:p>
    <w:p>
      <w:pPr>
        <w:numPr>
          <w:numId w:val="1439"/>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439"/>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447"/>
          <w:ilvl w:val="1"/>
        </w:numPr>
      </w:pPr>
      <w:r>
        <w:t xml:space="preserve">upustit od něj</w:t>
      </w:r>
    </w:p>
    <w:p>
      <w:pPr>
        <w:pStyle w:val="Compact"/>
        <w:numPr>
          <w:numId w:val="1448"/>
          <w:ilvl w:val="1"/>
        </w:numPr>
      </w:pPr>
      <w:r>
        <w:t xml:space="preserve">nebo jej snížit v mezích zákonem dovolených.</w:t>
      </w:r>
    </w:p>
    <w:p>
      <w:pPr>
        <w:pStyle w:val="Compact"/>
        <w:numPr>
          <w:numId w:val="1439"/>
          <w:ilvl w:val="0"/>
        </w:numPr>
      </w:pPr>
      <w:r>
        <w:t xml:space="preserve">To jde pouze v případě, že:</w:t>
      </w:r>
    </w:p>
    <w:p>
      <w:pPr>
        <w:pStyle w:val="Compact"/>
        <w:numPr>
          <w:numId w:val="1449"/>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449"/>
          <w:ilvl w:val="1"/>
        </w:numPr>
      </w:pPr>
      <w:r>
        <w:t xml:space="preserve">a navrhl-li takový postup žalobce v žalobě.</w:t>
      </w:r>
    </w:p>
    <w:p>
      <w:pPr>
        <w:numPr>
          <w:numId w:val="1439"/>
          <w:ilvl w:val="0"/>
        </w:numPr>
      </w:pPr>
      <w:r>
        <w:t xml:space="preserve">Soud by tedy mohl v takových případech stanovit novou, konkrétní „odpovídající“ výši pokuty.</w:t>
      </w:r>
    </w:p>
    <w:p>
      <w:pPr>
        <w:pStyle w:val="Heading3"/>
      </w:pPr>
      <w:bookmarkStart w:id="144" w:name="žaloba-proti-nečinnosti"/>
      <w:bookmarkEnd w:id="144"/>
      <w:r>
        <w:t xml:space="preserve">Žaloba proti nečinnosti</w:t>
      </w:r>
    </w:p>
    <w:p>
      <w:pPr>
        <w:pStyle w:val="Compact"/>
        <w:numPr>
          <w:numId w:val="1450"/>
          <w:ilvl w:val="0"/>
        </w:numPr>
      </w:pPr>
      <w:r>
        <w:t xml:space="preserve">V praxi se setkáváme se situací, kdy máme pocit, že správní orgány naše řízení neúměrně protahují, že mohlo být již dávno skončeno.</w:t>
      </w:r>
    </w:p>
    <w:p>
      <w:pPr>
        <w:pStyle w:val="Compact"/>
        <w:numPr>
          <w:numId w:val="1450"/>
          <w:ilvl w:val="0"/>
        </w:numPr>
      </w:pPr>
      <w:r>
        <w:t xml:space="preserve">Příklad:</w:t>
      </w:r>
    </w:p>
    <w:p>
      <w:pPr>
        <w:pStyle w:val="Compact"/>
        <w:numPr>
          <w:numId w:val="1451"/>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450"/>
          <w:ilvl w:val="0"/>
        </w:numPr>
      </w:pPr>
      <w:r>
        <w:t xml:space="preserve">Čeho se můžeme žalobou domáhat</w:t>
      </w:r>
    </w:p>
    <w:p>
      <w:pPr>
        <w:pStyle w:val="Compact"/>
        <w:numPr>
          <w:numId w:val="1450"/>
          <w:ilvl w:val="0"/>
        </w:numPr>
      </w:pPr>
      <w:r>
        <w:t xml:space="preserve">Žalobou se můžeme domáhat, aby soud uložil správnímu orgánu povinnost vydat rozhodnutí ve věci samé nebo osvědčení.</w:t>
      </w:r>
    </w:p>
    <w:p>
      <w:pPr>
        <w:pStyle w:val="Compact"/>
        <w:numPr>
          <w:numId w:val="1450"/>
          <w:ilvl w:val="0"/>
        </w:numPr>
      </w:pPr>
      <w:r>
        <w:t xml:space="preserve">Pokud se bude protahovat řízení o odvolání, rozhodnutí o registraci apod., tedy situace, kdy příslušné řízení končí vydáním nějakého rozhodnutí či osvědčení, je žaloba možná.</w:t>
      </w:r>
    </w:p>
    <w:p>
      <w:pPr>
        <w:numPr>
          <w:numId w:val="1450"/>
          <w:ilvl w:val="0"/>
        </w:numPr>
      </w:pPr>
      <w:r>
        <w:rPr>
          <w:b/>
        </w:rPr>
        <w:t xml:space="preserve">Pokud nedochází nutně k vystavení rozhodnutí (postup k odstranění pochybností, daňová kontrola) – je nutno podat žalobu na nezákonný zásah.</w:t>
      </w:r>
    </w:p>
    <w:p>
      <w:pPr>
        <w:pStyle w:val="Compact"/>
        <w:numPr>
          <w:numId w:val="1450"/>
          <w:ilvl w:val="0"/>
        </w:numPr>
      </w:pPr>
      <w:r>
        <w:t xml:space="preserve">Opravné prostředky před podáním žaloby</w:t>
      </w:r>
    </w:p>
    <w:p>
      <w:pPr>
        <w:pStyle w:val="Compact"/>
        <w:numPr>
          <w:numId w:val="1450"/>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452"/>
          <w:ilvl w:val="1"/>
        </w:numPr>
      </w:pPr>
      <w:r>
        <w:t xml:space="preserve">Příklad:</w:t>
      </w:r>
    </w:p>
    <w:p>
      <w:pPr>
        <w:pStyle w:val="Compact"/>
        <w:numPr>
          <w:numId w:val="1452"/>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450"/>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450"/>
          <w:ilvl w:val="0"/>
        </w:numPr>
      </w:pPr>
      <w:r>
        <w:t xml:space="preserve">Příklad:</w:t>
      </w:r>
    </w:p>
    <w:p>
      <w:pPr>
        <w:pStyle w:val="Compact"/>
        <w:numPr>
          <w:numId w:val="1453"/>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450"/>
          <w:ilvl w:val="0"/>
        </w:numPr>
      </w:pPr>
      <w:r>
        <w:t xml:space="preserve">Koho a kde žalovat:</w:t>
      </w:r>
    </w:p>
    <w:p>
      <w:pPr>
        <w:numPr>
          <w:numId w:val="1450"/>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450"/>
          <w:ilvl w:val="0"/>
        </w:numPr>
      </w:pPr>
      <w:r>
        <w:t xml:space="preserve">Lhůta pro podání žaloby:</w:t>
      </w:r>
    </w:p>
    <w:p>
      <w:pPr>
        <w:pStyle w:val="Compact"/>
        <w:numPr>
          <w:numId w:val="1450"/>
          <w:ilvl w:val="0"/>
        </w:numPr>
      </w:pPr>
      <w:r>
        <w:t xml:space="preserve">SŘS stanovuje dvě možné lhůty:</w:t>
      </w:r>
    </w:p>
    <w:p>
      <w:pPr>
        <w:pStyle w:val="Compact"/>
        <w:numPr>
          <w:numId w:val="1455"/>
          <w:ilvl w:val="2"/>
        </w:numPr>
      </w:pPr>
      <w:r>
        <w:t xml:space="preserve">Pro rozhodnutí správního orgánu je stanovena zákonem konkrétní lhůta, kterou správní orgán nedodržel</w:t>
      </w:r>
    </w:p>
    <w:p>
      <w:pPr>
        <w:pStyle w:val="Compact"/>
        <w:numPr>
          <w:numId w:val="1454"/>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454"/>
          <w:ilvl w:val="1"/>
        </w:numPr>
      </w:pPr>
      <w:r>
        <w:t xml:space="preserve">Příklad:</w:t>
      </w:r>
    </w:p>
    <w:p>
      <w:pPr>
        <w:pStyle w:val="Compact"/>
        <w:numPr>
          <w:numId w:val="1456"/>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457"/>
          <w:ilvl w:val="2"/>
        </w:numPr>
      </w:pPr>
      <w:r>
        <w:t xml:space="preserve">Pro rozhodnutí správního orgánu není stanovena zákonem konkrétní lhůta</w:t>
      </w:r>
    </w:p>
    <w:p>
      <w:pPr>
        <w:pStyle w:val="Compact"/>
        <w:numPr>
          <w:numId w:val="1454"/>
          <w:ilvl w:val="1"/>
        </w:numPr>
      </w:pPr>
      <w:r>
        <w:t xml:space="preserve">SŘS pak umožňuje podat žalobu do jednoho roku ode dne, kdy byl žalobcem vůči správnímu orgánu nebo správním orgánem proti žalobci učiněn poslední úkon.</w:t>
      </w:r>
    </w:p>
    <w:p>
      <w:pPr>
        <w:pStyle w:val="Compact"/>
        <w:numPr>
          <w:numId w:val="1454"/>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454"/>
          <w:ilvl w:val="1"/>
        </w:numPr>
      </w:pPr>
      <w:r>
        <w:t xml:space="preserve">Možné jsou i žaloby v případech protahování vyřízení žádostí o prominutí daně, žádostí o posečkání daně a povolení splátek, apod.</w:t>
      </w:r>
    </w:p>
    <w:p>
      <w:pPr>
        <w:pStyle w:val="Compact"/>
        <w:numPr>
          <w:numId w:val="1450"/>
          <w:ilvl w:val="0"/>
        </w:numPr>
      </w:pPr>
      <w:r>
        <w:t xml:space="preserve">Výsledek soudu – rozsudek</w:t>
      </w:r>
    </w:p>
    <w:p>
      <w:pPr>
        <w:pStyle w:val="Compact"/>
        <w:numPr>
          <w:numId w:val="1450"/>
          <w:ilvl w:val="0"/>
        </w:numPr>
      </w:pPr>
      <w:r>
        <w:t xml:space="preserve">Soud rozhoduje na základě skutkového stavu zjištěného ke dni svého rozhodnutí.</w:t>
      </w:r>
    </w:p>
    <w:p>
      <w:pPr>
        <w:numPr>
          <w:numId w:val="1450"/>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450"/>
          <w:ilvl w:val="0"/>
        </w:numPr>
      </w:pPr>
      <w:r>
        <w:t xml:space="preserve">Soud zamítne žalobu, není-li důvodná.</w:t>
      </w:r>
    </w:p>
    <w:p>
      <w:pPr>
        <w:pStyle w:val="Compact"/>
        <w:numPr>
          <w:numId w:val="1450"/>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450"/>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45" w:name="žaloba-proti-nezákonnému-zásahu"/>
      <w:bookmarkEnd w:id="145"/>
      <w:r>
        <w:t xml:space="preserve">Žaloba proti nezákonnému zásahu</w:t>
      </w:r>
    </w:p>
    <w:p>
      <w:pPr>
        <w:pStyle w:val="Compact"/>
        <w:numPr>
          <w:numId w:val="1458"/>
          <w:ilvl w:val="0"/>
        </w:numPr>
      </w:pPr>
      <w:r>
        <w:t xml:space="preserve">V jakém případě žalobu podat</w:t>
      </w:r>
    </w:p>
    <w:p>
      <w:pPr>
        <w:pStyle w:val="Compact"/>
        <w:numPr>
          <w:numId w:val="1458"/>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458"/>
          <w:ilvl w:val="0"/>
        </w:numPr>
      </w:pPr>
      <w:r>
        <w:t xml:space="preserve">Můžeme se tedy pokusit žalovat např. nezákonně prováděnou kontrolu v případě, že na ni dle našeho názoru neměl správce daně nárok.</w:t>
      </w:r>
    </w:p>
    <w:p>
      <w:pPr>
        <w:pStyle w:val="Compact"/>
        <w:numPr>
          <w:numId w:val="1458"/>
          <w:ilvl w:val="0"/>
        </w:numPr>
      </w:pPr>
      <w:r>
        <w:t xml:space="preserve">Koho žalovat</w:t>
      </w:r>
    </w:p>
    <w:p>
      <w:pPr>
        <w:numPr>
          <w:numId w:val="1458"/>
          <w:ilvl w:val="0"/>
        </w:numPr>
      </w:pPr>
      <w:r>
        <w:t xml:space="preserve">Žalovaným je správní orgán, který podle žalobního tvrzení provedl zásah.</w:t>
      </w:r>
    </w:p>
    <w:p>
      <w:pPr>
        <w:pStyle w:val="Compact"/>
        <w:numPr>
          <w:numId w:val="1458"/>
          <w:ilvl w:val="0"/>
        </w:numPr>
      </w:pPr>
      <w:r>
        <w:t xml:space="preserve">Do kdy žalobu podat?</w:t>
      </w:r>
    </w:p>
    <w:p>
      <w:pPr>
        <w:numPr>
          <w:numId w:val="1458"/>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458"/>
          <w:ilvl w:val="0"/>
        </w:numPr>
      </w:pPr>
      <w:r>
        <w:t xml:space="preserve">Náležitosti žaloby</w:t>
      </w:r>
    </w:p>
    <w:p>
      <w:pPr>
        <w:pStyle w:val="Compact"/>
        <w:numPr>
          <w:numId w:val="1458"/>
          <w:ilvl w:val="0"/>
        </w:numPr>
      </w:pPr>
      <w:r>
        <w:t xml:space="preserve">Žaloba mimo obecných náležitostí podání musí obsahovat</w:t>
      </w:r>
    </w:p>
    <w:p>
      <w:pPr>
        <w:pStyle w:val="Compact"/>
        <w:numPr>
          <w:numId w:val="1460"/>
          <w:ilvl w:val="2"/>
        </w:numPr>
      </w:pPr>
      <w:r>
        <w:t xml:space="preserve">označení zásahu, proti němuž se žalobce ochrany domáhá,</w:t>
      </w:r>
    </w:p>
    <w:p>
      <w:pPr>
        <w:pStyle w:val="Compact"/>
        <w:numPr>
          <w:numId w:val="1461"/>
          <w:ilvl w:val="2"/>
        </w:numPr>
      </w:pPr>
      <w:r>
        <w:t xml:space="preserve">vylíčení rozhodujících skutečností,</w:t>
      </w:r>
    </w:p>
    <w:p>
      <w:pPr>
        <w:pStyle w:val="Compact"/>
        <w:numPr>
          <w:numId w:val="1462"/>
          <w:ilvl w:val="2"/>
        </w:numPr>
      </w:pPr>
      <w:r>
        <w:t xml:space="preserve">označení důkazů, jichž se žalobce dovolává,</w:t>
      </w:r>
    </w:p>
    <w:p>
      <w:pPr>
        <w:pStyle w:val="Compact"/>
        <w:numPr>
          <w:numId w:val="1463"/>
          <w:ilvl w:val="2"/>
        </w:numPr>
      </w:pPr>
      <w:r>
        <w:t xml:space="preserve">návrh výroku rozsudku.</w:t>
      </w:r>
    </w:p>
    <w:p>
      <w:pPr>
        <w:pStyle w:val="Compact"/>
        <w:numPr>
          <w:numId w:val="1458"/>
          <w:ilvl w:val="0"/>
        </w:numPr>
      </w:pPr>
      <w:r>
        <w:t xml:space="preserve">Výsledek soudu – rozsudek</w:t>
      </w:r>
    </w:p>
    <w:p>
      <w:pPr>
        <w:pStyle w:val="Compact"/>
        <w:numPr>
          <w:numId w:val="1458"/>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458"/>
          <w:ilvl w:val="0"/>
        </w:numPr>
      </w:pPr>
      <w:r>
        <w:t xml:space="preserve">Soud samozřejmě může žalobu zamítnout, není-li důvodná.</w:t>
      </w:r>
    </w:p>
    <w:p>
      <w:pPr>
        <w:pStyle w:val="Heading3"/>
      </w:pPr>
      <w:bookmarkStart w:id="146" w:name="řízení-ve-věcech-opatření-obecné-povahy"/>
      <w:bookmarkEnd w:id="146"/>
      <w:r>
        <w:t xml:space="preserve">Řízení ve věcech opatření obecné povahy</w:t>
      </w:r>
    </w:p>
    <w:p>
      <w:pPr>
        <w:pStyle w:val="Compact"/>
        <w:numPr>
          <w:numId w:val="1464"/>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464"/>
          <w:ilvl w:val="0"/>
        </w:numPr>
      </w:pPr>
      <w:r>
        <w:t xml:space="preserve">Opatření obecné povahy je, jinak řečeno, správním aktem s konkrétně určeným předmětem a obecně vymezeným okruhem adresátů (§ 101a, 101b, 101d s. ř. s.).</w:t>
      </w:r>
    </w:p>
    <w:p>
      <w:pPr>
        <w:pStyle w:val="Compact"/>
        <w:numPr>
          <w:numId w:val="1464"/>
          <w:ilvl w:val="0"/>
        </w:numPr>
      </w:pPr>
      <w:r>
        <w:t xml:space="preserve">Příklady opatření obecné povahy</w:t>
      </w:r>
    </w:p>
    <w:p>
      <w:pPr>
        <w:pStyle w:val="Compact"/>
        <w:numPr>
          <w:numId w:val="1464"/>
          <w:ilvl w:val="0"/>
        </w:numPr>
      </w:pPr>
      <w:r>
        <w:t xml:space="preserve">územní plán</w:t>
      </w:r>
    </w:p>
    <w:p>
      <w:pPr>
        <w:pStyle w:val="Compact"/>
        <w:numPr>
          <w:numId w:val="1464"/>
          <w:ilvl w:val="0"/>
        </w:numPr>
      </w:pPr>
      <w:r>
        <w:t xml:space="preserve">stanovení záplavového území</w:t>
      </w:r>
    </w:p>
    <w:p>
      <w:pPr>
        <w:pStyle w:val="Compact"/>
        <w:numPr>
          <w:numId w:val="1464"/>
          <w:ilvl w:val="0"/>
        </w:numPr>
      </w:pPr>
      <w:r>
        <w:t xml:space="preserve">stanovení ochranného pásma vodních zdrojů</w:t>
      </w:r>
    </w:p>
    <w:p>
      <w:pPr>
        <w:numPr>
          <w:numId w:val="1464"/>
          <w:ilvl w:val="0"/>
        </w:numPr>
      </w:pPr>
      <w:r>
        <w:t xml:space="preserve">stanovení místní nebo přechodné úpravy provozu na pozemních komunikacích dopravními značkami a dopravními zařízeními</w:t>
      </w:r>
    </w:p>
    <w:p>
      <w:pPr>
        <w:pStyle w:val="Compact"/>
        <w:numPr>
          <w:numId w:val="1464"/>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464"/>
          <w:ilvl w:val="0"/>
        </w:numPr>
      </w:pPr>
      <w:r>
        <w:t xml:space="preserve">soulad opatření obecné povahy se zákonem,</w:t>
      </w:r>
    </w:p>
    <w:p>
      <w:pPr>
        <w:pStyle w:val="Compact"/>
        <w:numPr>
          <w:numId w:val="1464"/>
          <w:ilvl w:val="0"/>
        </w:numPr>
      </w:pPr>
      <w:r>
        <w:t xml:space="preserve">zda ten, kdo je vydal, postupoval v mezích své působnosti a pravomoci,</w:t>
      </w:r>
    </w:p>
    <w:p>
      <w:pPr>
        <w:numPr>
          <w:numId w:val="1464"/>
          <w:ilvl w:val="0"/>
        </w:numPr>
      </w:pPr>
      <w:r>
        <w:t xml:space="preserve">zda opatření obecné povahy bylo vydáno zákonem stanoveným způsobem.</w:t>
      </w:r>
    </w:p>
    <w:p>
      <w:pPr>
        <w:pStyle w:val="Heading3"/>
      </w:pPr>
      <w:bookmarkStart w:id="147" w:name="opravné-prostředky-ve-správním-soudnictví-kasační-stížnost-obnova-řízení"/>
      <w:bookmarkEnd w:id="147"/>
      <w:r>
        <w:t xml:space="preserve">Opravné prostředky ve správním soudnictví – kasační stížnost, obnova řízení</w:t>
      </w:r>
    </w:p>
    <w:p>
      <w:pPr>
        <w:pStyle w:val="Compact"/>
        <w:numPr>
          <w:numId w:val="1465"/>
          <w:ilvl w:val="0"/>
        </w:numPr>
      </w:pPr>
      <w:r>
        <w:t xml:space="preserve">Kdo může žalobu podat - zastupování</w:t>
      </w:r>
    </w:p>
    <w:p>
      <w:pPr>
        <w:pStyle w:val="Compact"/>
        <w:numPr>
          <w:numId w:val="1465"/>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465"/>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465"/>
          <w:ilvl w:val="0"/>
        </w:numPr>
      </w:pPr>
      <w:r>
        <w:t xml:space="preserve">Důvody kasační stížnosti</w:t>
      </w:r>
    </w:p>
    <w:p>
      <w:pPr>
        <w:pStyle w:val="Compact"/>
        <w:numPr>
          <w:numId w:val="1465"/>
          <w:ilvl w:val="0"/>
        </w:numPr>
      </w:pPr>
      <w:r>
        <w:t xml:space="preserve">Kasační stížnost lze podat pouze z důvodu tvrzené:</w:t>
      </w:r>
    </w:p>
    <w:p>
      <w:pPr>
        <w:pStyle w:val="Compact"/>
        <w:numPr>
          <w:numId w:val="1467"/>
          <w:ilvl w:val="2"/>
        </w:numPr>
      </w:pPr>
      <w:r>
        <w:t xml:space="preserve">nezákonnosti spočívající v nesprávném posouzení právní otázky soudem v předcházejícím řízení,</w:t>
      </w:r>
    </w:p>
    <w:p>
      <w:pPr>
        <w:pStyle w:val="Compact"/>
        <w:numPr>
          <w:numId w:val="1468"/>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469"/>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470"/>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465"/>
          <w:ilvl w:val="0"/>
        </w:numPr>
      </w:pPr>
      <w:r>
        <w:t xml:space="preserve">Nepřípustnost stížnosti</w:t>
      </w:r>
    </w:p>
    <w:p>
      <w:pPr>
        <w:pStyle w:val="Compact"/>
        <w:numPr>
          <w:numId w:val="1465"/>
          <w:ilvl w:val="0"/>
        </w:numPr>
      </w:pPr>
      <w:r>
        <w:t xml:space="preserve">Kasační stížnost je nepřípustná, jestliže:</w:t>
      </w:r>
    </w:p>
    <w:p>
      <w:pPr>
        <w:pStyle w:val="Compact"/>
        <w:numPr>
          <w:numId w:val="1471"/>
          <w:ilvl w:val="1"/>
        </w:numPr>
      </w:pPr>
      <w:r>
        <w:t xml:space="preserve">směřuje jen proti výroku o nákladech řízení nebo proti důvodům rozhodnutí soudu, je nepřípustná,</w:t>
      </w:r>
    </w:p>
    <w:p>
      <w:pPr>
        <w:pStyle w:val="Compact"/>
        <w:numPr>
          <w:numId w:val="1471"/>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471"/>
          <w:ilvl w:val="1"/>
        </w:numPr>
      </w:pPr>
      <w:r>
        <w:t xml:space="preserve">proti rozhodnutí, jímž se pouze upravuje vedení řízení</w:t>
      </w:r>
    </w:p>
    <w:p>
      <w:pPr>
        <w:pStyle w:val="Compact"/>
        <w:numPr>
          <w:numId w:val="1471"/>
          <w:ilvl w:val="1"/>
        </w:numPr>
      </w:pPr>
      <w:r>
        <w:t xml:space="preserve">proti rozhodnutí, které je podle své povahy dočasné,</w:t>
      </w:r>
    </w:p>
    <w:p>
      <w:pPr>
        <w:pStyle w:val="Compact"/>
        <w:numPr>
          <w:numId w:val="1471"/>
          <w:ilvl w:val="1"/>
        </w:numPr>
      </w:pPr>
      <w:r>
        <w:t xml:space="preserve">opírá-li se jen o jiné důvody, než které jsou uvedeny v textu týkajících se důvodů pro kasační stížnost</w:t>
      </w:r>
    </w:p>
    <w:p>
      <w:pPr>
        <w:pStyle w:val="Compact"/>
        <w:numPr>
          <w:numId w:val="1471"/>
          <w:ilvl w:val="1"/>
        </w:numPr>
      </w:pPr>
      <w:r>
        <w:t xml:space="preserve">opírá-li se o důvody, které stěžovatel neuplatnil v řízení před soudem, jehož rozhodnutí má být přezkoumáno, ač tak učinit mohl.</w:t>
      </w:r>
    </w:p>
    <w:p>
      <w:pPr>
        <w:pStyle w:val="Compact"/>
        <w:numPr>
          <w:numId w:val="1465"/>
          <w:ilvl w:val="0"/>
        </w:numPr>
      </w:pPr>
      <w:r>
        <w:t xml:space="preserve">Kdy a kam podat kasační stížnost</w:t>
      </w:r>
    </w:p>
    <w:p>
      <w:pPr>
        <w:pStyle w:val="Compact"/>
        <w:numPr>
          <w:numId w:val="1465"/>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465"/>
          <w:ilvl w:val="0"/>
        </w:numPr>
      </w:pPr>
      <w:r>
        <w:t xml:space="preserve">Kasační stížnost musí být podána do dvou týdnů po doručení rozhodnutí, které napadáme.</w:t>
      </w:r>
    </w:p>
    <w:p>
      <w:pPr>
        <w:numPr>
          <w:numId w:val="1465"/>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465"/>
          <w:ilvl w:val="0"/>
        </w:numPr>
      </w:pPr>
      <w:r>
        <w:t xml:space="preserve">Náležitosti stížnosti</w:t>
      </w:r>
    </w:p>
    <w:p>
      <w:pPr>
        <w:pStyle w:val="Compact"/>
        <w:numPr>
          <w:numId w:val="1465"/>
          <w:ilvl w:val="0"/>
        </w:numPr>
      </w:pPr>
      <w:r>
        <w:t xml:space="preserve">Kromě obecných náležitostí podání musí kasační stížnost</w:t>
      </w:r>
    </w:p>
    <w:p>
      <w:pPr>
        <w:numPr>
          <w:numId w:val="1465"/>
          <w:ilvl w:val="0"/>
        </w:numPr>
      </w:pPr>
      <w:r>
        <w:t xml:space="preserve">obsahovat označení rozhodnutí, proti němuž směřuje, v jakém rozsahu a z jakých důvodů jej stěžovatel napadá, údaj o tom, kdy mu rozhodnutí bylo doručeno.</w:t>
      </w:r>
    </w:p>
    <w:p>
      <w:pPr>
        <w:pStyle w:val="Compact"/>
        <w:numPr>
          <w:numId w:val="1465"/>
          <w:ilvl w:val="0"/>
        </w:numPr>
      </w:pPr>
      <w:r>
        <w:t xml:space="preserve">Odkladný účinek</w:t>
      </w:r>
    </w:p>
    <w:p>
      <w:pPr>
        <w:numPr>
          <w:numId w:val="1465"/>
          <w:ilvl w:val="0"/>
        </w:numPr>
      </w:pPr>
      <w:r>
        <w:t xml:space="preserve">Kasační stížnost nemá odkladný účinek, Nejvyšší správní soud jej však může na návrh stěžovatele přiznat.</w:t>
      </w:r>
    </w:p>
    <w:p>
      <w:pPr>
        <w:pStyle w:val="Compact"/>
        <w:numPr>
          <w:numId w:val="1465"/>
          <w:ilvl w:val="0"/>
        </w:numPr>
      </w:pPr>
      <w:r>
        <w:t xml:space="preserve">Řízení před Nejvyšším správním soudem</w:t>
      </w:r>
    </w:p>
    <w:p>
      <w:pPr>
        <w:pStyle w:val="Compact"/>
        <w:numPr>
          <w:numId w:val="1465"/>
          <w:ilvl w:val="0"/>
        </w:numPr>
      </w:pPr>
      <w:r>
        <w:t xml:space="preserve">NSS rozhoduje v drtivé většině případů bez jednání</w:t>
      </w:r>
    </w:p>
    <w:p>
      <w:pPr>
        <w:pStyle w:val="Compact"/>
        <w:numPr>
          <w:numId w:val="1465"/>
          <w:ilvl w:val="0"/>
        </w:numPr>
      </w:pPr>
      <w:r>
        <w:t xml:space="preserve">NSS vázán rozsahem a důvody kasační stížnosti, nebude tedy vyhledávat argumenty v náš prospěch nad rámec, který jsme uvedli ve stížnosti. To však neplatí:</w:t>
      </w:r>
    </w:p>
    <w:p>
      <w:pPr>
        <w:pStyle w:val="Compact"/>
        <w:numPr>
          <w:numId w:val="1472"/>
          <w:ilvl w:val="1"/>
        </w:numPr>
      </w:pPr>
      <w:r>
        <w:t xml:space="preserve">v případech, je-li na napadeném výroku závislý výrok, který napaden nebyl,</w:t>
      </w:r>
    </w:p>
    <w:p>
      <w:pPr>
        <w:pStyle w:val="Compact"/>
        <w:numPr>
          <w:numId w:val="1472"/>
          <w:ilvl w:val="1"/>
        </w:numPr>
      </w:pPr>
      <w:r>
        <w:t xml:space="preserve">je-li rozhodnutí správního orgánu nicotné,</w:t>
      </w:r>
    </w:p>
    <w:p>
      <w:pPr>
        <w:pStyle w:val="Compact"/>
        <w:numPr>
          <w:numId w:val="1472"/>
          <w:ilvl w:val="1"/>
        </w:numPr>
      </w:pPr>
      <w:r>
        <w:t xml:space="preserve">bylo-li řízení před krajským soudem zmatečné,</w:t>
      </w:r>
    </w:p>
    <w:p>
      <w:pPr>
        <w:pStyle w:val="Compact"/>
        <w:numPr>
          <w:numId w:val="1472"/>
          <w:ilvl w:val="1"/>
        </w:numPr>
      </w:pPr>
      <w:r>
        <w:t xml:space="preserve">bylo řízení před krajským soudem zatíženo vadou, která mohla mít za následek nezákonné rozhodnutí o věci samé</w:t>
      </w:r>
    </w:p>
    <w:p>
      <w:pPr>
        <w:pStyle w:val="Compact"/>
        <w:numPr>
          <w:numId w:val="1472"/>
          <w:ilvl w:val="1"/>
        </w:numPr>
      </w:pPr>
      <w:r>
        <w:t xml:space="preserve">je-li napadené rozhodnutí nepřezkoumatelné,</w:t>
      </w:r>
    </w:p>
    <w:p>
      <w:pPr>
        <w:numPr>
          <w:numId w:val="1465"/>
          <w:ilvl w:val="0"/>
        </w:numPr>
      </w:pPr>
      <w:r>
        <w:t xml:space="preserve">Ke skutečnostem, které stěžovatel uplatnil poté, kdy bylo vydáno napadené rozhodnutí, Nejvyšší správní soud nepřihlíží.</w:t>
      </w:r>
    </w:p>
    <w:p>
      <w:pPr>
        <w:pStyle w:val="Compact"/>
        <w:numPr>
          <w:numId w:val="1465"/>
          <w:ilvl w:val="0"/>
        </w:numPr>
      </w:pPr>
      <w:r>
        <w:t xml:space="preserve">Rozsudek:</w:t>
      </w:r>
    </w:p>
    <w:p>
      <w:pPr>
        <w:pStyle w:val="Compact"/>
        <w:numPr>
          <w:numId w:val="1465"/>
          <w:ilvl w:val="0"/>
        </w:numPr>
      </w:pPr>
      <w:r>
        <w:t xml:space="preserve">Dospěje-li Nejvyšší správní soud k tomu, že kasační stížnost je důvodná, rozsudkem zruší rozhodnutí krajského soudu a věc mu vrátí k dalšímu řízení.</w:t>
      </w:r>
    </w:p>
    <w:p>
      <w:pPr>
        <w:pStyle w:val="Compact"/>
        <w:numPr>
          <w:numId w:val="1465"/>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465"/>
          <w:ilvl w:val="0"/>
        </w:numPr>
      </w:pPr>
      <w:r>
        <w:t xml:space="preserve">Není-li kasační stížnost důvodná, Nejvyšší správní soud ji rozsudkem zamítne.</w:t>
      </w:r>
    </w:p>
    <w:p>
      <w:pPr>
        <w:pStyle w:val="Compact"/>
        <w:numPr>
          <w:numId w:val="1465"/>
          <w:ilvl w:val="0"/>
        </w:numPr>
      </w:pPr>
      <w:r>
        <w:t xml:space="preserve">Obnova řízení</w:t>
      </w:r>
    </w:p>
    <w:p>
      <w:pPr>
        <w:pStyle w:val="Compact"/>
        <w:numPr>
          <w:numId w:val="1465"/>
          <w:ilvl w:val="0"/>
        </w:numPr>
      </w:pPr>
      <w:r>
        <w:t xml:space="preserve">Je přípustná jen v řízení o žalobách proti nezákonným zásahům a v řízení ve věcech politických stran, tedy tam, kde soud sám zjišťoval skutkový stav věci.</w:t>
      </w:r>
    </w:p>
    <w:p>
      <w:pPr>
        <w:pStyle w:val="Compact"/>
        <w:numPr>
          <w:numId w:val="1465"/>
          <w:ilvl w:val="0"/>
        </w:numPr>
      </w:pPr>
      <w:r>
        <w:t xml:space="preserve">Dvě fáze:</w:t>
      </w:r>
    </w:p>
    <w:p>
      <w:pPr>
        <w:pStyle w:val="Compact"/>
        <w:numPr>
          <w:numId w:val="1474"/>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475"/>
          <w:ilvl w:val="2"/>
        </w:numPr>
      </w:pPr>
      <w:r>
        <w:t xml:space="preserve">poté, kdy je obnova řízení povolena, se provede nové řízení ve věci samé.</w:t>
      </w:r>
    </w:p>
    <w:p>
      <w:pPr>
        <w:numPr>
          <w:numId w:val="1465"/>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465"/>
          <w:ilvl w:val="0"/>
        </w:numPr>
      </w:pPr>
      <w:r>
        <w:t xml:space="preserve">Co soudní řízení stojí?</w:t>
      </w:r>
    </w:p>
    <w:p>
      <w:pPr>
        <w:pStyle w:val="Compact"/>
        <w:numPr>
          <w:numId w:val="1465"/>
          <w:ilvl w:val="0"/>
        </w:numPr>
      </w:pPr>
      <w:r>
        <w:t xml:space="preserve">Zde se postupuje dle přílohy k zákonu č. 549/1991 Sb. O soudních poplatcích</w:t>
      </w:r>
    </w:p>
    <w:p>
      <w:pPr>
        <w:pStyle w:val="Compact"/>
        <w:numPr>
          <w:numId w:val="1465"/>
          <w:ilvl w:val="0"/>
        </w:numPr>
      </w:pPr>
      <w:r>
        <w:t xml:space="preserve">Položka 18 bod 2.</w:t>
      </w:r>
    </w:p>
    <w:p>
      <w:pPr>
        <w:pStyle w:val="Compact"/>
        <w:numPr>
          <w:numId w:val="1465"/>
          <w:ilvl w:val="0"/>
        </w:numPr>
      </w:pPr>
      <w:r>
        <w:t xml:space="preserve">Za žalobu nebo jiný návrh na zahájení řízení ve věcech správního soudnictví:</w:t>
      </w:r>
    </w:p>
    <w:p>
      <w:pPr>
        <w:pStyle w:val="Compact"/>
        <w:numPr>
          <w:numId w:val="1476"/>
          <w:ilvl w:val="1"/>
        </w:numPr>
      </w:pPr>
      <w:r>
        <w:t xml:space="preserve">proti rozhodnutí správního orgánu Kč 3 000,- (=většina případů)</w:t>
      </w:r>
    </w:p>
    <w:p>
      <w:pPr>
        <w:pStyle w:val="Compact"/>
        <w:numPr>
          <w:numId w:val="1476"/>
          <w:ilvl w:val="1"/>
        </w:numPr>
      </w:pPr>
      <w:r>
        <w:t xml:space="preserve">v ostatních případech Kč 2 000,-</w:t>
      </w:r>
    </w:p>
    <w:p>
      <w:pPr>
        <w:pStyle w:val="Compact"/>
        <w:numPr>
          <w:numId w:val="1465"/>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465"/>
          <w:ilvl w:val="0"/>
        </w:numPr>
      </w:pPr>
      <w:r>
        <w:t xml:space="preserve">Položka 15</w:t>
      </w:r>
    </w:p>
    <w:p>
      <w:pPr>
        <w:pStyle w:val="Compact"/>
        <w:numPr>
          <w:numId w:val="1477"/>
          <w:ilvl w:val="1"/>
        </w:numPr>
      </w:pPr>
      <w:r>
        <w:t xml:space="preserve">Za kasační stížnost k Nejvyššímu správnímu soudu Kč 5 000,-</w:t>
      </w:r>
    </w:p>
    <w:p>
      <w:pPr>
        <w:numPr>
          <w:numId w:val="1465"/>
          <w:ilvl w:val="0"/>
        </w:numPr>
      </w:pPr>
      <w:r>
        <w:t xml:space="preserve">Soudní poplatky se hradí vylepením kolkových známek na žalobu nebo převodem na účet soudu.</w:t>
      </w:r>
    </w:p>
    <w:p>
      <w:pPr>
        <w:pStyle w:val="Compact"/>
        <w:numPr>
          <w:numId w:val="1465"/>
          <w:ilvl w:val="0"/>
        </w:numPr>
      </w:pPr>
      <w:r>
        <w:t xml:space="preserve">Náklady řízení jsou zejména:</w:t>
      </w:r>
    </w:p>
    <w:p>
      <w:pPr>
        <w:pStyle w:val="Compact"/>
        <w:numPr>
          <w:numId w:val="1465"/>
          <w:ilvl w:val="0"/>
        </w:numPr>
      </w:pPr>
      <w:r>
        <w:t xml:space="preserve">hotové výdaje účastníků a jejich zástupců,</w:t>
      </w:r>
    </w:p>
    <w:p>
      <w:pPr>
        <w:pStyle w:val="Compact"/>
        <w:numPr>
          <w:numId w:val="1465"/>
          <w:ilvl w:val="0"/>
        </w:numPr>
      </w:pPr>
      <w:r>
        <w:t xml:space="preserve">soudní poplatky,</w:t>
      </w:r>
    </w:p>
    <w:p>
      <w:pPr>
        <w:pStyle w:val="Compact"/>
        <w:numPr>
          <w:numId w:val="1465"/>
          <w:ilvl w:val="0"/>
        </w:numPr>
      </w:pPr>
      <w:r>
        <w:t xml:space="preserve">ušlý výdělek účastníků a jejich zákonných zástupců,</w:t>
      </w:r>
    </w:p>
    <w:p>
      <w:pPr>
        <w:pStyle w:val="Compact"/>
        <w:numPr>
          <w:numId w:val="1465"/>
          <w:ilvl w:val="0"/>
        </w:numPr>
      </w:pPr>
      <w:r>
        <w:t xml:space="preserve">náklady spojené s dokazováním,</w:t>
      </w:r>
    </w:p>
    <w:p>
      <w:pPr>
        <w:pStyle w:val="Compact"/>
        <w:numPr>
          <w:numId w:val="1465"/>
          <w:ilvl w:val="0"/>
        </w:numPr>
      </w:pPr>
      <w:r>
        <w:t xml:space="preserve">odměna zástupce a jeho hotové výdaje,</w:t>
      </w:r>
    </w:p>
    <w:p>
      <w:pPr>
        <w:numPr>
          <w:numId w:val="1465"/>
          <w:ilvl w:val="0"/>
        </w:numPr>
      </w:pPr>
      <w:r>
        <w:t xml:space="preserve">tlumočné.</w:t>
      </w:r>
    </w:p>
    <w:p>
      <w:pPr>
        <w:pStyle w:val="Compact"/>
        <w:numPr>
          <w:numId w:val="1465"/>
          <w:ilvl w:val="0"/>
        </w:numPr>
      </w:pPr>
      <w:r>
        <w:t xml:space="preserve">Náklady řízení</w:t>
      </w:r>
    </w:p>
    <w:p>
      <w:pPr>
        <w:pStyle w:val="Compact"/>
        <w:numPr>
          <w:numId w:val="1465"/>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465"/>
          <w:ilvl w:val="0"/>
        </w:numPr>
      </w:pPr>
      <w:r>
        <w:t xml:space="preserve">Protistrana (např. finanční úřad či jiný státní orgán) obvykle náklady řízení přiznány nedostane.</w:t>
      </w:r>
    </w:p>
    <w:p>
      <w:pPr>
        <w:pStyle w:val="Heading2"/>
      </w:pPr>
      <w:bookmarkStart w:id="148" w:name="role-judikatury-správního-ústavního-a-evropského-soudnictví-v-daňovém-právu"/>
      <w:bookmarkEnd w:id="148"/>
      <w:r>
        <w:t xml:space="preserve">24. Role judikatury správního, ústavního a evropského soudnictví v daňovém právu</w:t>
      </w:r>
    </w:p>
    <w:p>
      <w:pPr>
        <w:pStyle w:val="Compact"/>
        <w:numPr>
          <w:numId w:val="1478"/>
          <w:ilvl w:val="0"/>
        </w:numPr>
      </w:pPr>
      <w:r>
        <w:t xml:space="preserve">Ústavní principy jasně vymezují:</w:t>
      </w:r>
    </w:p>
    <w:p>
      <w:pPr>
        <w:pStyle w:val="Compact"/>
        <w:numPr>
          <w:numId w:val="1478"/>
          <w:ilvl w:val="0"/>
        </w:numPr>
      </w:pPr>
      <w:r>
        <w:t xml:space="preserve">obsah hmotněprávních a procesněprávních daňových podústavních předpisů,</w:t>
      </w:r>
    </w:p>
    <w:p>
      <w:pPr>
        <w:numPr>
          <w:numId w:val="1478"/>
          <w:ilvl w:val="0"/>
        </w:numPr>
      </w:pPr>
      <w:r>
        <w:t xml:space="preserve">tak rámec jejich interpretace a aplikace</w:t>
      </w:r>
      <w:r>
        <w:rPr>
          <w:rStyle w:val="FootnoteReference"/>
        </w:rPr>
        <w:footnoteReference w:id="149"/>
      </w:r>
      <w:r>
        <w:t xml:space="preserve">.</w:t>
      </w:r>
    </w:p>
    <w:p>
      <w:pPr>
        <w:pStyle w:val="Compact"/>
        <w:numPr>
          <w:numId w:val="1478"/>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478"/>
          <w:ilvl w:val="0"/>
        </w:numPr>
      </w:pPr>
      <w:r>
        <w:t xml:space="preserve">Judikatura správních soudů spočívá v předpokladu stálosti rozhodování - soud by se tak neměl odchýlit od ustálené soudní praxe.</w:t>
      </w:r>
    </w:p>
    <w:p>
      <w:pPr>
        <w:numPr>
          <w:numId w:val="1478"/>
          <w:ilvl w:val="0"/>
        </w:numPr>
      </w:pPr>
      <w:r>
        <w:t xml:space="preserve">Ústavní soud však neřeší otázku z pohledu věci samé, řeší, zda bylo jednání orgánu veřejné moci, či soudní moci zasaženo do ZLP stěžovatele.</w:t>
      </w:r>
    </w:p>
    <w:p>
      <w:pPr>
        <w:pStyle w:val="Compact"/>
        <w:numPr>
          <w:numId w:val="1478"/>
          <w:ilvl w:val="0"/>
        </w:numPr>
      </w:pPr>
      <w:r>
        <w:t xml:space="preserve">Evropské soudnictví je důležité ze dvou bodů:</w:t>
      </w:r>
    </w:p>
    <w:p>
      <w:pPr>
        <w:pStyle w:val="Compact"/>
        <w:numPr>
          <w:numId w:val="1478"/>
          <w:ilvl w:val="0"/>
        </w:numPr>
      </w:pPr>
      <w:r>
        <w:t xml:space="preserve">předběžná otázka - umožňuje se soudu obrátit na Soudní dvůr Evropské unie - v pochybnostech výkladu Evropského práva</w:t>
      </w:r>
      <w:r>
        <w:rPr>
          <w:rStyle w:val="FootnoteReference"/>
        </w:rPr>
        <w:footnoteReference w:id="150"/>
      </w:r>
      <w:r>
        <w:t xml:space="preserve">,</w:t>
      </w:r>
    </w:p>
    <w:p>
      <w:pPr>
        <w:numPr>
          <w:numId w:val="1478"/>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51" w:name="cvičení-téma-k-diskusi"/>
      <w:bookmarkEnd w:id="151"/>
      <w:r>
        <w:t xml:space="preserve">Cvičení téma k diskusi</w:t>
      </w:r>
    </w:p>
    <w:p>
      <w:pPr>
        <w:pStyle w:val="Compact"/>
        <w:numPr>
          <w:numId w:val="1479"/>
          <w:ilvl w:val="0"/>
        </w:numPr>
      </w:pPr>
      <w:r>
        <w:t xml:space="preserve">Příklad 1</w:t>
      </w:r>
    </w:p>
    <w:p>
      <w:pPr>
        <w:pStyle w:val="Compact"/>
        <w:numPr>
          <w:numId w:val="1479"/>
          <w:ilvl w:val="0"/>
        </w:numPr>
      </w:pPr>
      <w:r>
        <w:t xml:space="preserve">Jste poslanci a máte rozhodnout o tom, zda bude daň z příjmů rovná nebo progresivní.</w:t>
      </w:r>
    </w:p>
    <w:p>
      <w:pPr>
        <w:pStyle w:val="Compact"/>
        <w:numPr>
          <w:numId w:val="1479"/>
          <w:ilvl w:val="0"/>
        </w:numPr>
      </w:pPr>
      <w:r>
        <w:t xml:space="preserve">Podotázky:</w:t>
      </w:r>
    </w:p>
    <w:p>
      <w:pPr>
        <w:pStyle w:val="Compact"/>
        <w:numPr>
          <w:numId w:val="1480"/>
          <w:ilvl w:val="1"/>
        </w:numPr>
      </w:pPr>
      <w:r>
        <w:t xml:space="preserve">Je současná daň z příjmů rovná, když má jednotnou sazbu?</w:t>
      </w:r>
    </w:p>
    <w:p>
      <w:pPr>
        <w:pStyle w:val="Compact"/>
        <w:numPr>
          <w:numId w:val="1480"/>
          <w:ilvl w:val="1"/>
        </w:numPr>
      </w:pPr>
      <w:r>
        <w:t xml:space="preserve">Mají bohatí platit vyšší daně než chudí?</w:t>
      </w:r>
    </w:p>
    <w:p>
      <w:pPr>
        <w:pStyle w:val="Compact"/>
        <w:numPr>
          <w:numId w:val="1480"/>
          <w:ilvl w:val="1"/>
        </w:numPr>
      </w:pPr>
      <w:r>
        <w:t xml:space="preserve">Mají bezdětní platit vyšší daně než ti, co děti mají?</w:t>
      </w:r>
    </w:p>
    <w:p>
      <w:pPr>
        <w:pStyle w:val="Compact"/>
        <w:numPr>
          <w:numId w:val="1479"/>
          <w:ilvl w:val="0"/>
        </w:numPr>
      </w:pPr>
      <w:r>
        <w:t xml:space="preserve">Příklad č. 2</w:t>
      </w:r>
    </w:p>
    <w:p>
      <w:pPr>
        <w:pStyle w:val="Compact"/>
        <w:numPr>
          <w:numId w:val="1479"/>
          <w:ilvl w:val="0"/>
        </w:numPr>
      </w:pPr>
      <w:r>
        <w:t xml:space="preserve">Jste poslanci a máte rozhodnout, zda zavedete silniční daň:</w:t>
      </w:r>
    </w:p>
    <w:p>
      <w:pPr>
        <w:pStyle w:val="Compact"/>
        <w:numPr>
          <w:numId w:val="1482"/>
          <w:ilvl w:val="2"/>
        </w:numPr>
      </w:pPr>
      <w:r>
        <w:t xml:space="preserve">Jen pro podnikatele</w:t>
      </w:r>
    </w:p>
    <w:p>
      <w:pPr>
        <w:pStyle w:val="Compact"/>
        <w:numPr>
          <w:numId w:val="1483"/>
          <w:ilvl w:val="2"/>
        </w:numPr>
      </w:pPr>
      <w:r>
        <w:t xml:space="preserve">Pro všechny</w:t>
      </w:r>
    </w:p>
    <w:p>
      <w:pPr>
        <w:pStyle w:val="Compact"/>
        <w:numPr>
          <w:numId w:val="1479"/>
          <w:ilvl w:val="0"/>
        </w:numPr>
      </w:pPr>
      <w:r>
        <w:t xml:space="preserve">Podotázka – a co dálniční známky, mýtné:</w:t>
      </w:r>
    </w:p>
    <w:p>
      <w:pPr>
        <w:pStyle w:val="Compact"/>
        <w:numPr>
          <w:numId w:val="1485"/>
          <w:ilvl w:val="2"/>
        </w:numPr>
      </w:pPr>
      <w:r>
        <w:t xml:space="preserve">na všechny silnice</w:t>
      </w:r>
    </w:p>
    <w:p>
      <w:pPr>
        <w:pStyle w:val="Compact"/>
        <w:numPr>
          <w:numId w:val="1486"/>
          <w:ilvl w:val="2"/>
        </w:numPr>
      </w:pPr>
      <w:r>
        <w:t xml:space="preserve">jen na dálnice (dálnice + silnice 1. třídy)</w:t>
      </w:r>
    </w:p>
    <w:p>
      <w:pPr>
        <w:pStyle w:val="Compact"/>
        <w:numPr>
          <w:numId w:val="1487"/>
          <w:ilvl w:val="2"/>
        </w:numPr>
      </w:pPr>
      <w:r>
        <w:t xml:space="preserve">jen pro podnikatele</w:t>
      </w:r>
    </w:p>
    <w:p>
      <w:pPr>
        <w:numPr>
          <w:numId w:val="1479"/>
          <w:ilvl w:val="0"/>
        </w:numPr>
      </w:pPr>
      <w:r>
        <w:t xml:space="preserve">Obdobně parkování ve městech, nízkoemisní zóny (třídění podle druhů automobilů, občanů a firem, které v zóně bydlí apod.</w:t>
      </w:r>
    </w:p>
    <w:p>
      <w:pPr>
        <w:pStyle w:val="Compact"/>
        <w:numPr>
          <w:numId w:val="1479"/>
          <w:ilvl w:val="0"/>
        </w:numPr>
      </w:pPr>
      <w:r>
        <w:t xml:space="preserve">Příklad č. 3</w:t>
      </w:r>
    </w:p>
    <w:p>
      <w:pPr>
        <w:pStyle w:val="Compact"/>
        <w:numPr>
          <w:numId w:val="1479"/>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488"/>
          <w:ilvl w:val="1"/>
        </w:numPr>
      </w:pPr>
      <w:r>
        <w:t xml:space="preserve">Argumenty pro…………..</w:t>
      </w:r>
    </w:p>
    <w:p>
      <w:pPr>
        <w:pStyle w:val="Compact"/>
        <w:numPr>
          <w:numId w:val="1488"/>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9">
    <w:p>
      <w:pPr>
        <w:pStyle w:val="FootnoteText"/>
      </w:pPr>
      <w:r>
        <w:rPr>
          <w:rStyle w:val="FootnoteReference"/>
        </w:rPr>
        <w:footnoteRef/>
      </w:r>
      <w:r>
        <w:t xml:space="preserve"> </w:t>
      </w:r>
      <w:r>
        <w:t xml:space="preserve">https://www.jakpodnikat.cz/souhrnne-hlaseni-dph.php#:~:text=Souhrnn%C3%A9%20hl%C3%A1%C5%A1en%C3%AD%20pod%C3%A1me%20ka%C5%BEd%C3%BD%20m%C4%9Bs%C3%ADc,zbo%C5%BE%C3%AD%2C%20m%C5%AF%C5%BEeme%20ho%20pod%C3%A1vat%20%C4%8Dtvrtletn%C4%9B.</w:t>
      </w:r>
    </w:p>
  </w:footnote>
  <w:footnote w:id="100">
    <w:p>
      <w:pPr>
        <w:pStyle w:val="FootnoteText"/>
      </w:pPr>
      <w:r>
        <w:rPr>
          <w:rStyle w:val="FootnoteReference"/>
        </w:rPr>
        <w:footnoteRef/>
      </w:r>
      <w:r>
        <w:t xml:space="preserve"> </w:t>
      </w:r>
      <w:r>
        <w:t xml:space="preserve">https://cs.wikipedia.org/wiki/Kontroln%C3%AD_hl%C3%A1%C5%A1en%C3%AD_DPH</w:t>
      </w:r>
    </w:p>
  </w:footnote>
  <w:footnote w:id="106">
    <w:p>
      <w:pPr>
        <w:pStyle w:val="FootnoteText"/>
      </w:pPr>
      <w:r>
        <w:rPr>
          <w:rStyle w:val="FootnoteReference"/>
        </w:rPr>
        <w:footnoteRef/>
      </w:r>
      <w:r>
        <w:t xml:space="preserve"> </w:t>
      </w:r>
      <w:r>
        <w:t xml:space="preserve">https://cs.wikipedia.org/wiki/Spot%C5%99ebn%C3%AD_da%C5%88</w:t>
      </w:r>
    </w:p>
  </w:footnote>
  <w:footnote w:id="109">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14">
    <w:p>
      <w:pPr>
        <w:pStyle w:val="FootnoteText"/>
      </w:pPr>
      <w:r>
        <w:rPr>
          <w:rStyle w:val="FootnoteReference"/>
        </w:rPr>
        <w:footnoteRef/>
      </w:r>
      <w:r>
        <w:t xml:space="preserve"> </w:t>
      </w:r>
      <w:r>
        <w:t xml:space="preserve">https://cs.wikipedia.org/wiki/Silni%C4%8Dn%C3%AD_da%C5%88</w:t>
      </w:r>
    </w:p>
  </w:footnote>
  <w:footnote w:id="118">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19">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20">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21">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23">
    <w:p>
      <w:pPr>
        <w:pStyle w:val="FootnoteText"/>
      </w:pPr>
      <w:r>
        <w:rPr>
          <w:rStyle w:val="FootnoteReference"/>
        </w:rPr>
        <w:footnoteRef/>
      </w:r>
      <w:r>
        <w:t xml:space="preserve"> </w:t>
      </w:r>
      <w:r>
        <w:t xml:space="preserve">https://www.zakonyprolidi.cz/cs/2009-280#cast2-hlava6</w:t>
      </w:r>
    </w:p>
  </w:footnote>
  <w:footnote w:id="129">
    <w:p>
      <w:pPr>
        <w:pStyle w:val="FootnoteText"/>
      </w:pPr>
      <w:r>
        <w:rPr>
          <w:rStyle w:val="FootnoteReference"/>
        </w:rPr>
        <w:footnoteRef/>
      </w:r>
      <w:r>
        <w:t xml:space="preserve"> </w:t>
      </w:r>
      <w:r>
        <w:t xml:space="preserve">https://www.zakonyprolidi.cz/cs/2009-280#cast2-hlava6-dil3</w:t>
      </w:r>
    </w:p>
  </w:footnote>
  <w:footnote w:id="131">
    <w:p>
      <w:pPr>
        <w:pStyle w:val="FootnoteText"/>
      </w:pPr>
      <w:r>
        <w:rPr>
          <w:rStyle w:val="FootnoteReference"/>
        </w:rPr>
        <w:footnoteRef/>
      </w:r>
      <w:r>
        <w:t xml:space="preserve"> </w:t>
      </w:r>
      <w:r>
        <w:t xml:space="preserve">https://www.zakonyprolidi.cz/cs/2009-280#cast2-hlava7</w:t>
      </w:r>
    </w:p>
  </w:footnote>
  <w:footnote w:id="137">
    <w:p>
      <w:pPr>
        <w:pStyle w:val="FootnoteText"/>
      </w:pPr>
      <w:r>
        <w:rPr>
          <w:rStyle w:val="FootnoteReference"/>
        </w:rPr>
        <w:footnoteRef/>
      </w:r>
      <w:r>
        <w:t xml:space="preserve"> </w:t>
      </w:r>
      <w:r>
        <w:t xml:space="preserve">https://cs.wikipedia.org/wiki/Opravn%C3%BD_prost%C5%99edek</w:t>
      </w:r>
    </w:p>
  </w:footnote>
  <w:footnote w:id="142">
    <w:p>
      <w:pPr>
        <w:pStyle w:val="FootnoteText"/>
      </w:pPr>
      <w:r>
        <w:rPr>
          <w:rStyle w:val="FootnoteReference"/>
        </w:rPr>
        <w:footnoteRef/>
      </w:r>
      <w:r>
        <w:t xml:space="preserve"> </w:t>
      </w:r>
      <w:r>
        <w:t xml:space="preserve">https://cs.wikipedia.org/wiki/Spr%C3%A1vn%C3%AD_soudnictv%C3%AD</w:t>
      </w:r>
    </w:p>
  </w:footnote>
  <w:footnote w:id="149">
    <w:p>
      <w:pPr>
        <w:pStyle w:val="FootnoteText"/>
      </w:pPr>
      <w:r>
        <w:rPr>
          <w:rStyle w:val="FootnoteReference"/>
        </w:rPr>
        <w:footnoteRef/>
      </w:r>
      <w:r>
        <w:t xml:space="preserve"> </w:t>
      </w:r>
      <w:r>
        <w:t xml:space="preserve">https://is.muni.cz/www/6685/Danove_pravo_v_judikature_Ustavniho_soudu_CR4-nekorigovano-hruby-draft.pdf</w:t>
      </w:r>
    </w:p>
  </w:footnote>
  <w:footnote w:id="150">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1a82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69ee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afd9b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ad616131"/>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c1e5b956"/>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26010bea"/>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417fe17a"/>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3a99439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69eeca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424fbdd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cdc4eca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e7ace0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97a074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3b437e5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e64d9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9069c94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7">
    <w:nsid w:val="9a11c06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612">
    <w:nsid w:val="623814d9"/>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613">
    <w:nsid w:val="f7792594"/>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abstractNum w:abstractNumId="99431">
    <w:nsid w:val="7b6931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1da465e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205772e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ac8979c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b474f681"/>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fe354206"/>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7223095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bd667268"/>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2">
    <w:nsid w:val="e66a990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673ce82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64d9543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f0796f73"/>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2af24080"/>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d57f619f"/>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f2c162c6"/>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a76566c4"/>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50afa059"/>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bd852805"/>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1"/>
  </w:num>
  <w:num w:numId="109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00">
    <w:abstractNumId w:val="991"/>
  </w:num>
  <w:num w:numId="1101">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1">
    <w:abstractNumId w:val="991"/>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1"/>
  </w:num>
  <w:num w:numId="1116">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1"/>
  </w:num>
  <w:num w:numId="1118">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1">
    <w:abstractNumId w:val="991"/>
  </w:num>
  <w:num w:numId="1132">
    <w:abstractNumId w:val="991"/>
  </w:num>
  <w:num w:numId="1133">
    <w:abstractNumId w:val="991"/>
  </w:num>
  <w:num w:numId="11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5">
    <w:abstractNumId w:val="991"/>
  </w:num>
  <w:num w:numId="1166">
    <w:abstractNumId w:val="991"/>
  </w:num>
  <w:num w:numId="1167">
    <w:abstractNumId w:val="991"/>
  </w:num>
  <w:num w:numId="116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7">
    <w:abstractNumId w:val="991"/>
  </w:num>
  <w:num w:numId="1188">
    <w:abstractNumId w:val="991"/>
  </w:num>
  <w:num w:numId="1189">
    <w:abstractNumId w:val="991"/>
  </w:num>
  <w:num w:numId="1190">
    <w:abstractNumId w:val="991"/>
  </w:num>
  <w:num w:numId="11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2">
    <w:abstractNumId w:val="991"/>
  </w:num>
  <w:num w:numId="119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4">
    <w:abstractNumId w:val="991"/>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9">
    <w:abstractNumId w:val="991"/>
  </w:num>
  <w:num w:numId="120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1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17">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18">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19">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0">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1">
    <w:abstractNumId w:val="991"/>
  </w:num>
  <w:num w:numId="1232">
    <w:abstractNumId w:val="991"/>
  </w:num>
  <w:num w:numId="12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7">
    <w:abstractNumId w:val="991"/>
  </w:num>
  <w:num w:numId="1238">
    <w:abstractNumId w:val="991"/>
  </w:num>
  <w:num w:numId="1239">
    <w:abstractNumId w:val="991"/>
  </w:num>
  <w:num w:numId="12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4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6">
    <w:abstractNumId w:val="991"/>
  </w:num>
  <w:num w:numId="12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1">
    <w:abstractNumId w:val="991"/>
  </w:num>
  <w:num w:numId="1252">
    <w:abstractNumId w:val="991"/>
  </w:num>
  <w:num w:numId="1253">
    <w:abstractNumId w:val="991"/>
  </w:num>
  <w:num w:numId="1254">
    <w:abstractNumId w:val="991"/>
  </w:num>
  <w:num w:numId="125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3">
    <w:abstractNumId w:val="991"/>
  </w:num>
  <w:num w:numId="12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8">
    <w:abstractNumId w:val="991"/>
  </w:num>
  <w:num w:numId="128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9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9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0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04">
    <w:abstractNumId w:val="991"/>
  </w:num>
  <w:num w:numId="1305">
    <w:abstractNumId w:val="991"/>
  </w:num>
  <w:num w:numId="13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1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1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13">
    <w:abstractNumId w:val="991"/>
  </w:num>
  <w:num w:numId="13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19">
    <w:abstractNumId w:val="991"/>
  </w:num>
  <w:num w:numId="1320">
    <w:abstractNumId w:val="991"/>
  </w:num>
  <w:num w:numId="1321">
    <w:abstractNumId w:val="991"/>
  </w:num>
  <w:num w:numId="1322">
    <w:abstractNumId w:val="991"/>
  </w:num>
  <w:num w:numId="13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5">
    <w:abstractNumId w:val="991"/>
  </w:num>
  <w:num w:numId="13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30">
    <w:abstractNumId w:val="991"/>
  </w:num>
  <w:num w:numId="1331">
    <w:abstractNumId w:val="991"/>
  </w:num>
  <w:num w:numId="1332">
    <w:abstractNumId w:val="991"/>
  </w:num>
  <w:num w:numId="1333">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34">
    <w:abstractNumId w:val="991"/>
  </w:num>
  <w:num w:numId="1335">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36">
    <w:abstractNumId w:val="991"/>
  </w:num>
  <w:num w:numId="1337">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38">
    <w:abstractNumId w:val="991"/>
  </w:num>
  <w:num w:numId="1339">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5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7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7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7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75">
    <w:abstractNumId w:val="991"/>
  </w:num>
  <w:num w:numId="1376">
    <w:abstractNumId w:val="991"/>
  </w:num>
  <w:num w:numId="13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1">
    <w:abstractNumId w:val="991"/>
  </w:num>
  <w:num w:numId="1392">
    <w:abstractNumId w:val="991"/>
  </w:num>
  <w:num w:numId="139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96">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97">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98">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99">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400">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401">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2">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2">
    <w:abstractNumId w:val="991"/>
  </w:num>
  <w:num w:numId="141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14">
    <w:abstractNumId w:val="991"/>
  </w:num>
  <w:num w:numId="141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16">
    <w:abstractNumId w:val="991"/>
  </w:num>
  <w:num w:numId="141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18">
    <w:abstractNumId w:val="991"/>
  </w:num>
  <w:num w:numId="14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0">
    <w:abstractNumId w:val="991"/>
  </w:num>
  <w:num w:numId="142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1">
    <w:abstractNumId w:val="991"/>
  </w:num>
  <w:num w:numId="14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4">
    <w:abstractNumId w:val="991"/>
  </w:num>
  <w:num w:numId="143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3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3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8">
    <w:abstractNumId w:val="991"/>
  </w:num>
  <w:num w:numId="1439">
    <w:abstractNumId w:val="991"/>
  </w:num>
  <w:num w:numId="14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2">
    <w:abstractNumId w:val="991"/>
  </w:num>
  <w:num w:numId="144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4">
    <w:abstractNumId w:val="991"/>
  </w:num>
  <w:num w:numId="144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6">
    <w:abstractNumId w:val="991"/>
  </w:num>
  <w:num w:numId="144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9">
    <w:abstractNumId w:val="991"/>
  </w:num>
  <w:num w:numId="1450">
    <w:abstractNumId w:val="991"/>
  </w:num>
  <w:num w:numId="1451">
    <w:abstractNumId w:val="991"/>
  </w:num>
  <w:num w:numId="1452">
    <w:abstractNumId w:val="991"/>
  </w:num>
  <w:num w:numId="1453">
    <w:abstractNumId w:val="991"/>
  </w:num>
  <w:num w:numId="1454">
    <w:abstractNumId w:val="991"/>
  </w:num>
  <w:num w:numId="145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6">
    <w:abstractNumId w:val="991"/>
  </w:num>
  <w:num w:numId="145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58">
    <w:abstractNumId w:val="991"/>
  </w:num>
  <w:num w:numId="1459">
    <w:abstractNumId w:val="991"/>
  </w:num>
  <w:num w:numId="146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6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64">
    <w:abstractNumId w:val="991"/>
  </w:num>
  <w:num w:numId="1465">
    <w:abstractNumId w:val="991"/>
  </w:num>
  <w:num w:numId="1466">
    <w:abstractNumId w:val="991"/>
  </w:num>
  <w:num w:numId="14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7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71">
    <w:abstractNumId w:val="991"/>
  </w:num>
  <w:num w:numId="1472">
    <w:abstractNumId w:val="991"/>
  </w:num>
  <w:num w:numId="1473">
    <w:abstractNumId w:val="991"/>
  </w:num>
  <w:num w:numId="147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84">
    <w:abstractNumId w:val="991"/>
  </w:num>
  <w:num w:numId="14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8" Target="media/rId9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2022-05-09T19:10:12Z</dcterms:created>
  <dcterms:modified xsi:type="dcterms:W3CDTF">2022-05-09T19:10:12Z</dcterms:modified>
</cp:coreProperties>
</file>