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w:t>
      </w:r>
    </w:p>
    <w:p>
      <w:pPr>
        <w:pStyle w:val="Compact"/>
        <w:numPr>
          <w:numId w:val="1001"/>
          <w:ilvl w:val="0"/>
        </w:numPr>
      </w:pPr>
      <w:r>
        <w:t xml:space="preserve">Fiskální situace států západní civilizace, včetně ČR</w:t>
      </w:r>
    </w:p>
    <w:p>
      <w:pPr>
        <w:pStyle w:val="Compact"/>
        <w:numPr>
          <w:numId w:val="1001"/>
          <w:ilvl w:val="0"/>
        </w:numPr>
      </w:pPr>
      <w:r>
        <w:t xml:space="preserve">Druhy daní; přehled daňového systému České republiky</w:t>
      </w:r>
    </w:p>
    <w:p>
      <w:pPr>
        <w:pStyle w:val="Compact"/>
        <w:numPr>
          <w:numId w:val="1001"/>
          <w:ilvl w:val="0"/>
        </w:numPr>
      </w:pPr>
      <w:r>
        <w:t xml:space="preserve">Základní pojmy – předmět daně, základ daně, zdaňovací období, subjekt daně</w:t>
      </w:r>
    </w:p>
    <w:p>
      <w:pPr>
        <w:pStyle w:val="Compact"/>
        <w:numPr>
          <w:numId w:val="1001"/>
          <w:ilvl w:val="0"/>
        </w:numPr>
      </w:pPr>
      <w:r>
        <w:t xml:space="preserve">Daně z příjmů – charakteristika</w:t>
      </w:r>
    </w:p>
    <w:p>
      <w:pPr>
        <w:pStyle w:val="Compact"/>
        <w:numPr>
          <w:numId w:val="1001"/>
          <w:ilvl w:val="0"/>
        </w:numPr>
      </w:pPr>
      <w:r>
        <w:t xml:space="preserve">Pojem příjmu, skutečného příjmu, zdánlivého příjmu</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w:t>
      </w:r>
      <w:r>
        <w:br w:type="textWrapping"/>
      </w:r>
      <w:r>
        <w:t xml:space="preserve">ostatní daně (dědická aj.)</w:t>
      </w:r>
    </w:p>
    <w:p>
      <w:pPr>
        <w:pStyle w:val="Compact"/>
        <w:numPr>
          <w:numId w:val="1001"/>
          <w:ilvl w:val="0"/>
        </w:numPr>
      </w:pPr>
      <w:r>
        <w:t xml:space="preserve">Daň z přidané hodnoty – charakteristika, základní pojmy – zdanitelné plnění,</w:t>
      </w:r>
      <w:r>
        <w:br w:type="textWrapping"/>
      </w:r>
      <w:r>
        <w:t xml:space="preserve">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w:t>
      </w:r>
    </w:p>
    <w:p>
      <w:pPr>
        <w:pStyle w:val="Compact"/>
        <w:numPr>
          <w:numId w:val="1001"/>
          <w:ilvl w:val="0"/>
        </w:numPr>
      </w:pPr>
      <w:r>
        <w:t xml:space="preserve">Právo EU a daně – jakých daní se dotýká, jak se projevuje; přímý a nepřímý účinek</w:t>
      </w:r>
    </w:p>
    <w:p>
      <w:pPr>
        <w:pStyle w:val="Compact"/>
        <w:numPr>
          <w:numId w:val="1001"/>
          <w:ilvl w:val="0"/>
        </w:numPr>
      </w:pPr>
      <w:r>
        <w:t xml:space="preserve">Pojem zneužití práva, praktické případy</w:t>
      </w:r>
    </w:p>
    <w:p>
      <w:pPr>
        <w:pStyle w:val="Compact"/>
        <w:numPr>
          <w:numId w:val="1001"/>
          <w:ilvl w:val="0"/>
        </w:numPr>
      </w:pPr>
      <w:r>
        <w:t xml:space="preserve">Daňové tvrzení, důkazní břemeno v daňovém řízení</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w:t>
      </w:r>
    </w:p>
    <w:p>
      <w:pPr>
        <w:pStyle w:val="Compact"/>
        <w:numPr>
          <w:numId w:val="1001"/>
          <w:ilvl w:val="0"/>
        </w:numPr>
      </w:pPr>
      <w:r>
        <w:t xml:space="preserve">Opravné a dozorčí prostředky v daňovém řízení</w:t>
      </w:r>
    </w:p>
    <w:p>
      <w:pPr>
        <w:pStyle w:val="Compact"/>
        <w:numPr>
          <w:numId w:val="1001"/>
          <w:ilvl w:val="0"/>
        </w:numPr>
      </w:pPr>
      <w:r>
        <w:t xml:space="preserve">Ochrana daňového subjektu ve správním soudnictví – žaloby a opravné prostředky</w:t>
      </w:r>
    </w:p>
    <w:p>
      <w:pPr>
        <w:pStyle w:val="Compact"/>
        <w:numPr>
          <w:numId w:val="1001"/>
          <w:ilvl w:val="0"/>
        </w:numPr>
      </w:pPr>
      <w:r>
        <w:t xml:space="preserve">Role judikatury správního, ústavního a evropského soudnictví v daňovém právu</w:t>
      </w:r>
    </w:p>
    <w:p>
      <w:pPr>
        <w:pStyle w:val="Compact"/>
        <w:numPr>
          <w:numId w:val="1001"/>
          <w:ilvl w:val="0"/>
        </w:numPr>
      </w:pPr>
      <w:r>
        <w:t xml:space="preserve">(Není součástí otázek) Cvičení téma k diskusi</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cvičení-téma-k-diskusi"/>
      <w:bookmarkEnd w:id="87"/>
      <w:r>
        <w:t xml:space="preserve">Cvičení téma k diskusi</w:t>
      </w:r>
    </w:p>
    <w:p>
      <w:pPr>
        <w:pStyle w:val="Compact"/>
        <w:numPr>
          <w:numId w:val="1089"/>
          <w:ilvl w:val="0"/>
        </w:numPr>
      </w:pPr>
      <w:r>
        <w:t xml:space="preserve">Příklad 1</w:t>
      </w:r>
    </w:p>
    <w:p>
      <w:pPr>
        <w:pStyle w:val="Compact"/>
        <w:numPr>
          <w:numId w:val="1089"/>
          <w:ilvl w:val="0"/>
        </w:numPr>
      </w:pPr>
      <w:r>
        <w:t xml:space="preserve">Jste poslanci a máte rozhodnout o tom, zda bude daň z příjmů rovná nebo progresivní.</w:t>
      </w:r>
    </w:p>
    <w:p>
      <w:pPr>
        <w:pStyle w:val="Compact"/>
        <w:numPr>
          <w:numId w:val="1089"/>
          <w:ilvl w:val="0"/>
        </w:numPr>
      </w:pPr>
      <w:r>
        <w:t xml:space="preserve">Podotázky:</w:t>
      </w:r>
    </w:p>
    <w:p>
      <w:pPr>
        <w:pStyle w:val="Compact"/>
        <w:numPr>
          <w:numId w:val="1090"/>
          <w:ilvl w:val="1"/>
        </w:numPr>
      </w:pPr>
      <w:r>
        <w:t xml:space="preserve">Je současná daň z příjmů rovná, když má jednotnou sazbu?</w:t>
      </w:r>
    </w:p>
    <w:p>
      <w:pPr>
        <w:pStyle w:val="Compact"/>
        <w:numPr>
          <w:numId w:val="1090"/>
          <w:ilvl w:val="1"/>
        </w:numPr>
      </w:pPr>
      <w:r>
        <w:t xml:space="preserve">Mají bohatí platit vyšší daně než chudí?</w:t>
      </w:r>
    </w:p>
    <w:p>
      <w:pPr>
        <w:pStyle w:val="Compact"/>
        <w:numPr>
          <w:numId w:val="1090"/>
          <w:ilvl w:val="1"/>
        </w:numPr>
      </w:pPr>
      <w:r>
        <w:t xml:space="preserve">Mají bezdětní platit vyšší daně než ti, co děti mají?</w:t>
      </w:r>
    </w:p>
    <w:p>
      <w:pPr>
        <w:pStyle w:val="Compact"/>
        <w:numPr>
          <w:numId w:val="1089"/>
          <w:ilvl w:val="0"/>
        </w:numPr>
      </w:pPr>
      <w:r>
        <w:t xml:space="preserve">Příklad č. 2</w:t>
      </w:r>
    </w:p>
    <w:p>
      <w:pPr>
        <w:pStyle w:val="Compact"/>
        <w:numPr>
          <w:numId w:val="1089"/>
          <w:ilvl w:val="0"/>
        </w:numPr>
      </w:pPr>
      <w:r>
        <w:t xml:space="preserve">Jste poslanci a máte rozhodnout, zda zavedete silniční daň:</w:t>
      </w:r>
    </w:p>
    <w:p>
      <w:pPr>
        <w:pStyle w:val="Compact"/>
        <w:numPr>
          <w:numId w:val="1092"/>
          <w:ilvl w:val="2"/>
        </w:numPr>
      </w:pPr>
      <w:r>
        <w:t xml:space="preserve">Jen pro podnikatele</w:t>
      </w:r>
    </w:p>
    <w:p>
      <w:pPr>
        <w:pStyle w:val="Compact"/>
        <w:numPr>
          <w:numId w:val="1093"/>
          <w:ilvl w:val="2"/>
        </w:numPr>
      </w:pPr>
      <w:r>
        <w:t xml:space="preserve">Pro všechny</w:t>
      </w:r>
    </w:p>
    <w:p>
      <w:pPr>
        <w:pStyle w:val="Compact"/>
        <w:numPr>
          <w:numId w:val="1089"/>
          <w:ilvl w:val="0"/>
        </w:numPr>
      </w:pPr>
      <w:r>
        <w:t xml:space="preserve">Podotázka – a co dálniční známky, mýtné:</w:t>
      </w:r>
    </w:p>
    <w:p>
      <w:pPr>
        <w:pStyle w:val="Compact"/>
        <w:numPr>
          <w:numId w:val="1095"/>
          <w:ilvl w:val="2"/>
        </w:numPr>
      </w:pPr>
      <w:r>
        <w:t xml:space="preserve">na všechny silnice</w:t>
      </w:r>
    </w:p>
    <w:p>
      <w:pPr>
        <w:pStyle w:val="Compact"/>
        <w:numPr>
          <w:numId w:val="1096"/>
          <w:ilvl w:val="2"/>
        </w:numPr>
      </w:pPr>
      <w:r>
        <w:t xml:space="preserve">jen na dálnice (dálnice + silnice 1. třídy)</w:t>
      </w:r>
    </w:p>
    <w:p>
      <w:pPr>
        <w:pStyle w:val="Compact"/>
        <w:numPr>
          <w:numId w:val="1097"/>
          <w:ilvl w:val="2"/>
        </w:numPr>
      </w:pPr>
      <w:r>
        <w:t xml:space="preserve">jen pro podnikatele</w:t>
      </w:r>
    </w:p>
    <w:p>
      <w:pPr>
        <w:numPr>
          <w:numId w:val="1089"/>
          <w:ilvl w:val="0"/>
        </w:numPr>
      </w:pPr>
      <w:r>
        <w:t xml:space="preserve">Obdobně parkování ve městech, nízkoemisní zóny (třídění podle druhů automobilů, občanů a firem, které v zóně bydlí apod.</w:t>
      </w:r>
    </w:p>
    <w:p>
      <w:pPr>
        <w:pStyle w:val="Compact"/>
        <w:numPr>
          <w:numId w:val="1089"/>
          <w:ilvl w:val="0"/>
        </w:numPr>
      </w:pPr>
      <w:r>
        <w:t xml:space="preserve">Příklad č. 3</w:t>
      </w:r>
    </w:p>
    <w:p>
      <w:pPr>
        <w:pStyle w:val="Compact"/>
        <w:numPr>
          <w:numId w:val="1089"/>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098"/>
          <w:ilvl w:val="1"/>
        </w:numPr>
      </w:pPr>
      <w:r>
        <w:t xml:space="preserve">Argumenty pro…………..</w:t>
      </w:r>
    </w:p>
    <w:p>
      <w:pPr>
        <w:pStyle w:val="Compact"/>
        <w:numPr>
          <w:numId w:val="1098"/>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ce34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9020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e4ca5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16ce3a75"/>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a1bbfc68"/>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3def1813"/>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d4fefeb0"/>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9a865ac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c78ee5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07b2d3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24416d2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779e49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d017eb3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e4a4c5b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e920a52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1"/>
  </w:num>
  <w:num w:numId="1091">
    <w:abstractNumId w:val="991"/>
  </w:num>
  <w:num w:numId="109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4">
    <w:abstractNumId w:val="991"/>
  </w:num>
  <w:num w:numId="109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2022-05-07T15:51:26Z</dcterms:created>
  <dcterms:modified xsi:type="dcterms:W3CDTF">2022-05-07T15:51:26Z</dcterms:modified>
</cp:coreProperties>
</file>