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soudní-a-mimosoudní-řešení-sporů"/>
      <w:bookmarkEnd w:id="21"/>
      <w:r>
        <w:t xml:space="preserve">Soudní a mimosoudní řešení sporů</w:t>
      </w:r>
    </w:p>
    <w:p>
      <w:pPr>
        <w:pStyle w:val="Heading2"/>
      </w:pPr>
      <w:bookmarkStart w:id="22" w:name="spor"/>
      <w:bookmarkEnd w:id="22"/>
      <w:r>
        <w:t xml:space="preserve">Spor</w:t>
      </w:r>
    </w:p>
    <w:p>
      <w:pPr>
        <w:pStyle w:val="FirstParagraph"/>
      </w:pPr>
      <w:r>
        <w:t xml:space="preserve">Procesněprávní vztah</w:t>
      </w:r>
    </w:p>
    <w:p>
      <w:pPr>
        <w:pStyle w:val="Compact"/>
        <w:numPr>
          <w:numId w:val="1001"/>
          <w:ilvl w:val="0"/>
        </w:numPr>
      </w:pPr>
      <w:r>
        <w:t xml:space="preserve">Mezi subjekty civilního procesu</w:t>
      </w:r>
    </w:p>
    <w:p>
      <w:pPr>
        <w:pStyle w:val="Compact"/>
        <w:numPr>
          <w:numId w:val="1001"/>
          <w:ilvl w:val="0"/>
        </w:numPr>
      </w:pPr>
      <w:r>
        <w:t xml:space="preserve">Normovány procesním právem -&gt;</w:t>
      </w:r>
      <w:r>
        <w:t xml:space="preserve"> </w:t>
      </w:r>
      <w:r>
        <w:rPr>
          <w:b/>
        </w:rPr>
        <w:t xml:space="preserve">procesněprávní vztah</w:t>
      </w:r>
    </w:p>
    <w:p>
      <w:pPr>
        <w:pStyle w:val="Compact"/>
        <w:numPr>
          <w:numId w:val="1001"/>
          <w:ilvl w:val="0"/>
        </w:numPr>
      </w:pPr>
      <w:r>
        <w:t xml:space="preserve">Jsou nezávislé na (ne)existencihmotněprávních vztahů, vznikají a zanikají bez nutné souvislosti s nimi</w:t>
      </w:r>
    </w:p>
    <w:p>
      <w:pPr>
        <w:pStyle w:val="Compact"/>
        <w:numPr>
          <w:numId w:val="1001"/>
          <w:ilvl w:val="0"/>
        </w:numPr>
      </w:pPr>
      <w:r>
        <w:t xml:space="preserve">Vznik zahájením řízení</w:t>
      </w:r>
    </w:p>
    <w:p>
      <w:pPr>
        <w:pStyle w:val="Compact"/>
        <w:numPr>
          <w:numId w:val="1001"/>
          <w:ilvl w:val="0"/>
        </w:numPr>
      </w:pPr>
      <w:r>
        <w:t xml:space="preserve">Jsou závazné a vynutitelné (odlišné od HP vztahů)</w:t>
      </w:r>
    </w:p>
    <w:p>
      <w:pPr>
        <w:pStyle w:val="Compact"/>
        <w:numPr>
          <w:numId w:val="1001"/>
          <w:ilvl w:val="0"/>
        </w:numPr>
      </w:pPr>
      <w:r>
        <w:t xml:space="preserve">Obsahem jsou</w:t>
      </w:r>
      <w:r>
        <w:t xml:space="preserve"> </w:t>
      </w:r>
      <w:r>
        <w:rPr>
          <w:b/>
        </w:rPr>
        <w:t xml:space="preserve">procesní práva a povinnosti</w:t>
      </w:r>
      <w:r>
        <w:t xml:space="preserve">, jehož předmětem je zjištění, zda hmotněprávní vztah existuje a jaká práva a povinnosti jim z toho plynou</w:t>
      </w:r>
    </w:p>
    <w:p>
      <w:pPr>
        <w:pStyle w:val="Compact"/>
        <w:numPr>
          <w:numId w:val="1001"/>
          <w:ilvl w:val="0"/>
        </w:numPr>
      </w:pPr>
      <w:r>
        <w:t xml:space="preserve">Charakteristická</w:t>
      </w:r>
      <w:r>
        <w:t xml:space="preserve"> </w:t>
      </w:r>
      <w:r>
        <w:rPr>
          <w:b/>
        </w:rPr>
        <w:t xml:space="preserve">trojstrannost vztahu</w:t>
      </w:r>
    </w:p>
    <w:p>
      <w:pPr>
        <w:pStyle w:val="SourceCode"/>
      </w:pPr>
      <w:r>
        <w:rPr>
          <w:rStyle w:val="VerbatimChar"/>
        </w:rPr>
        <w:t xml:space="preserve">    Soud</w:t>
      </w:r>
      <w:r>
        <w:br w:type="textWrapping"/>
      </w:r>
      <w:r>
        <w:rPr>
          <w:rStyle w:val="VerbatimChar"/>
        </w:rPr>
        <w:t xml:space="preserve">    /   \</w:t>
      </w:r>
      <w:r>
        <w:br w:type="textWrapping"/>
      </w:r>
      <w:r>
        <w:rPr>
          <w:rStyle w:val="VerbatimChar"/>
        </w:rPr>
        <w:t xml:space="preserve">   /     \</w:t>
      </w:r>
      <w:r>
        <w:br w:type="textWrapping"/>
      </w:r>
      <w:r>
        <w:rPr>
          <w:rStyle w:val="VerbatimChar"/>
        </w:rPr>
        <w:t xml:space="preserve">Žalobce---Žalovaný</w:t>
      </w:r>
    </w:p>
    <w:p>
      <w:pPr>
        <w:pStyle w:val="Heading2"/>
      </w:pPr>
      <w:bookmarkStart w:id="23" w:name="odmítnutí-a-zamítnutí-žaloby-vyhovění-a-zastavení"/>
      <w:bookmarkEnd w:id="23"/>
      <w:r>
        <w:t xml:space="preserve">Odmítnutí a zamítnutí žaloby, vyhovění a zastavení</w:t>
      </w:r>
    </w:p>
    <w:p>
      <w:pPr>
        <w:pStyle w:val="Compact"/>
        <w:numPr>
          <w:numId w:val="1002"/>
          <w:ilvl w:val="0"/>
        </w:numPr>
      </w:pPr>
      <w:r>
        <w:t xml:space="preserve">Odmítnutí - meritorně se zabíval, ale právo neleží na stranně žalobce</w:t>
      </w:r>
    </w:p>
    <w:p>
      <w:pPr>
        <w:pStyle w:val="Compact"/>
        <w:numPr>
          <w:numId w:val="1002"/>
          <w:ilvl w:val="0"/>
        </w:numPr>
      </w:pPr>
      <w:r>
        <w:t xml:space="preserve">Zamítnutí - věcně se zabíval, ale skončilo to pro žalobce neúspěchem</w:t>
      </w:r>
    </w:p>
    <w:p>
      <w:pPr>
        <w:pStyle w:val="Compact"/>
        <w:numPr>
          <w:numId w:val="1002"/>
          <w:ilvl w:val="0"/>
        </w:numPr>
      </w:pPr>
      <w:r>
        <w:t xml:space="preserve">Vyhovění</w:t>
      </w:r>
    </w:p>
    <w:p>
      <w:pPr>
        <w:pStyle w:val="Compact"/>
        <w:numPr>
          <w:numId w:val="1002"/>
          <w:ilvl w:val="0"/>
        </w:numPr>
      </w:pPr>
      <w:r>
        <w:t xml:space="preserve">Zastavení</w:t>
      </w:r>
    </w:p>
    <w:p>
      <w:pPr>
        <w:pStyle w:val="Heading2"/>
      </w:pPr>
      <w:bookmarkStart w:id="24" w:name="kvalifikovaná-výzva"/>
      <w:bookmarkEnd w:id="24"/>
      <w:r>
        <w:t xml:space="preserve">Kvalifikovaná výzva</w:t>
      </w:r>
    </w:p>
    <w:p>
      <w:pPr>
        <w:pStyle w:val="Compact"/>
        <w:numPr>
          <w:numId w:val="1003"/>
          <w:ilvl w:val="0"/>
        </w:numPr>
      </w:pPr>
      <w:r>
        <w:t xml:space="preserve">$114b) odst. 5 o.s.ř., § 153 a) odst. 3 o.s.ř.</w:t>
      </w:r>
    </w:p>
    <w:p>
      <w:pPr>
        <w:pStyle w:val="Heading2"/>
      </w:pPr>
      <w:bookmarkStart w:id="25" w:name="procesní-úkon"/>
      <w:bookmarkEnd w:id="25"/>
      <w:r>
        <w:t xml:space="preserve">Procesní úkon</w:t>
      </w:r>
    </w:p>
    <w:p>
      <w:pPr>
        <w:pStyle w:val="Compact"/>
        <w:numPr>
          <w:numId w:val="1004"/>
          <w:ilvl w:val="0"/>
        </w:numPr>
      </w:pPr>
      <w:r>
        <w:t xml:space="preserve">Úkony, z nichž se skládá procesní činnost subjektů řízení</w:t>
      </w:r>
    </w:p>
    <w:p>
      <w:pPr>
        <w:pStyle w:val="Compact"/>
        <w:numPr>
          <w:numId w:val="1004"/>
          <w:ilvl w:val="0"/>
        </w:numPr>
      </w:pPr>
      <w:r>
        <w:t xml:space="preserve">Mají zásadní (i)</w:t>
      </w:r>
      <w:r>
        <w:t xml:space="preserve"> </w:t>
      </w:r>
      <w:r>
        <w:rPr>
          <w:b/>
        </w:rPr>
        <w:t xml:space="preserve">zahájení</w:t>
      </w:r>
      <w:r>
        <w:t xml:space="preserve">, (ii)</w:t>
      </w:r>
      <w:r>
        <w:t xml:space="preserve"> </w:t>
      </w:r>
      <w:r>
        <w:rPr>
          <w:b/>
        </w:rPr>
        <w:t xml:space="preserve">průběh</w:t>
      </w:r>
      <w:r>
        <w:t xml:space="preserve"> </w:t>
      </w:r>
      <w:r>
        <w:t xml:space="preserve">a (iii)</w:t>
      </w:r>
      <w:r>
        <w:t xml:space="preserve"> </w:t>
      </w:r>
      <w:r>
        <w:rPr>
          <w:b/>
        </w:rPr>
        <w:t xml:space="preserve">ukončení</w:t>
      </w:r>
      <w:r>
        <w:t xml:space="preserve"> </w:t>
      </w:r>
      <w:r>
        <w:t xml:space="preserve">řízení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Úkony soudu</w:t>
      </w:r>
      <w:r>
        <w:t xml:space="preserve"> </w:t>
      </w:r>
      <w:r>
        <w:t xml:space="preserve">- § 36 OSŘ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Úkony účastníků</w:t>
      </w:r>
      <w:r>
        <w:t xml:space="preserve"> </w:t>
      </w:r>
      <w:r>
        <w:t xml:space="preserve">- § 41 OSŘ</w:t>
      </w:r>
    </w:p>
    <w:p>
      <w:pPr>
        <w:pStyle w:val="Heading2"/>
      </w:pPr>
      <w:bookmarkStart w:id="26" w:name="soud-jako-procesní-subjekt-pravomoc-a-příslušnost-soudů"/>
      <w:bookmarkEnd w:id="26"/>
      <w:r>
        <w:t xml:space="preserve">Soud jako procesní subjekt, Pravomoc a příslušnost soudů</w:t>
      </w:r>
    </w:p>
    <w:p>
      <w:pPr>
        <w:pStyle w:val="Compact"/>
        <w:numPr>
          <w:numId w:val="1005"/>
          <w:ilvl w:val="0"/>
        </w:numPr>
      </w:pPr>
      <w:r>
        <w:t xml:space="preserve">Jeho pozice v procesním vztahu, jeho interakce s jinými procesnímy subjekty a cíl jehoprocesníčinnosti</w:t>
      </w:r>
    </w:p>
    <w:p>
      <w:pPr>
        <w:pStyle w:val="Compact"/>
        <w:numPr>
          <w:numId w:val="1005"/>
          <w:ilvl w:val="0"/>
        </w:numPr>
      </w:pPr>
      <w:r>
        <w:t xml:space="preserve">Základní vztah ve sporném řízení -&gt;</w:t>
      </w:r>
      <w:r>
        <w:t xml:space="preserve"> </w:t>
      </w:r>
      <w:r>
        <w:rPr>
          <w:b/>
        </w:rPr>
        <w:t xml:space="preserve">"nezůčastněný třetí"</w:t>
      </w:r>
      <w:r>
        <w:t xml:space="preserve">, který není nositelem žádného hmotného práva</w:t>
      </w:r>
    </w:p>
    <w:p>
      <w:pPr>
        <w:pStyle w:val="Compact"/>
        <w:numPr>
          <w:numId w:val="1005"/>
          <w:ilvl w:val="0"/>
        </w:numPr>
      </w:pPr>
      <w:r>
        <w:t xml:space="preserve">Je nestranný - řešit konflikt mezi stranami</w:t>
      </w:r>
    </w:p>
    <w:p>
      <w:pPr>
        <w:pStyle w:val="Compact"/>
        <w:numPr>
          <w:numId w:val="1005"/>
          <w:ilvl w:val="0"/>
        </w:numPr>
      </w:pPr>
      <w:r>
        <w:t xml:space="preserve">Nic se neodehraje bez přímé účasti soudu</w:t>
      </w:r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Denegation instituta</w:t>
      </w:r>
    </w:p>
    <w:p>
      <w:pPr>
        <w:pStyle w:val="Heading2"/>
      </w:pPr>
      <w:bookmarkStart w:id="27" w:name="civilnípravomocsodů"/>
      <w:bookmarkEnd w:id="27"/>
      <w:r>
        <w:t xml:space="preserve">Civilnípravomocsodů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Civilnípravomocsoudů</w:t>
      </w:r>
      <w:r>
        <w:t xml:space="preserve"> </w:t>
      </w:r>
      <w:r>
        <w:t xml:space="preserve">- okruh záležitostí, které jsou soudy oprávněny a povinny rozhodovat v civilním procesu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§ 7 OSŘ</w:t>
      </w:r>
      <w:r>
        <w:t xml:space="preserve"> </w:t>
      </w:r>
      <w:r>
        <w:t xml:space="preserve">- spory a jiné právní věci, které vyplývají z poměrů soukromého práva</w:t>
      </w:r>
    </w:p>
    <w:p>
      <w:pPr>
        <w:pStyle w:val="Compact"/>
        <w:numPr>
          <w:numId w:val="1006"/>
          <w:ilvl w:val="0"/>
        </w:numPr>
      </w:pPr>
      <w:r>
        <w:t xml:space="preserve">Jejedním z druhů soudní pravomoci (trestněprávní, správněprávní, ústavněprávní)</w:t>
      </w:r>
    </w:p>
    <w:p>
      <w:pPr>
        <w:pStyle w:val="Heading3"/>
      </w:pPr>
      <w:bookmarkStart w:id="28" w:name="zůžení-soudní-pravomoci"/>
      <w:bookmarkEnd w:id="28"/>
      <w:r>
        <w:t xml:space="preserve">Zůžení soudní pravomoci</w:t>
      </w:r>
    </w:p>
    <w:p>
      <w:pPr>
        <w:pStyle w:val="Compact"/>
        <w:numPr>
          <w:numId w:val="1007"/>
          <w:ilvl w:val="0"/>
        </w:numPr>
      </w:pPr>
      <w:r>
        <w:t xml:space="preserve">Jen nazákladězákona - například rozhodčí doložka</w:t>
      </w:r>
    </w:p>
    <w:p>
      <w:pPr>
        <w:pStyle w:val="Heading3"/>
      </w:pPr>
      <w:bookmarkStart w:id="29" w:name="výlučná-pravomoc"/>
      <w:bookmarkEnd w:id="29"/>
      <w:r>
        <w:t xml:space="preserve">Výlučná pravomoc</w:t>
      </w:r>
    </w:p>
    <w:p>
      <w:pPr>
        <w:pStyle w:val="Compact"/>
        <w:numPr>
          <w:numId w:val="1008"/>
          <w:ilvl w:val="0"/>
        </w:numPr>
      </w:pPr>
      <w:r>
        <w:t xml:space="preserve">Výlučná pravomoc - není možné, aby byl předmět řízení posuzován v jiném řízení, např. §109 odst. 1 c) OSŘ, § 135 odst. 1 OSŘ</w:t>
      </w:r>
    </w:p>
    <w:p>
      <w:pPr>
        <w:pStyle w:val="Compact"/>
        <w:numPr>
          <w:numId w:val="1008"/>
          <w:ilvl w:val="0"/>
        </w:numPr>
      </w:pPr>
      <w:r>
        <w:t xml:space="preserve">Zkoumá soud jako podmínku řízení - § 104 odst. 1 OSŘ</w:t>
      </w:r>
    </w:p>
    <w:p>
      <w:pPr>
        <w:pStyle w:val="Heading2"/>
      </w:pPr>
      <w:bookmarkStart w:id="30" w:name="příslušnost-soudů"/>
      <w:bookmarkEnd w:id="30"/>
      <w:r>
        <w:t xml:space="preserve">Příslušnost soudů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Příšlusnost soudu</w:t>
      </w:r>
      <w:r>
        <w:t xml:space="preserve"> </w:t>
      </w:r>
      <w:r>
        <w:t xml:space="preserve">-&gt; určení konkrétního soudu</w:t>
      </w:r>
    </w:p>
    <w:p>
      <w:pPr>
        <w:pStyle w:val="Compact"/>
        <w:numPr>
          <w:numId w:val="1009"/>
          <w:ilvl w:val="0"/>
        </w:numPr>
      </w:pPr>
      <w:r>
        <w:t xml:space="preserve">Pravidla o tom, na který soud je třeba se obrátit (z hlediska účastníků), akterý soud má povinnost věc projednat a rozhodnout (z hlediska soudu)</w:t>
      </w:r>
    </w:p>
    <w:p>
      <w:pPr>
        <w:pStyle w:val="Compact"/>
        <w:numPr>
          <w:numId w:val="1009"/>
          <w:ilvl w:val="0"/>
        </w:numPr>
      </w:pPr>
      <w:r>
        <w:t xml:space="preserve">Vymezuje působnost v rámci soudní soustavy</w:t>
      </w:r>
    </w:p>
    <w:p>
      <w:pPr>
        <w:pStyle w:val="Heading3"/>
      </w:pPr>
      <w:bookmarkStart w:id="31" w:name="členění"/>
      <w:bookmarkEnd w:id="31"/>
      <w:r>
        <w:t xml:space="preserve">Členění</w:t>
      </w:r>
    </w:p>
    <w:p>
      <w:pPr>
        <w:pStyle w:val="Compact"/>
        <w:numPr>
          <w:numId w:val="1010"/>
          <w:ilvl w:val="0"/>
        </w:numPr>
      </w:pPr>
      <w:r>
        <w:t xml:space="preserve">různé články soudní soustavy</w:t>
      </w:r>
    </w:p>
    <w:p>
      <w:pPr>
        <w:pStyle w:val="Compact"/>
        <w:numPr>
          <w:numId w:val="1010"/>
          <w:ilvl w:val="0"/>
        </w:numPr>
      </w:pPr>
      <w:r>
        <w:t xml:space="preserve">věcná - soud, který je příslušný rozhodnout věc jako soudy prvního stupně - okresní soudy a krajské soudy,</w:t>
      </w:r>
    </w:p>
    <w:p>
      <w:pPr>
        <w:pStyle w:val="Compact"/>
        <w:numPr>
          <w:numId w:val="1010"/>
          <w:ilvl w:val="0"/>
        </w:numPr>
      </w:pPr>
      <w:r>
        <w:t xml:space="preserve">funkční - soud, který je příslušný projednat opravné prostředky (řádný a mimořádný), (odvolání, dovolání, žalobě pro zmatečnost a žalobě na obnovu řízení, žaloba o neplatnost smíru),</w:t>
      </w:r>
    </w:p>
    <w:p>
      <w:pPr>
        <w:pStyle w:val="Compact"/>
        <w:numPr>
          <w:numId w:val="1010"/>
          <w:ilvl w:val="0"/>
        </w:numPr>
      </w:pPr>
      <w:r>
        <w:t xml:space="preserve">stejný článek soudní soustavy</w:t>
      </w:r>
    </w:p>
    <w:p>
      <w:pPr>
        <w:pStyle w:val="Compact"/>
        <w:numPr>
          <w:numId w:val="1010"/>
          <w:ilvl w:val="0"/>
        </w:numPr>
      </w:pPr>
      <w:r>
        <w:t xml:space="preserve">místní - soud, který je příslušný projednat věc v prvním stupni v rámci územních obvodů soudů (podle okresů),</w:t>
      </w:r>
    </w:p>
    <w:p>
      <w:pPr>
        <w:pStyle w:val="Compact"/>
        <w:numPr>
          <w:numId w:val="1011"/>
          <w:ilvl w:val="1"/>
        </w:numPr>
      </w:pPr>
      <w:r>
        <w:t xml:space="preserve">obecná - obecný soud žalovaného,</w:t>
      </w:r>
    </w:p>
    <w:p>
      <w:pPr>
        <w:pStyle w:val="Compact"/>
        <w:numPr>
          <w:numId w:val="1011"/>
          <w:ilvl w:val="1"/>
        </w:numPr>
      </w:pPr>
      <w:r>
        <w:t xml:space="preserve">zvláštní daná na výběr,</w:t>
      </w:r>
    </w:p>
    <w:p>
      <w:pPr>
        <w:pStyle w:val="Compact"/>
        <w:numPr>
          <w:numId w:val="1011"/>
          <w:ilvl w:val="1"/>
        </w:numPr>
      </w:pPr>
      <w:r>
        <w:t xml:space="preserve">zvláštní vylučná</w:t>
      </w:r>
    </w:p>
    <w:p>
      <w:pPr>
        <w:pStyle w:val="Compact"/>
        <w:numPr>
          <w:numId w:val="1011"/>
          <w:ilvl w:val="1"/>
        </w:numPr>
      </w:pPr>
      <w:r>
        <w:t xml:space="preserve">prorogační dohoda</w:t>
      </w:r>
    </w:p>
    <w:p>
      <w:pPr>
        <w:numPr>
          <w:numId w:val="1010"/>
          <w:ilvl w:val="0"/>
        </w:numPr>
      </w:pPr>
      <w:r>
        <w:t xml:space="preserve">kauzální - v současném právní stavu se u nás neuplatňuje - soud, který je příslušný projednat a rozhodnout věci určitého druhu</w:t>
      </w:r>
    </w:p>
    <w:p>
      <w:pPr>
        <w:numPr>
          <w:numId w:val="1010"/>
          <w:ilvl w:val="0"/>
        </w:numPr>
      </w:pPr>
      <w:r>
        <w:t xml:space="preserve">Příslušnost soudu se zkoumá - jsou to podmínky procesní, která mohou být zkoumány kdykoliv za řízení (věcné) - je to podmínka k rozhodnutí ve věci, nebo mohou být zkoumányjen dokudsenezačne jednat vě věci samé - později již nelze měnit! (místní)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0740c4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f097aed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2022-01-19T09:56:49Z</dcterms:created>
  <dcterms:modified xsi:type="dcterms:W3CDTF">2022-01-19T09:56:49Z</dcterms:modified>
</cp:coreProperties>
</file>