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A54364" w14:textId="77777777" w:rsidR="0057022E" w:rsidRDefault="0057022E" w:rsidP="0057022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57022E">
        <w:rPr>
          <w:rFonts w:ascii="Times New Roman" w:hAnsi="Times New Roman" w:cs="Times New Roman"/>
          <w:b/>
          <w:sz w:val="20"/>
          <w:szCs w:val="20"/>
        </w:rPr>
        <w:t>8.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Peníze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měna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funkce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peněz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formy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peněz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postup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výhody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rizika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zavádění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společné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měny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EURO (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tzv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Maastrichtská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kritéria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>).</w:t>
      </w:r>
    </w:p>
    <w:p w14:paraId="0F17356A" w14:textId="77777777" w:rsidR="0057022E" w:rsidRDefault="0057022E" w:rsidP="0057022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57022E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0868CE25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022E">
        <w:rPr>
          <w:rFonts w:ascii="Times New Roman" w:hAnsi="Times New Roman" w:cs="Times New Roman"/>
          <w:sz w:val="20"/>
          <w:szCs w:val="20"/>
        </w:rPr>
        <w:t>Vznik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peněz</w:t>
      </w:r>
      <w:bookmarkStart w:id="0" w:name="_GoBack"/>
      <w:bookmarkEnd w:id="0"/>
      <w:proofErr w:type="spellEnd"/>
    </w:p>
    <w:p w14:paraId="37B9227B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022E">
        <w:rPr>
          <w:rFonts w:ascii="Times New Roman" w:hAnsi="Times New Roman" w:cs="Times New Roman"/>
          <w:sz w:val="20"/>
          <w:szCs w:val="20"/>
        </w:rPr>
        <w:t>•</w:t>
      </w:r>
      <w:r w:rsidRPr="0057022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nejdříve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obchodovalo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tzv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barterovým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obchodem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výměnný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obchod</w:t>
      </w:r>
      <w:proofErr w:type="spellEnd"/>
    </w:p>
    <w:p w14:paraId="546C95A2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022E">
        <w:rPr>
          <w:rFonts w:ascii="Times New Roman" w:hAnsi="Times New Roman" w:cs="Times New Roman"/>
          <w:sz w:val="20"/>
          <w:szCs w:val="20"/>
        </w:rPr>
        <w:t>•</w:t>
      </w:r>
      <w:r w:rsidRPr="0057022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nevýhody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pomalý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nepružný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nepraktický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obchod</w:t>
      </w:r>
      <w:proofErr w:type="spellEnd"/>
    </w:p>
    <w:p w14:paraId="64B55698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BC7F0E5" w14:textId="77777777" w:rsidR="0057022E" w:rsidRPr="0057022E" w:rsidRDefault="0057022E" w:rsidP="0057022E">
      <w:pPr>
        <w:spacing w:after="0" w:line="240" w:lineRule="auto"/>
        <w:ind w:left="700" w:hanging="700"/>
        <w:rPr>
          <w:rFonts w:ascii="Times New Roman" w:hAnsi="Times New Roman" w:cs="Times New Roman"/>
          <w:sz w:val="20"/>
          <w:szCs w:val="20"/>
        </w:rPr>
      </w:pPr>
      <w:r w:rsidRPr="0057022E">
        <w:rPr>
          <w:rFonts w:ascii="Times New Roman" w:hAnsi="Times New Roman" w:cs="Times New Roman"/>
          <w:sz w:val="20"/>
          <w:szCs w:val="20"/>
        </w:rPr>
        <w:t>•</w:t>
      </w:r>
      <w:r w:rsidRPr="0057022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pak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určilo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nějaké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zboží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které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bylo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platidlem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např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dobytek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drahé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kovy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v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surovém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stavu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plátno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→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platit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) =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komoditní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peníze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šlo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za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ně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směnit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všechno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měly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danou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svou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hodnotu</w:t>
      </w:r>
      <w:proofErr w:type="spellEnd"/>
    </w:p>
    <w:p w14:paraId="60713557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022E">
        <w:rPr>
          <w:rFonts w:ascii="Times New Roman" w:hAnsi="Times New Roman" w:cs="Times New Roman"/>
          <w:sz w:val="20"/>
          <w:szCs w:val="20"/>
        </w:rPr>
        <w:t>•</w:t>
      </w:r>
      <w:r w:rsidRPr="0057022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nakonec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komoditními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penězi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jsou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jen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drahé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kovy</w:t>
      </w:r>
      <w:proofErr w:type="spellEnd"/>
    </w:p>
    <w:p w14:paraId="721834A0" w14:textId="77777777" w:rsidR="0057022E" w:rsidRPr="0057022E" w:rsidRDefault="0057022E" w:rsidP="0057022E">
      <w:pPr>
        <w:spacing w:after="0" w:line="240" w:lineRule="auto"/>
        <w:ind w:left="700" w:hanging="700"/>
        <w:rPr>
          <w:rFonts w:ascii="Times New Roman" w:hAnsi="Times New Roman" w:cs="Times New Roman"/>
          <w:sz w:val="20"/>
          <w:szCs w:val="20"/>
        </w:rPr>
      </w:pPr>
      <w:r w:rsidRPr="0057022E">
        <w:rPr>
          <w:rFonts w:ascii="Times New Roman" w:hAnsi="Times New Roman" w:cs="Times New Roman"/>
          <w:sz w:val="20"/>
          <w:szCs w:val="20"/>
        </w:rPr>
        <w:t>•</w:t>
      </w:r>
      <w:r w:rsidRPr="0057022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výhody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jsou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trvanlivé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snadno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dělitelné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snadno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přenosné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uskladnitelné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bylo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jich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málo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už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malé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množství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mělo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velkou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hodnotu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>)</w:t>
      </w:r>
    </w:p>
    <w:p w14:paraId="25A7DF27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022E">
        <w:rPr>
          <w:rFonts w:ascii="Times New Roman" w:hAnsi="Times New Roman" w:cs="Times New Roman"/>
          <w:sz w:val="20"/>
          <w:szCs w:val="20"/>
        </w:rPr>
        <w:t>•</w:t>
      </w:r>
      <w:r w:rsidRPr="0057022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nejdříve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slitky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zlata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3.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tisíciletí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PNL)</w:t>
      </w:r>
    </w:p>
    <w:p w14:paraId="3428ACEA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022E">
        <w:rPr>
          <w:rFonts w:ascii="Times New Roman" w:hAnsi="Times New Roman" w:cs="Times New Roman"/>
          <w:sz w:val="20"/>
          <w:szCs w:val="20"/>
        </w:rPr>
        <w:t>•</w:t>
      </w:r>
      <w:r w:rsidRPr="0057022E">
        <w:rPr>
          <w:rFonts w:ascii="Times New Roman" w:hAnsi="Times New Roman" w:cs="Times New Roman"/>
          <w:sz w:val="20"/>
          <w:szCs w:val="20"/>
        </w:rPr>
        <w:tab/>
        <w:t xml:space="preserve">od 7.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stol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ražené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mince v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Evropě</w:t>
      </w:r>
      <w:proofErr w:type="spellEnd"/>
    </w:p>
    <w:p w14:paraId="177E6D5E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022E">
        <w:rPr>
          <w:rFonts w:ascii="Times New Roman" w:hAnsi="Times New Roman" w:cs="Times New Roman"/>
          <w:sz w:val="20"/>
          <w:szCs w:val="20"/>
        </w:rPr>
        <w:t>•</w:t>
      </w:r>
      <w:r w:rsidRPr="0057022E">
        <w:rPr>
          <w:rFonts w:ascii="Times New Roman" w:hAnsi="Times New Roman" w:cs="Times New Roman"/>
          <w:sz w:val="20"/>
          <w:szCs w:val="20"/>
        </w:rPr>
        <w:tab/>
        <w:t xml:space="preserve">18.stol.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peníze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papírové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Francii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) –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nejdříve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každá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bankovka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byla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kryta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zlatem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8367940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022E">
        <w:rPr>
          <w:rFonts w:ascii="Times New Roman" w:hAnsi="Times New Roman" w:cs="Times New Roman"/>
          <w:sz w:val="20"/>
          <w:szCs w:val="20"/>
        </w:rPr>
        <w:t>•</w:t>
      </w:r>
      <w:r w:rsidRPr="0057022E">
        <w:rPr>
          <w:rFonts w:ascii="Times New Roman" w:hAnsi="Times New Roman" w:cs="Times New Roman"/>
          <w:sz w:val="20"/>
          <w:szCs w:val="20"/>
        </w:rPr>
        <w:tab/>
        <w:t xml:space="preserve">v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bance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zlatý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standard,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30.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letech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20.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stol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zlatý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standard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zaniká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CD67EBE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BC9077B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022E">
        <w:rPr>
          <w:rFonts w:ascii="Times New Roman" w:hAnsi="Times New Roman" w:cs="Times New Roman"/>
          <w:sz w:val="20"/>
          <w:szCs w:val="20"/>
        </w:rPr>
        <w:t>Funkce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peněz</w:t>
      </w:r>
      <w:proofErr w:type="spellEnd"/>
    </w:p>
    <w:p w14:paraId="0A30C5F7" w14:textId="77777777" w:rsidR="0057022E" w:rsidRPr="0057022E" w:rsidRDefault="0057022E" w:rsidP="0057022E">
      <w:pPr>
        <w:spacing w:after="0" w:line="240" w:lineRule="auto"/>
        <w:ind w:left="700" w:hanging="700"/>
        <w:rPr>
          <w:rFonts w:ascii="Times New Roman" w:hAnsi="Times New Roman" w:cs="Times New Roman"/>
          <w:sz w:val="20"/>
          <w:szCs w:val="20"/>
        </w:rPr>
      </w:pPr>
      <w:r w:rsidRPr="0057022E">
        <w:rPr>
          <w:rFonts w:ascii="Times New Roman" w:hAnsi="Times New Roman" w:cs="Times New Roman"/>
          <w:sz w:val="20"/>
          <w:szCs w:val="20"/>
        </w:rPr>
        <w:t>•</w:t>
      </w:r>
      <w:r w:rsidRPr="0057022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Denominátor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hodnoty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obecného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měřítka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hodnoty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) -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zúčtovací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jednotka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peníze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→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umožňují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ocenění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zboží</w:t>
      </w:r>
      <w:proofErr w:type="spellEnd"/>
    </w:p>
    <w:p w14:paraId="0C2744C3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985B0E0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022E">
        <w:rPr>
          <w:rFonts w:ascii="Times New Roman" w:hAnsi="Times New Roman" w:cs="Times New Roman"/>
          <w:sz w:val="20"/>
          <w:szCs w:val="20"/>
        </w:rPr>
        <w:t>•</w:t>
      </w:r>
      <w:r w:rsidRPr="0057022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Oběživo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všeobecného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prostředku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směny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) -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peníze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jsou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prostředkem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směny</w:t>
      </w:r>
      <w:proofErr w:type="spellEnd"/>
    </w:p>
    <w:p w14:paraId="78DF5883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B53A34F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022E">
        <w:rPr>
          <w:rFonts w:ascii="Times New Roman" w:hAnsi="Times New Roman" w:cs="Times New Roman"/>
          <w:sz w:val="20"/>
          <w:szCs w:val="20"/>
        </w:rPr>
        <w:t>o</w:t>
      </w:r>
      <w:r w:rsidRPr="0057022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úhrada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za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služby</w:t>
      </w:r>
      <w:proofErr w:type="spellEnd"/>
    </w:p>
    <w:p w14:paraId="42ACE225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022E">
        <w:rPr>
          <w:rFonts w:ascii="Times New Roman" w:hAnsi="Times New Roman" w:cs="Times New Roman"/>
          <w:sz w:val="20"/>
          <w:szCs w:val="20"/>
        </w:rPr>
        <w:t>o</w:t>
      </w:r>
      <w:r w:rsidRPr="0057022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prostřednictvím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peněz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umožněn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oběh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zboží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mezi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účastníky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trhu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nákup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prodej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služeb</w:t>
      </w:r>
      <w:proofErr w:type="spellEnd"/>
    </w:p>
    <w:p w14:paraId="7D6C741D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4AF7219" w14:textId="77777777" w:rsidR="0057022E" w:rsidRPr="0057022E" w:rsidRDefault="0057022E" w:rsidP="0057022E">
      <w:pPr>
        <w:spacing w:after="0" w:line="240" w:lineRule="auto"/>
        <w:ind w:left="700" w:hanging="700"/>
        <w:rPr>
          <w:rFonts w:ascii="Times New Roman" w:hAnsi="Times New Roman" w:cs="Times New Roman"/>
          <w:sz w:val="20"/>
          <w:szCs w:val="20"/>
        </w:rPr>
      </w:pPr>
      <w:r w:rsidRPr="0057022E">
        <w:rPr>
          <w:rFonts w:ascii="Times New Roman" w:hAnsi="Times New Roman" w:cs="Times New Roman"/>
          <w:sz w:val="20"/>
          <w:szCs w:val="20"/>
        </w:rPr>
        <w:t>•</w:t>
      </w:r>
      <w:r w:rsidRPr="0057022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Platidlo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všeobecného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prostředku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plateb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převodu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kapitálu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) –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neplatí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zde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funkce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poměřování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hodnoty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jde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fuknci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která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umožňuje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pohyb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převody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kapitálu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uskutečňování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plateb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, u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kterých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nejde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měřítko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hodnot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sankce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pokuty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daně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).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Obráceně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– v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případě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pojistné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události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pojistného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plnění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od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pojišťovny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náhrady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za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škodu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…) </w:t>
      </w:r>
    </w:p>
    <w:p w14:paraId="19B902C6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022E">
        <w:rPr>
          <w:rFonts w:ascii="Times New Roman" w:hAnsi="Times New Roman" w:cs="Times New Roman"/>
          <w:sz w:val="20"/>
          <w:szCs w:val="20"/>
        </w:rPr>
        <w:t>o</w:t>
      </w:r>
      <w:r w:rsidRPr="0057022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daně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cla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poplatky</w:t>
      </w:r>
      <w:proofErr w:type="spellEnd"/>
    </w:p>
    <w:p w14:paraId="69AC29AA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022E">
        <w:rPr>
          <w:rFonts w:ascii="Times New Roman" w:hAnsi="Times New Roman" w:cs="Times New Roman"/>
          <w:sz w:val="20"/>
          <w:szCs w:val="20"/>
        </w:rPr>
        <w:t>o</w:t>
      </w:r>
      <w:r w:rsidRPr="0057022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pojistné</w:t>
      </w:r>
      <w:proofErr w:type="spellEnd"/>
    </w:p>
    <w:p w14:paraId="0CC74065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022E">
        <w:rPr>
          <w:rFonts w:ascii="Times New Roman" w:hAnsi="Times New Roman" w:cs="Times New Roman"/>
          <w:sz w:val="20"/>
          <w:szCs w:val="20"/>
        </w:rPr>
        <w:t>o</w:t>
      </w:r>
      <w:r w:rsidRPr="0057022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peněžní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sankce</w:t>
      </w:r>
      <w:proofErr w:type="spellEnd"/>
    </w:p>
    <w:p w14:paraId="52FE09CE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022E">
        <w:rPr>
          <w:rFonts w:ascii="Times New Roman" w:hAnsi="Times New Roman" w:cs="Times New Roman"/>
          <w:sz w:val="20"/>
          <w:szCs w:val="20"/>
        </w:rPr>
        <w:t>o</w:t>
      </w:r>
      <w:r w:rsidRPr="0057022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převod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kapitálu</w:t>
      </w:r>
      <w:proofErr w:type="spellEnd"/>
    </w:p>
    <w:p w14:paraId="76CAF6A1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36473AD" w14:textId="77777777" w:rsidR="0057022E" w:rsidRPr="0057022E" w:rsidRDefault="0057022E" w:rsidP="0057022E">
      <w:pPr>
        <w:spacing w:after="0" w:line="240" w:lineRule="auto"/>
        <w:ind w:left="700" w:hanging="700"/>
        <w:rPr>
          <w:rFonts w:ascii="Times New Roman" w:hAnsi="Times New Roman" w:cs="Times New Roman"/>
          <w:sz w:val="20"/>
          <w:szCs w:val="20"/>
        </w:rPr>
      </w:pPr>
      <w:r w:rsidRPr="0057022E">
        <w:rPr>
          <w:rFonts w:ascii="Times New Roman" w:hAnsi="Times New Roman" w:cs="Times New Roman"/>
          <w:sz w:val="20"/>
          <w:szCs w:val="20"/>
        </w:rPr>
        <w:t>•</w:t>
      </w:r>
      <w:r w:rsidRPr="0057022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Poklad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nositele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uchovatele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hodnoty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) –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emise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zlatých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nebo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mincí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z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jiných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kovů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mincí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které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vydává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Národní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banka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k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určitému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výročí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apod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Oprávnění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panovníka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razit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mince se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nazývalo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REGÁL (Jus regale) -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mincovní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regál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Přenášely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hodnotu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v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čase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Peníze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slouží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k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uchování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nějaké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hodnoty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dají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shromažďovat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šetřit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>)</w:t>
      </w:r>
    </w:p>
    <w:p w14:paraId="1FB690FC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9E4E4EB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Peníze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mění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podobu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oběživo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hotovostní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X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bezhotovostní</w:t>
      </w:r>
      <w:proofErr w:type="spellEnd"/>
    </w:p>
    <w:p w14:paraId="1D2EEF41" w14:textId="77777777" w:rsid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022E">
        <w:rPr>
          <w:rFonts w:ascii="Times New Roman" w:hAnsi="Times New Roman" w:cs="Times New Roman"/>
          <w:sz w:val="20"/>
          <w:szCs w:val="20"/>
        </w:rPr>
        <w:t xml:space="preserve">Mince –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nejstarší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forma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peněz</w:t>
      </w:r>
      <w:proofErr w:type="spellEnd"/>
    </w:p>
    <w:p w14:paraId="2C9D48F6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904CF9F" w14:textId="77777777" w:rsid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022E">
        <w:rPr>
          <w:rFonts w:ascii="Times New Roman" w:hAnsi="Times New Roman" w:cs="Times New Roman"/>
          <w:sz w:val="20"/>
          <w:szCs w:val="20"/>
        </w:rPr>
        <w:t>Bankovky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americký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kontinent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protože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nedostatek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peněz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mincí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) - pro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stavby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investice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při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dobývání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amerického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západu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existující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zásoba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mincí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nestačila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pokrýt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potřebu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Banky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jakýsi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dlužní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úpis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bankovky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- z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toho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forma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papírových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peněz</w:t>
      </w:r>
      <w:proofErr w:type="spellEnd"/>
    </w:p>
    <w:p w14:paraId="389DE0D4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BC6E53B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022E">
        <w:rPr>
          <w:rFonts w:ascii="Times New Roman" w:hAnsi="Times New Roman" w:cs="Times New Roman"/>
          <w:sz w:val="20"/>
          <w:szCs w:val="20"/>
        </w:rPr>
        <w:t>Státovky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později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stejným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účelům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vydával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stát</w:t>
      </w:r>
      <w:proofErr w:type="spellEnd"/>
    </w:p>
    <w:p w14:paraId="3854D576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98DDF38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022E">
        <w:rPr>
          <w:rFonts w:ascii="Times New Roman" w:hAnsi="Times New Roman" w:cs="Times New Roman"/>
          <w:sz w:val="20"/>
          <w:szCs w:val="20"/>
        </w:rPr>
        <w:t>Dnes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pojem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bankovky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papírové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peníze</w:t>
      </w:r>
      <w:proofErr w:type="spellEnd"/>
    </w:p>
    <w:p w14:paraId="42B92888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454C44B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022E">
        <w:rPr>
          <w:rFonts w:ascii="Times New Roman" w:hAnsi="Times New Roman" w:cs="Times New Roman"/>
          <w:sz w:val="20"/>
          <w:szCs w:val="20"/>
        </w:rPr>
        <w:t>Formy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peněz</w:t>
      </w:r>
      <w:proofErr w:type="spellEnd"/>
    </w:p>
    <w:p w14:paraId="52FB57BF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022E">
        <w:rPr>
          <w:rFonts w:ascii="Times New Roman" w:hAnsi="Times New Roman" w:cs="Times New Roman"/>
          <w:sz w:val="20"/>
          <w:szCs w:val="20"/>
        </w:rPr>
        <w:t>•</w:t>
      </w:r>
      <w:r w:rsidRPr="0057022E">
        <w:rPr>
          <w:rFonts w:ascii="Times New Roman" w:hAnsi="Times New Roman" w:cs="Times New Roman"/>
          <w:sz w:val="20"/>
          <w:szCs w:val="20"/>
        </w:rPr>
        <w:tab/>
        <w:t>mince</w:t>
      </w:r>
    </w:p>
    <w:p w14:paraId="0F6226D0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022E">
        <w:rPr>
          <w:rFonts w:ascii="Times New Roman" w:hAnsi="Times New Roman" w:cs="Times New Roman"/>
          <w:sz w:val="20"/>
          <w:szCs w:val="20"/>
        </w:rPr>
        <w:t>•</w:t>
      </w:r>
      <w:r w:rsidRPr="0057022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papírové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peníze</w:t>
      </w:r>
      <w:proofErr w:type="spellEnd"/>
    </w:p>
    <w:p w14:paraId="4377A6AB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022E">
        <w:rPr>
          <w:rFonts w:ascii="Times New Roman" w:hAnsi="Times New Roman" w:cs="Times New Roman"/>
          <w:sz w:val="20"/>
          <w:szCs w:val="20"/>
        </w:rPr>
        <w:t>•</w:t>
      </w:r>
      <w:r w:rsidRPr="0057022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depozitní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peníze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účty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(v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bance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máme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fiktivní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peníze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>)</w:t>
      </w:r>
    </w:p>
    <w:p w14:paraId="6041D54C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022E">
        <w:rPr>
          <w:rFonts w:ascii="Times New Roman" w:hAnsi="Times New Roman" w:cs="Times New Roman"/>
          <w:sz w:val="20"/>
          <w:szCs w:val="20"/>
        </w:rPr>
        <w:t>•</w:t>
      </w:r>
      <w:r w:rsidRPr="0057022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termínovaná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depozita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ab/>
        <w:t xml:space="preserve">–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obnos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účtu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máme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jen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do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určitého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data</w:t>
      </w:r>
    </w:p>
    <w:p w14:paraId="58A0A305" w14:textId="77777777" w:rsidR="0057022E" w:rsidRPr="0057022E" w:rsidRDefault="0057022E" w:rsidP="0057022E">
      <w:pPr>
        <w:spacing w:after="0" w:line="240" w:lineRule="auto"/>
        <w:ind w:left="700"/>
        <w:rPr>
          <w:rFonts w:ascii="Times New Roman" w:hAnsi="Times New Roman" w:cs="Times New Roman"/>
          <w:sz w:val="20"/>
          <w:szCs w:val="20"/>
        </w:rPr>
      </w:pPr>
      <w:r w:rsidRPr="0057022E"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banka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s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nimi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může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určitou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dobu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operovat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(do </w:t>
      </w:r>
      <w:proofErr w:type="gramStart"/>
      <w:r w:rsidRPr="0057022E">
        <w:rPr>
          <w:rFonts w:ascii="Times New Roman" w:hAnsi="Times New Roman" w:cs="Times New Roman"/>
          <w:sz w:val="20"/>
          <w:szCs w:val="20"/>
        </w:rPr>
        <w:t>data,  do</w:t>
      </w:r>
      <w:proofErr w:type="gram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kterého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smluvíme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pak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nám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dá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více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úrok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obligace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>)</w:t>
      </w:r>
    </w:p>
    <w:p w14:paraId="259ACB90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022E">
        <w:rPr>
          <w:rFonts w:ascii="Times New Roman" w:hAnsi="Times New Roman" w:cs="Times New Roman"/>
          <w:sz w:val="20"/>
          <w:szCs w:val="20"/>
        </w:rPr>
        <w:t>oběživo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= to, co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koluje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mezi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lidmi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zprostředkovává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oběh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zboží</w:t>
      </w:r>
      <w:proofErr w:type="spellEnd"/>
    </w:p>
    <w:p w14:paraId="3E80177F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platidlo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různé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úvěry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umožňuje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splácet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různé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závazky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pohledávky</w:t>
      </w:r>
      <w:proofErr w:type="spellEnd"/>
    </w:p>
    <w:p w14:paraId="53124837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022E">
        <w:rPr>
          <w:rFonts w:ascii="Times New Roman" w:hAnsi="Times New Roman" w:cs="Times New Roman"/>
          <w:sz w:val="20"/>
          <w:szCs w:val="20"/>
        </w:rPr>
        <w:lastRenderedPageBreak/>
        <w:t xml:space="preserve"> </w:t>
      </w:r>
    </w:p>
    <w:p w14:paraId="7F694117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022E">
        <w:rPr>
          <w:rFonts w:ascii="Times New Roman" w:hAnsi="Times New Roman" w:cs="Times New Roman"/>
          <w:sz w:val="20"/>
          <w:szCs w:val="20"/>
        </w:rPr>
        <w:t>Měna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pojem</w:t>
      </w:r>
      <w:proofErr w:type="spellEnd"/>
    </w:p>
    <w:p w14:paraId="03F30AC4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022E">
        <w:rPr>
          <w:rFonts w:ascii="Times New Roman" w:hAnsi="Times New Roman" w:cs="Times New Roman"/>
          <w:sz w:val="20"/>
          <w:szCs w:val="20"/>
        </w:rPr>
        <w:t>skutečnost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že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jde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peníze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jejichž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podmínky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existence,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formu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soustavu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autoritativně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kvalifikovaným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způsobem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určuje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stát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nebo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jiná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nadstátní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autorita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-EU)</w:t>
      </w:r>
    </w:p>
    <w:p w14:paraId="1DF0BAFA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741BE05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022E">
        <w:rPr>
          <w:rFonts w:ascii="Times New Roman" w:hAnsi="Times New Roman" w:cs="Times New Roman"/>
          <w:sz w:val="20"/>
          <w:szCs w:val="20"/>
        </w:rPr>
        <w:t>Veřejnoprávní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předpisy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- MĚNOVÉ PRÁVO</w:t>
      </w:r>
    </w:p>
    <w:p w14:paraId="70239E4E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17D0408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022E">
        <w:rPr>
          <w:rFonts w:ascii="Times New Roman" w:hAnsi="Times New Roman" w:cs="Times New Roman"/>
          <w:sz w:val="20"/>
          <w:szCs w:val="20"/>
        </w:rPr>
        <w:t>Měna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54107DBF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022E">
        <w:rPr>
          <w:rFonts w:ascii="Times New Roman" w:hAnsi="Times New Roman" w:cs="Times New Roman"/>
          <w:sz w:val="20"/>
          <w:szCs w:val="20"/>
        </w:rPr>
        <w:t>•</w:t>
      </w:r>
      <w:r w:rsidRPr="0057022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konkrétní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soustava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peněz</w:t>
      </w:r>
      <w:proofErr w:type="spellEnd"/>
    </w:p>
    <w:p w14:paraId="17B4F63C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022E">
        <w:rPr>
          <w:rFonts w:ascii="Times New Roman" w:hAnsi="Times New Roman" w:cs="Times New Roman"/>
          <w:sz w:val="20"/>
          <w:szCs w:val="20"/>
        </w:rPr>
        <w:t>•</w:t>
      </w:r>
      <w:r w:rsidRPr="0057022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zavedená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v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určitém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státě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právními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normami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>)</w:t>
      </w:r>
    </w:p>
    <w:p w14:paraId="14571A37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022E">
        <w:rPr>
          <w:rFonts w:ascii="Times New Roman" w:hAnsi="Times New Roman" w:cs="Times New Roman"/>
          <w:sz w:val="20"/>
          <w:szCs w:val="20"/>
        </w:rPr>
        <w:t>•</w:t>
      </w:r>
      <w:r w:rsidRPr="0057022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upravena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právním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řádem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r w:rsidRPr="0057022E">
        <w:rPr>
          <w:rFonts w:ascii="Times New Roman" w:eastAsia="Webdings" w:hAnsi="Times New Roman" w:cs="Times New Roman"/>
          <w:sz w:val="20"/>
          <w:szCs w:val="20"/>
        </w:rPr>
        <w:t></w:t>
      </w:r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zákony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toho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státu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respektive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nadsttátní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autorita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měnová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unie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>))</w:t>
      </w:r>
    </w:p>
    <w:p w14:paraId="6C956F38" w14:textId="77777777" w:rsidR="0057022E" w:rsidRPr="0057022E" w:rsidRDefault="0057022E" w:rsidP="0057022E">
      <w:pPr>
        <w:spacing w:after="0" w:line="240" w:lineRule="auto"/>
        <w:ind w:left="700" w:hanging="700"/>
        <w:rPr>
          <w:rFonts w:ascii="Times New Roman" w:hAnsi="Times New Roman" w:cs="Times New Roman"/>
          <w:sz w:val="20"/>
          <w:szCs w:val="20"/>
        </w:rPr>
      </w:pPr>
      <w:r w:rsidRPr="0057022E">
        <w:rPr>
          <w:rFonts w:ascii="Times New Roman" w:hAnsi="Times New Roman" w:cs="Times New Roman"/>
          <w:sz w:val="20"/>
          <w:szCs w:val="20"/>
        </w:rPr>
        <w:t>•</w:t>
      </w:r>
      <w:r w:rsidRPr="0057022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emise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peněz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měnová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jednotka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autorita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r w:rsidRPr="0057022E">
        <w:rPr>
          <w:rFonts w:ascii="Times New Roman" w:eastAsia="Webdings" w:hAnsi="Times New Roman" w:cs="Times New Roman"/>
          <w:sz w:val="20"/>
          <w:szCs w:val="20"/>
        </w:rPr>
        <w:t></w:t>
      </w:r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centrální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banka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určitění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zákonných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peněz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pravidla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pro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oběh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peněz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>….</w:t>
      </w:r>
    </w:p>
    <w:p w14:paraId="3BD89CDF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006F5A6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022E">
        <w:rPr>
          <w:rFonts w:ascii="Times New Roman" w:hAnsi="Times New Roman" w:cs="Times New Roman"/>
          <w:sz w:val="20"/>
          <w:szCs w:val="20"/>
        </w:rPr>
        <w:t>Centrální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banka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denně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vydává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do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oběhu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obrovské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množství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nových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bankovek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(aby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neobíhaly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opotřebované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peníze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>).</w:t>
      </w:r>
    </w:p>
    <w:p w14:paraId="260AA498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159130C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022E">
        <w:rPr>
          <w:rFonts w:ascii="Times New Roman" w:hAnsi="Times New Roman" w:cs="Times New Roman"/>
          <w:sz w:val="20"/>
          <w:szCs w:val="20"/>
        </w:rPr>
        <w:t>Národní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měna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konkrétní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druh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peněz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území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určitěho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státu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upraveno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vnitřním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právem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státu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některé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měny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získaly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funkci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„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Světových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57022E">
        <w:rPr>
          <w:rFonts w:ascii="Times New Roman" w:hAnsi="Times New Roman" w:cs="Times New Roman"/>
          <w:sz w:val="20"/>
          <w:szCs w:val="20"/>
        </w:rPr>
        <w:t>peněz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>“ -</w:t>
      </w:r>
      <w:proofErr w:type="gram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překračují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význam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státu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který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je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vydal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silná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ekonomika</w:t>
      </w:r>
      <w:proofErr w:type="spellEnd"/>
    </w:p>
    <w:p w14:paraId="513C5A79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022E">
        <w:rPr>
          <w:rFonts w:ascii="Times New Roman" w:hAnsi="Times New Roman" w:cs="Times New Roman"/>
          <w:sz w:val="20"/>
          <w:szCs w:val="20"/>
        </w:rPr>
        <w:t>devizové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předpisy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kurzy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>)</w:t>
      </w:r>
    </w:p>
    <w:p w14:paraId="1367A6C2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Př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.: US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dolar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, Angl. Libra,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Japon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. Jen, </w:t>
      </w:r>
    </w:p>
    <w:p w14:paraId="0A751468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89C8889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022E">
        <w:rPr>
          <w:rFonts w:ascii="Times New Roman" w:hAnsi="Times New Roman" w:cs="Times New Roman"/>
          <w:sz w:val="20"/>
          <w:szCs w:val="20"/>
        </w:rPr>
        <w:t>Mezinárodní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měna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více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států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dohodne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vytvoření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měnové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unie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(EU)</w:t>
      </w:r>
    </w:p>
    <w:p w14:paraId="382ED6CC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022E">
        <w:rPr>
          <w:rFonts w:ascii="Times New Roman" w:hAnsi="Times New Roman" w:cs="Times New Roman"/>
          <w:sz w:val="20"/>
          <w:szCs w:val="20"/>
        </w:rPr>
        <w:t xml:space="preserve">EU -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Evropská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banka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emitent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měna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(EURO)</w:t>
      </w:r>
    </w:p>
    <w:p w14:paraId="77F32094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022E">
        <w:rPr>
          <w:rFonts w:ascii="Times New Roman" w:hAnsi="Times New Roman" w:cs="Times New Roman"/>
          <w:sz w:val="20"/>
          <w:szCs w:val="20"/>
        </w:rPr>
        <w:t xml:space="preserve">EU -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měnová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unie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(ne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všechny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členské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státy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>)</w:t>
      </w:r>
    </w:p>
    <w:p w14:paraId="4535D11D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CA42F69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022E">
        <w:rPr>
          <w:rFonts w:ascii="Times New Roman" w:hAnsi="Times New Roman" w:cs="Times New Roman"/>
          <w:sz w:val="20"/>
          <w:szCs w:val="20"/>
        </w:rPr>
        <w:t>Nadnárodní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měna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několik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států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smlouva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několik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států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dohodne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používat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měnu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jednoho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státu</w:t>
      </w:r>
      <w:proofErr w:type="spellEnd"/>
    </w:p>
    <w:p w14:paraId="01BB9BE0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022E">
        <w:rPr>
          <w:rFonts w:ascii="Times New Roman" w:hAnsi="Times New Roman" w:cs="Times New Roman"/>
          <w:sz w:val="20"/>
          <w:szCs w:val="20"/>
        </w:rPr>
        <w:t>-</w:t>
      </w:r>
      <w:r w:rsidRPr="0057022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slabá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ekonomika</w:t>
      </w:r>
      <w:proofErr w:type="spellEnd"/>
    </w:p>
    <w:p w14:paraId="155793DB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022E">
        <w:rPr>
          <w:rFonts w:ascii="Times New Roman" w:hAnsi="Times New Roman" w:cs="Times New Roman"/>
          <w:sz w:val="20"/>
          <w:szCs w:val="20"/>
        </w:rPr>
        <w:t>-</w:t>
      </w:r>
      <w:r w:rsidRPr="0057022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neschopnost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vytvořit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vlastní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měnu</w:t>
      </w:r>
      <w:proofErr w:type="spellEnd"/>
    </w:p>
    <w:p w14:paraId="5BCFE3DE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165AC0A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Př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Afrika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středoafrický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frank (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Africké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měnové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společenství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>)</w:t>
      </w:r>
    </w:p>
    <w:p w14:paraId="4485E728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Postup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výhody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rizika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zavádění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společné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měny</w:t>
      </w:r>
      <w:proofErr w:type="spellEnd"/>
    </w:p>
    <w:p w14:paraId="6001B61B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Podmínky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pro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přijetí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Eura</w:t>
      </w:r>
      <w:proofErr w:type="spellEnd"/>
    </w:p>
    <w:p w14:paraId="3CB41C13" w14:textId="77777777" w:rsidR="0057022E" w:rsidRPr="0057022E" w:rsidRDefault="0057022E" w:rsidP="0057022E">
      <w:pPr>
        <w:spacing w:after="0" w:line="240" w:lineRule="auto"/>
        <w:ind w:left="700" w:hanging="700"/>
        <w:rPr>
          <w:rFonts w:ascii="Times New Roman" w:hAnsi="Times New Roman" w:cs="Times New Roman"/>
          <w:sz w:val="20"/>
          <w:szCs w:val="20"/>
        </w:rPr>
      </w:pPr>
      <w:r w:rsidRPr="0057022E">
        <w:rPr>
          <w:rFonts w:ascii="Times New Roman" w:hAnsi="Times New Roman" w:cs="Times New Roman"/>
          <w:sz w:val="20"/>
          <w:szCs w:val="20"/>
        </w:rPr>
        <w:t>•</w:t>
      </w:r>
      <w:r w:rsidRPr="0057022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Dlouhodobá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úroková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míra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smí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být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nejvýše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2,5 %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vyšší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než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je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tato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míra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třech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zemích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EU s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nejnižší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inflací</w:t>
      </w:r>
      <w:proofErr w:type="spellEnd"/>
    </w:p>
    <w:p w14:paraId="64A5DED0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022E">
        <w:rPr>
          <w:rFonts w:ascii="Times New Roman" w:hAnsi="Times New Roman" w:cs="Times New Roman"/>
          <w:sz w:val="20"/>
          <w:szCs w:val="20"/>
        </w:rPr>
        <w:t>•</w:t>
      </w:r>
      <w:r w:rsidRPr="0057022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Míra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inflace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může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převyšovat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úroveň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tří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zemí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EU s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nejnižší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inflací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nejvýše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o 1,5 %</w:t>
      </w:r>
    </w:p>
    <w:p w14:paraId="4A61D091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022E">
        <w:rPr>
          <w:rFonts w:ascii="Times New Roman" w:hAnsi="Times New Roman" w:cs="Times New Roman"/>
          <w:sz w:val="20"/>
          <w:szCs w:val="20"/>
        </w:rPr>
        <w:t>•</w:t>
      </w:r>
      <w:r w:rsidRPr="0057022E">
        <w:rPr>
          <w:rFonts w:ascii="Times New Roman" w:hAnsi="Times New Roman" w:cs="Times New Roman"/>
          <w:sz w:val="20"/>
          <w:szCs w:val="20"/>
        </w:rPr>
        <w:tab/>
        <w:t xml:space="preserve">Deficit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státního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rozpočtu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smí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dosáhnout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nejvýše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3 % HDP</w:t>
      </w:r>
    </w:p>
    <w:p w14:paraId="258B1FF2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022E">
        <w:rPr>
          <w:rFonts w:ascii="Times New Roman" w:hAnsi="Times New Roman" w:cs="Times New Roman"/>
          <w:sz w:val="20"/>
          <w:szCs w:val="20"/>
        </w:rPr>
        <w:t>•</w:t>
      </w:r>
      <w:r w:rsidRPr="0057022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Velikost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veřejného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dluhu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smí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dosáhnout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nejvýše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60 % HDP</w:t>
      </w:r>
    </w:p>
    <w:p w14:paraId="65555583" w14:textId="77777777" w:rsidR="0057022E" w:rsidRPr="0057022E" w:rsidRDefault="0057022E" w:rsidP="0057022E">
      <w:pPr>
        <w:spacing w:after="0" w:line="240" w:lineRule="auto"/>
        <w:ind w:left="700" w:hanging="700"/>
        <w:rPr>
          <w:rFonts w:ascii="Times New Roman" w:hAnsi="Times New Roman" w:cs="Times New Roman"/>
          <w:sz w:val="20"/>
          <w:szCs w:val="20"/>
        </w:rPr>
      </w:pPr>
      <w:r w:rsidRPr="0057022E">
        <w:rPr>
          <w:rFonts w:ascii="Times New Roman" w:hAnsi="Times New Roman" w:cs="Times New Roman"/>
          <w:sz w:val="20"/>
          <w:szCs w:val="20"/>
        </w:rPr>
        <w:t>•</w:t>
      </w:r>
      <w:r w:rsidRPr="0057022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Měnový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kurs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musí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být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poslední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dva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roky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před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vstupem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součásti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kursového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mechanismu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Evropského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měnového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systému</w:t>
      </w:r>
      <w:proofErr w:type="spellEnd"/>
    </w:p>
    <w:p w14:paraId="15BE7130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022E">
        <w:rPr>
          <w:rFonts w:ascii="Times New Roman" w:hAnsi="Times New Roman" w:cs="Times New Roman"/>
          <w:sz w:val="20"/>
          <w:szCs w:val="20"/>
        </w:rPr>
        <w:t>•</w:t>
      </w:r>
      <w:r w:rsidRPr="0057022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Kurzová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stabilita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účast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v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systému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ERM II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minimálně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dva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roky</w:t>
      </w:r>
      <w:proofErr w:type="spellEnd"/>
    </w:p>
    <w:p w14:paraId="4608F5CF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0CAE8F4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022E">
        <w:rPr>
          <w:rFonts w:ascii="Times New Roman" w:hAnsi="Times New Roman" w:cs="Times New Roman"/>
          <w:sz w:val="20"/>
          <w:szCs w:val="20"/>
        </w:rPr>
        <w:t>Výhody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zavedení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Eura</w:t>
      </w:r>
      <w:proofErr w:type="spellEnd"/>
    </w:p>
    <w:p w14:paraId="6357C1EA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022E">
        <w:rPr>
          <w:rFonts w:ascii="Times New Roman" w:hAnsi="Times New Roman" w:cs="Times New Roman"/>
          <w:sz w:val="20"/>
          <w:szCs w:val="20"/>
        </w:rPr>
        <w:t>•</w:t>
      </w:r>
      <w:r w:rsidRPr="0057022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Úspora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transakčních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nákladů</w:t>
      </w:r>
      <w:proofErr w:type="spellEnd"/>
    </w:p>
    <w:p w14:paraId="38B70FB7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022E">
        <w:rPr>
          <w:rFonts w:ascii="Times New Roman" w:hAnsi="Times New Roman" w:cs="Times New Roman"/>
          <w:sz w:val="20"/>
          <w:szCs w:val="20"/>
        </w:rPr>
        <w:t>•</w:t>
      </w:r>
      <w:r w:rsidRPr="0057022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Eliminace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kursových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rizik</w:t>
      </w:r>
      <w:proofErr w:type="spellEnd"/>
    </w:p>
    <w:p w14:paraId="61E2B3EC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022E">
        <w:rPr>
          <w:rFonts w:ascii="Times New Roman" w:hAnsi="Times New Roman" w:cs="Times New Roman"/>
          <w:sz w:val="20"/>
          <w:szCs w:val="20"/>
        </w:rPr>
        <w:t>•</w:t>
      </w:r>
      <w:r w:rsidRPr="0057022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Tlak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pokles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úrokových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sazeb</w:t>
      </w:r>
      <w:proofErr w:type="spellEnd"/>
    </w:p>
    <w:p w14:paraId="511D59C6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022E">
        <w:rPr>
          <w:rFonts w:ascii="Times New Roman" w:hAnsi="Times New Roman" w:cs="Times New Roman"/>
          <w:sz w:val="20"/>
          <w:szCs w:val="20"/>
        </w:rPr>
        <w:t>•</w:t>
      </w:r>
      <w:r w:rsidRPr="0057022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Snížení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míry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inflace</w:t>
      </w:r>
      <w:proofErr w:type="spellEnd"/>
    </w:p>
    <w:p w14:paraId="6E09D020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022E">
        <w:rPr>
          <w:rFonts w:ascii="Times New Roman" w:hAnsi="Times New Roman" w:cs="Times New Roman"/>
          <w:sz w:val="20"/>
          <w:szCs w:val="20"/>
        </w:rPr>
        <w:t>•</w:t>
      </w:r>
      <w:r w:rsidRPr="0057022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Efektivnější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alokace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investic</w:t>
      </w:r>
      <w:proofErr w:type="spellEnd"/>
    </w:p>
    <w:p w14:paraId="09825B9B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022E">
        <w:rPr>
          <w:rFonts w:ascii="Times New Roman" w:hAnsi="Times New Roman" w:cs="Times New Roman"/>
          <w:sz w:val="20"/>
          <w:szCs w:val="20"/>
        </w:rPr>
        <w:t>•</w:t>
      </w:r>
      <w:r w:rsidRPr="0057022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Snížení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průměrné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míry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nezaměstnanosti</w:t>
      </w:r>
      <w:proofErr w:type="spellEnd"/>
    </w:p>
    <w:p w14:paraId="69010613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752ECA7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022E">
        <w:rPr>
          <w:rFonts w:ascii="Times New Roman" w:hAnsi="Times New Roman" w:cs="Times New Roman"/>
          <w:sz w:val="20"/>
          <w:szCs w:val="20"/>
        </w:rPr>
        <w:t>Rizika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nevýhody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zavedení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Eura</w:t>
      </w:r>
      <w:proofErr w:type="spellEnd"/>
    </w:p>
    <w:p w14:paraId="734DB621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022E">
        <w:rPr>
          <w:rFonts w:ascii="Times New Roman" w:hAnsi="Times New Roman" w:cs="Times New Roman"/>
          <w:sz w:val="20"/>
          <w:szCs w:val="20"/>
        </w:rPr>
        <w:t>•</w:t>
      </w:r>
      <w:r w:rsidRPr="0057022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Ztráta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národní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suverenity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v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měnové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oblasti</w:t>
      </w:r>
      <w:proofErr w:type="spellEnd"/>
    </w:p>
    <w:p w14:paraId="07510CAC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022E">
        <w:rPr>
          <w:rFonts w:ascii="Times New Roman" w:hAnsi="Times New Roman" w:cs="Times New Roman"/>
          <w:sz w:val="20"/>
          <w:szCs w:val="20"/>
        </w:rPr>
        <w:t>•</w:t>
      </w:r>
      <w:r w:rsidRPr="0057022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Náklady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výrobu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hotovostních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peněz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společné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měny</w:t>
      </w:r>
      <w:proofErr w:type="spellEnd"/>
    </w:p>
    <w:p w14:paraId="4B5FDF8D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022E">
        <w:rPr>
          <w:rFonts w:ascii="Times New Roman" w:hAnsi="Times New Roman" w:cs="Times New Roman"/>
          <w:sz w:val="20"/>
          <w:szCs w:val="20"/>
        </w:rPr>
        <w:t>•</w:t>
      </w:r>
      <w:r w:rsidRPr="0057022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Inflační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impuls</w:t>
      </w:r>
      <w:proofErr w:type="spellEnd"/>
    </w:p>
    <w:p w14:paraId="380FFF7C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8C91B07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022E">
        <w:rPr>
          <w:rFonts w:ascii="Times New Roman" w:hAnsi="Times New Roman" w:cs="Times New Roman"/>
          <w:sz w:val="20"/>
          <w:szCs w:val="20"/>
        </w:rPr>
        <w:t>ERM II.</w:t>
      </w:r>
    </w:p>
    <w:p w14:paraId="361EB35C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022E">
        <w:rPr>
          <w:rFonts w:ascii="Times New Roman" w:hAnsi="Times New Roman" w:cs="Times New Roman"/>
          <w:sz w:val="20"/>
          <w:szCs w:val="20"/>
        </w:rPr>
        <w:t>Evropský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mechanismus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směnných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kurzů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II (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anglicky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European Exchange Rate Mechanism II,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zkratka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ERM II)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vznikl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1.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ledna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1999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jako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nástupce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Evropského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mechanismu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směnných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kurzů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Země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zapojené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do ERM II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musí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kurzy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svých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měn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udržovat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v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povoleném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fluktuačním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pásmu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± 15 %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od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stanoveného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středního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kurzu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centrální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parity) k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euru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, pro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Dánsko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je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stanoveno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užší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fluktuační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pásmo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± 2,25 %.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Zároveň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nesmí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dojít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k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devalvaci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centrální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parity,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revalvace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centrální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parity je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přípustná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Alespoň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dvouleté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setrvání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v ERM II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za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výše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uvedených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podmínek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je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jedním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z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konvergenčních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kritérií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jejichž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splnění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je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nutnou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podmínkou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pro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přijetí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země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do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eurozóny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>.</w:t>
      </w:r>
    </w:p>
    <w:p w14:paraId="52D3A5C4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C8B25C6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022E">
        <w:rPr>
          <w:rFonts w:ascii="Times New Roman" w:hAnsi="Times New Roman" w:cs="Times New Roman"/>
          <w:sz w:val="20"/>
          <w:szCs w:val="20"/>
        </w:rPr>
        <w:t xml:space="preserve">Po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zavedení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eura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v 11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členských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zemích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Evropské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unie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od 1.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ledna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1999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byly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jedinými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členy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ERM II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Dánsko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Řecko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. V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současnosti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jsou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do ERM II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zapojeny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čtyři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národní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měny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členských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států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EU.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Vstup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dalších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měn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do ERM II se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očekává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v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následujících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letech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Tímto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mechanismem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již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prošlo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pět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národních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měn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které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byly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po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minimálně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dvouletém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setrvání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v ERM II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nahrazeny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eurem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>.</w:t>
      </w:r>
    </w:p>
    <w:p w14:paraId="2134E10B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4AA1ABF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022E">
        <w:rPr>
          <w:rFonts w:ascii="Times New Roman" w:hAnsi="Times New Roman" w:cs="Times New Roman"/>
          <w:sz w:val="20"/>
          <w:szCs w:val="20"/>
        </w:rPr>
        <w:t>Fixace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kurzu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CD0CA43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022E">
        <w:rPr>
          <w:rFonts w:ascii="Times New Roman" w:hAnsi="Times New Roman" w:cs="Times New Roman"/>
          <w:sz w:val="20"/>
          <w:szCs w:val="20"/>
        </w:rPr>
        <w:t>Stanovení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parity pro ERM II</w:t>
      </w:r>
    </w:p>
    <w:p w14:paraId="40EC1AA5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022E">
        <w:rPr>
          <w:rFonts w:ascii="Times New Roman" w:hAnsi="Times New Roman" w:cs="Times New Roman"/>
          <w:sz w:val="20"/>
          <w:szCs w:val="20"/>
        </w:rPr>
        <w:t>•</w:t>
      </w:r>
      <w:r w:rsidRPr="0057022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Parita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stanovena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po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dohodě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s ECB, ECOFIN (min.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financí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EU-25) a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centrálními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bankami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Eurosystému</w:t>
      </w:r>
      <w:proofErr w:type="spellEnd"/>
    </w:p>
    <w:p w14:paraId="3CC70F86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022E">
        <w:rPr>
          <w:rFonts w:ascii="Times New Roman" w:hAnsi="Times New Roman" w:cs="Times New Roman"/>
          <w:sz w:val="20"/>
          <w:szCs w:val="20"/>
        </w:rPr>
        <w:t>•</w:t>
      </w:r>
      <w:r w:rsidRPr="0057022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Většinou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aktuální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hodnotě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kurzu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předpokládá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se,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že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není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příliš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daleko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od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rovnováhy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>)</w:t>
      </w:r>
    </w:p>
    <w:p w14:paraId="3BAB4A84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022E">
        <w:rPr>
          <w:rFonts w:ascii="Times New Roman" w:hAnsi="Times New Roman" w:cs="Times New Roman"/>
          <w:sz w:val="20"/>
          <w:szCs w:val="20"/>
        </w:rPr>
        <w:t>•</w:t>
      </w:r>
      <w:r w:rsidRPr="0057022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Rozhoduje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několik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málo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dní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před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okamžikem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vstupu</w:t>
      </w:r>
      <w:proofErr w:type="spellEnd"/>
    </w:p>
    <w:p w14:paraId="355684B1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32D52DD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022E">
        <w:rPr>
          <w:rFonts w:ascii="Times New Roman" w:hAnsi="Times New Roman" w:cs="Times New Roman"/>
          <w:sz w:val="20"/>
          <w:szCs w:val="20"/>
        </w:rPr>
        <w:t>Stanovení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konverzního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poměru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pro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přechod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z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koruny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euro</w:t>
      </w:r>
    </w:p>
    <w:p w14:paraId="0CD0DCF4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022E">
        <w:rPr>
          <w:rFonts w:ascii="Times New Roman" w:hAnsi="Times New Roman" w:cs="Times New Roman"/>
          <w:sz w:val="20"/>
          <w:szCs w:val="20"/>
        </w:rPr>
        <w:t>•</w:t>
      </w:r>
      <w:r w:rsidRPr="0057022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Poměr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stanoven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po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dohodě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s ECB, ECOFIN a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centrálními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bankami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Eurosystému</w:t>
      </w:r>
      <w:proofErr w:type="spellEnd"/>
    </w:p>
    <w:p w14:paraId="43B92900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022E">
        <w:rPr>
          <w:rFonts w:ascii="Times New Roman" w:hAnsi="Times New Roman" w:cs="Times New Roman"/>
          <w:sz w:val="20"/>
          <w:szCs w:val="20"/>
        </w:rPr>
        <w:t>•</w:t>
      </w:r>
      <w:r w:rsidRPr="0057022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Většinou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aktuální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centrální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paritě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ERMII (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po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jejích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případných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předchozích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úpravách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>)</w:t>
      </w:r>
    </w:p>
    <w:p w14:paraId="3166ACDC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022E">
        <w:rPr>
          <w:rFonts w:ascii="Times New Roman" w:hAnsi="Times New Roman" w:cs="Times New Roman"/>
          <w:sz w:val="20"/>
          <w:szCs w:val="20"/>
        </w:rPr>
        <w:t>•</w:t>
      </w:r>
      <w:r w:rsidRPr="0057022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Konverzní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poměr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ohlášen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při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vyhodnocení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EK a ECB</w:t>
      </w:r>
    </w:p>
    <w:p w14:paraId="4B022ED1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DCAD8ED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022E">
        <w:rPr>
          <w:rFonts w:ascii="Times New Roman" w:hAnsi="Times New Roman" w:cs="Times New Roman"/>
          <w:sz w:val="20"/>
          <w:szCs w:val="20"/>
        </w:rPr>
        <w:t>Rizika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dlouhodobého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pobytu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koruny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v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systému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ERM II</w:t>
      </w:r>
    </w:p>
    <w:p w14:paraId="59F0BD22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022E">
        <w:rPr>
          <w:rFonts w:ascii="Times New Roman" w:hAnsi="Times New Roman" w:cs="Times New Roman"/>
          <w:sz w:val="20"/>
          <w:szCs w:val="20"/>
        </w:rPr>
        <w:t>•</w:t>
      </w:r>
      <w:r w:rsidRPr="0057022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účast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režimu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fixního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kurzu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s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velmi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volnou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fixací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teoreticky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až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± 15 %)</w:t>
      </w:r>
    </w:p>
    <w:p w14:paraId="0394B4AC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022E">
        <w:rPr>
          <w:rFonts w:ascii="Times New Roman" w:hAnsi="Times New Roman" w:cs="Times New Roman"/>
          <w:sz w:val="20"/>
          <w:szCs w:val="20"/>
        </w:rPr>
        <w:t>•</w:t>
      </w:r>
      <w:r w:rsidRPr="0057022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režimy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rozvolněné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fixace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nejvíce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náchylné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spekulativním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útokům</w:t>
      </w:r>
      <w:proofErr w:type="spellEnd"/>
    </w:p>
    <w:p w14:paraId="7AE3CC80" w14:textId="77777777" w:rsidR="0057022E" w:rsidRPr="0057022E" w:rsidRDefault="0057022E" w:rsidP="0057022E">
      <w:pPr>
        <w:spacing w:after="0" w:line="240" w:lineRule="auto"/>
        <w:ind w:left="700" w:hanging="700"/>
        <w:rPr>
          <w:rFonts w:ascii="Times New Roman" w:hAnsi="Times New Roman" w:cs="Times New Roman"/>
          <w:sz w:val="20"/>
          <w:szCs w:val="20"/>
        </w:rPr>
      </w:pPr>
      <w:r w:rsidRPr="0057022E">
        <w:rPr>
          <w:rFonts w:ascii="Times New Roman" w:hAnsi="Times New Roman" w:cs="Times New Roman"/>
          <w:sz w:val="20"/>
          <w:szCs w:val="20"/>
        </w:rPr>
        <w:t>•</w:t>
      </w:r>
      <w:r w:rsidRPr="0057022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zafixování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kurzu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české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koruny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k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euru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závazek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udržovat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kurz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v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rámci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± 15 %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fluktuačního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pásma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bez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silnějšího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pnutí</w:t>
      </w:r>
      <w:proofErr w:type="spellEnd"/>
    </w:p>
    <w:p w14:paraId="1029362D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022E">
        <w:rPr>
          <w:rFonts w:ascii="Times New Roman" w:hAnsi="Times New Roman" w:cs="Times New Roman"/>
          <w:sz w:val="20"/>
          <w:szCs w:val="20"/>
        </w:rPr>
        <w:t>•</w:t>
      </w:r>
      <w:r w:rsidRPr="0057022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pevný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kurz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klade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vysoké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nároky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konzistentnost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hospodářských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politika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makroekonomickou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stabilitu</w:t>
      </w:r>
      <w:proofErr w:type="spellEnd"/>
    </w:p>
    <w:p w14:paraId="18101093" w14:textId="77777777" w:rsidR="0057022E" w:rsidRPr="0057022E" w:rsidRDefault="0057022E" w:rsidP="0057022E">
      <w:pPr>
        <w:spacing w:after="0" w:line="240" w:lineRule="auto"/>
        <w:ind w:left="700" w:hanging="700"/>
        <w:rPr>
          <w:rFonts w:ascii="Times New Roman" w:hAnsi="Times New Roman" w:cs="Times New Roman"/>
          <w:sz w:val="20"/>
          <w:szCs w:val="20"/>
        </w:rPr>
      </w:pPr>
      <w:r w:rsidRPr="0057022E">
        <w:rPr>
          <w:rFonts w:ascii="Times New Roman" w:hAnsi="Times New Roman" w:cs="Times New Roman"/>
          <w:sz w:val="20"/>
          <w:szCs w:val="20"/>
        </w:rPr>
        <w:t>•</w:t>
      </w:r>
      <w:r w:rsidRPr="0057022E">
        <w:rPr>
          <w:rFonts w:ascii="Times New Roman" w:hAnsi="Times New Roman" w:cs="Times New Roman"/>
          <w:sz w:val="20"/>
          <w:szCs w:val="20"/>
        </w:rPr>
        <w:tab/>
        <w:t xml:space="preserve">pro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centrální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banku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sledování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jak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stabilně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nízké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míry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inflace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tak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stabilního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kurzu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značně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konfliktní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situací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př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Maďarska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z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roku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2002)</w:t>
      </w:r>
    </w:p>
    <w:p w14:paraId="3B58A208" w14:textId="77777777" w:rsidR="0057022E" w:rsidRPr="0057022E" w:rsidRDefault="0057022E" w:rsidP="0057022E">
      <w:pPr>
        <w:spacing w:after="0" w:line="240" w:lineRule="auto"/>
        <w:ind w:left="700" w:hanging="700"/>
        <w:rPr>
          <w:rFonts w:ascii="Times New Roman" w:hAnsi="Times New Roman" w:cs="Times New Roman"/>
          <w:sz w:val="20"/>
          <w:szCs w:val="20"/>
        </w:rPr>
      </w:pPr>
      <w:r w:rsidRPr="0057022E">
        <w:rPr>
          <w:rFonts w:ascii="Times New Roman" w:hAnsi="Times New Roman" w:cs="Times New Roman"/>
          <w:sz w:val="20"/>
          <w:szCs w:val="20"/>
        </w:rPr>
        <w:t>•</w:t>
      </w:r>
      <w:r w:rsidRPr="0057022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členství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v ERM II: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stabilizující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efekt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pohyb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devizového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kurzu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prostřednictvím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ukotvení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kurzových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očekávání</w:t>
      </w:r>
      <w:proofErr w:type="spellEnd"/>
    </w:p>
    <w:p w14:paraId="524CE373" w14:textId="77777777" w:rsidR="0057022E" w:rsidRPr="0057022E" w:rsidRDefault="0057022E" w:rsidP="00570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022E">
        <w:rPr>
          <w:rFonts w:ascii="Times New Roman" w:hAnsi="Times New Roman" w:cs="Times New Roman"/>
          <w:sz w:val="20"/>
          <w:szCs w:val="20"/>
        </w:rPr>
        <w:t>•</w:t>
      </w:r>
      <w:r w:rsidRPr="0057022E">
        <w:rPr>
          <w:rFonts w:ascii="Times New Roman" w:hAnsi="Times New Roman" w:cs="Times New Roman"/>
          <w:sz w:val="20"/>
          <w:szCs w:val="20"/>
        </w:rPr>
        <w:tab/>
        <w:t xml:space="preserve">pro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tranzitivní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ekonomiky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kde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kurz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je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jedním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z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kanálů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ekonomické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konvergence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výhody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z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členství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v ERM II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limitované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vliv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omezení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fluktuací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devizového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22E">
        <w:rPr>
          <w:rFonts w:ascii="Times New Roman" w:hAnsi="Times New Roman" w:cs="Times New Roman"/>
          <w:sz w:val="20"/>
          <w:szCs w:val="20"/>
        </w:rPr>
        <w:t>kurzu</w:t>
      </w:r>
      <w:proofErr w:type="spellEnd"/>
      <w:r w:rsidRPr="0057022E">
        <w:rPr>
          <w:rFonts w:ascii="Times New Roman" w:hAnsi="Times New Roman" w:cs="Times New Roman"/>
          <w:sz w:val="20"/>
          <w:szCs w:val="20"/>
        </w:rPr>
        <w:t>)</w:t>
      </w:r>
    </w:p>
    <w:p w14:paraId="6ABE84BF" w14:textId="77777777" w:rsidR="00130EA0" w:rsidRPr="0057022E" w:rsidRDefault="00130EA0" w:rsidP="0057022E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sectPr w:rsidR="00130EA0" w:rsidRPr="0057022E" w:rsidSect="00A97A3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22E"/>
    <w:rsid w:val="00100EC9"/>
    <w:rsid w:val="00130EA0"/>
    <w:rsid w:val="0057022E"/>
    <w:rsid w:val="00A9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905AF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">
    <w:name w:val="Normal"/>
    <w:qFormat/>
    <w:rsid w:val="0057022E"/>
    <w:pPr>
      <w:spacing w:after="200" w:line="276" w:lineRule="auto"/>
    </w:pPr>
    <w:rPr>
      <w:rFonts w:eastAsiaTheme="minorEastAsia"/>
      <w:sz w:val="22"/>
      <w:szCs w:val="22"/>
      <w:lang w:val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1056</Words>
  <Characters>6235</Characters>
  <Application>Microsoft Macintosh Word</Application>
  <DocSecurity>0</DocSecurity>
  <Lines>51</Lines>
  <Paragraphs>14</Paragraphs>
  <ScaleCrop>false</ScaleCrop>
  <HeadingPairs>
    <vt:vector size="2" baseType="variant">
      <vt:variant>
        <vt:lpstr>Oslovení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Lettyy Pyyttel</dc:creator>
  <cp:keywords/>
  <dc:description/>
  <cp:lastModifiedBy>Lettyy Pyyttel</cp:lastModifiedBy>
  <cp:revision>1</cp:revision>
  <cp:lastPrinted>2017-05-17T06:36:00Z</cp:lastPrinted>
  <dcterms:created xsi:type="dcterms:W3CDTF">2017-05-17T06:32:00Z</dcterms:created>
  <dcterms:modified xsi:type="dcterms:W3CDTF">2017-05-17T06:38:00Z</dcterms:modified>
</cp:coreProperties>
</file>