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Pr="006E62C3" w:rsidRDefault="52F82794" w:rsidP="42B13DDF">
      <w:pPr>
        <w:pStyle w:val="Heading3"/>
        <w:rPr>
          <w:rFonts w:ascii="Times New Roman" w:eastAsia="Times New Roman" w:hAnsi="Times New Roman" w:cs="Times New Roman"/>
          <w:b/>
          <w:bCs/>
          <w:color w:val="auto"/>
          <w:sz w:val="20"/>
          <w:szCs w:val="20"/>
          <w:highlight w:val="green"/>
        </w:rPr>
      </w:pPr>
      <w:r w:rsidRPr="006E62C3">
        <w:rPr>
          <w:rFonts w:ascii="Times New Roman" w:eastAsia="Times New Roman" w:hAnsi="Times New Roman" w:cs="Times New Roman"/>
          <w:b/>
          <w:bCs/>
          <w:color w:val="auto"/>
          <w:sz w:val="20"/>
          <w:szCs w:val="20"/>
          <w:highlight w:val="green"/>
        </w:rPr>
        <w:t>ZASTOUPENÍ</w:t>
      </w:r>
    </w:p>
    <w:p w14:paraId="293C9C19" w14:textId="7288F702" w:rsidR="496EFF91" w:rsidRPr="006E62C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6E62C3">
        <w:rPr>
          <w:rFonts w:ascii="Times New Roman" w:eastAsia="Times New Roman" w:hAnsi="Times New Roman" w:cs="Times New Roman"/>
          <w:color w:val="000000" w:themeColor="text1"/>
          <w:sz w:val="20"/>
          <w:szCs w:val="20"/>
          <w:highlight w:val="green"/>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6E62C3">
        <w:rPr>
          <w:rFonts w:ascii="Times New Roman" w:eastAsia="Times New Roman" w:hAnsi="Times New Roman" w:cs="Times New Roman"/>
          <w:color w:val="000000" w:themeColor="text1"/>
          <w:sz w:val="20"/>
          <w:szCs w:val="20"/>
          <w:highlight w:val="green"/>
        </w:rPr>
        <w:t>-        k zastoupení je nutná svéprávnost – alespoň k právním jednáním, které je nutné za zastoupeného dělat</w:t>
      </w:r>
    </w:p>
    <w:p w14:paraId="48D50989" w14:textId="2695613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67853">
        <w:rPr>
          <w:rFonts w:ascii="Times New Roman" w:eastAsia="Times New Roman" w:hAnsi="Times New Roman" w:cs="Times New Roman"/>
          <w:color w:val="000000" w:themeColor="text1"/>
          <w:sz w:val="20"/>
          <w:szCs w:val="20"/>
          <w:highlight w:val="green"/>
        </w:rPr>
        <w:t xml:space="preserve">v  </w:t>
      </w:r>
      <w:proofErr w:type="spellStart"/>
      <w:r w:rsidRPr="00D67853">
        <w:rPr>
          <w:rFonts w:ascii="Times New Roman" w:eastAsia="Times New Roman" w:hAnsi="Times New Roman" w:cs="Times New Roman"/>
          <w:color w:val="000000" w:themeColor="text1"/>
          <w:sz w:val="20"/>
          <w:szCs w:val="20"/>
          <w:highlight w:val="green"/>
        </w:rPr>
        <w:t>v</w:t>
      </w:r>
      <w:proofErr w:type="spellEnd"/>
      <w:proofErr w:type="gramEnd"/>
      <w:r w:rsidRPr="00D67853">
        <w:rPr>
          <w:rFonts w:ascii="Times New Roman" w:eastAsia="Times New Roman" w:hAnsi="Times New Roman" w:cs="Times New Roman"/>
          <w:color w:val="000000" w:themeColor="text1"/>
          <w:sz w:val="20"/>
          <w:szCs w:val="20"/>
          <w:highlight w:val="green"/>
        </w:rPr>
        <w:t xml:space="preserve"> zásadě rozeznáváme </w:t>
      </w:r>
      <w:r w:rsidRPr="00D67853">
        <w:rPr>
          <w:rFonts w:ascii="Times New Roman" w:eastAsia="Times New Roman" w:hAnsi="Times New Roman" w:cs="Times New Roman"/>
          <w:b/>
          <w:bCs/>
          <w:color w:val="000000" w:themeColor="text1"/>
          <w:sz w:val="20"/>
          <w:szCs w:val="20"/>
          <w:highlight w:val="green"/>
        </w:rPr>
        <w:t>2 typy zastoupení</w:t>
      </w:r>
      <w:r w:rsidRPr="00D67853">
        <w:rPr>
          <w:rFonts w:ascii="Times New Roman" w:eastAsia="Times New Roman" w:hAnsi="Times New Roman" w:cs="Times New Roman"/>
          <w:color w:val="000000" w:themeColor="text1"/>
          <w:sz w:val="20"/>
          <w:szCs w:val="20"/>
          <w:highlight w:val="green"/>
        </w:rPr>
        <w:t>:</w:t>
      </w:r>
    </w:p>
    <w:p w14:paraId="06D40EA1" w14:textId="538CFF8E" w:rsidR="496EFF91" w:rsidRPr="00D67853"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přímé</w:t>
      </w:r>
      <w:r w:rsidRPr="00D67853">
        <w:rPr>
          <w:rFonts w:ascii="Times New Roman" w:eastAsia="Times New Roman" w:hAnsi="Times New Roman" w:cs="Times New Roman"/>
          <w:color w:val="000000" w:themeColor="text1"/>
          <w:sz w:val="20"/>
          <w:szCs w:val="20"/>
          <w:highlight w:val="green"/>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67853">
        <w:rPr>
          <w:rFonts w:ascii="Times New Roman" w:eastAsia="Times New Roman" w:hAnsi="Times New Roman" w:cs="Times New Roman"/>
          <w:color w:val="000000" w:themeColor="text1"/>
          <w:sz w:val="20"/>
          <w:szCs w:val="20"/>
          <w:highlight w:val="green"/>
        </w:rPr>
        <w:t xml:space="preserve">o   </w:t>
      </w:r>
      <w:r w:rsidRPr="00D67853">
        <w:rPr>
          <w:rFonts w:ascii="Times New Roman" w:eastAsia="Times New Roman" w:hAnsi="Times New Roman" w:cs="Times New Roman"/>
          <w:b/>
          <w:bCs/>
          <w:color w:val="000000" w:themeColor="text1"/>
          <w:sz w:val="20"/>
          <w:szCs w:val="20"/>
          <w:highlight w:val="green"/>
        </w:rPr>
        <w:t>zastoupení nepřímé</w:t>
      </w:r>
      <w:r w:rsidRPr="00D67853">
        <w:rPr>
          <w:rFonts w:ascii="Times New Roman" w:eastAsia="Times New Roman" w:hAnsi="Times New Roman" w:cs="Times New Roman"/>
          <w:color w:val="000000" w:themeColor="text1"/>
          <w:sz w:val="20"/>
          <w:szCs w:val="20"/>
          <w:highlight w:val="green"/>
        </w:rPr>
        <w:t xml:space="preserve"> – zástupce dělá úkony svým jménem a na svůj účet, avšak nabytá práva a povinnosti musí převést na zastoupeného</w:t>
      </w:r>
    </w:p>
    <w:p w14:paraId="1F3538FE" w14:textId="65B496AD"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E6377">
        <w:rPr>
          <w:rFonts w:ascii="Times New Roman" w:eastAsia="Times New Roman" w:hAnsi="Times New Roman" w:cs="Times New Roman"/>
          <w:color w:val="000000" w:themeColor="text1"/>
          <w:sz w:val="20"/>
          <w:szCs w:val="20"/>
          <w:highlight w:val="green"/>
        </w:rPr>
        <w:t xml:space="preserve">v  </w:t>
      </w:r>
      <w:r w:rsidRPr="00DE6377">
        <w:rPr>
          <w:rFonts w:ascii="Times New Roman" w:eastAsia="Times New Roman" w:hAnsi="Times New Roman" w:cs="Times New Roman"/>
          <w:b/>
          <w:bCs/>
          <w:color w:val="000000" w:themeColor="text1"/>
          <w:sz w:val="20"/>
          <w:szCs w:val="20"/>
          <w:highlight w:val="green"/>
        </w:rPr>
        <w:t>dle</w:t>
      </w:r>
      <w:proofErr w:type="gramEnd"/>
      <w:r w:rsidRPr="00DE6377">
        <w:rPr>
          <w:rFonts w:ascii="Times New Roman" w:eastAsia="Times New Roman" w:hAnsi="Times New Roman" w:cs="Times New Roman"/>
          <w:b/>
          <w:bCs/>
          <w:color w:val="000000" w:themeColor="text1"/>
          <w:sz w:val="20"/>
          <w:szCs w:val="20"/>
          <w:highlight w:val="green"/>
        </w:rPr>
        <w:t xml:space="preserve"> právního důvodu svého vzniku </w:t>
      </w:r>
      <w:r w:rsidRPr="00DE6377">
        <w:rPr>
          <w:rFonts w:ascii="Times New Roman" w:eastAsia="Times New Roman" w:hAnsi="Times New Roman" w:cs="Times New Roman"/>
          <w:color w:val="000000" w:themeColor="text1"/>
          <w:sz w:val="20"/>
          <w:szCs w:val="20"/>
          <w:highlight w:val="green"/>
        </w:rPr>
        <w:t>rozlišujeme:</w:t>
      </w:r>
    </w:p>
    <w:p w14:paraId="3C59533C" w14:textId="4D948E5B"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DE6377">
        <w:rPr>
          <w:rFonts w:ascii="Times New Roman" w:eastAsia="Times New Roman" w:hAnsi="Times New Roman" w:cs="Times New Roman"/>
          <w:color w:val="000000" w:themeColor="text1"/>
          <w:sz w:val="20"/>
          <w:szCs w:val="20"/>
          <w:highlight w:val="green"/>
        </w:rPr>
        <w:t xml:space="preserve">1.     </w:t>
      </w:r>
      <w:r w:rsidRPr="00DE6377">
        <w:rPr>
          <w:rFonts w:ascii="Times New Roman" w:eastAsia="Times New Roman" w:hAnsi="Times New Roman" w:cs="Times New Roman"/>
          <w:color w:val="000000" w:themeColor="text1"/>
          <w:sz w:val="20"/>
          <w:szCs w:val="20"/>
          <w:highlight w:val="green"/>
          <w:u w:val="single"/>
        </w:rPr>
        <w:t>zastoupení zákonné a opatrovnictví</w:t>
      </w:r>
    </w:p>
    <w:p w14:paraId="128961DD" w14:textId="560895CE"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vzniká přímo ze zákona, tj. v případě nezletilých dětí – zákonní zástupci jsou rodiče</w:t>
      </w:r>
    </w:p>
    <w:p w14:paraId="32178AB2" w14:textId="3E251447" w:rsidR="496EFF91" w:rsidRPr="00DE6377"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E6377">
        <w:rPr>
          <w:rFonts w:ascii="Times New Roman" w:eastAsia="Times New Roman" w:hAnsi="Times New Roman" w:cs="Times New Roman"/>
          <w:color w:val="000000" w:themeColor="text1"/>
          <w:sz w:val="20"/>
          <w:szCs w:val="20"/>
          <w:highlight w:val="green"/>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DE6377">
        <w:rPr>
          <w:rFonts w:ascii="Times New Roman" w:eastAsia="Times New Roman" w:hAnsi="Times New Roman" w:cs="Times New Roman"/>
          <w:color w:val="000000" w:themeColor="text1"/>
          <w:sz w:val="20"/>
          <w:szCs w:val="20"/>
          <w:highlight w:val="green"/>
        </w:rPr>
        <w:t xml:space="preserve">·       </w:t>
      </w:r>
      <w:r w:rsidRPr="00DE6377">
        <w:rPr>
          <w:rFonts w:ascii="Times New Roman" w:eastAsia="Times New Roman" w:hAnsi="Times New Roman" w:cs="Times New Roman"/>
          <w:b/>
          <w:bCs/>
          <w:color w:val="000000" w:themeColor="text1"/>
          <w:sz w:val="20"/>
          <w:szCs w:val="20"/>
          <w:highlight w:val="green"/>
        </w:rPr>
        <w:t>kolizní opatrovník</w:t>
      </w:r>
      <w:r w:rsidRPr="00DE6377">
        <w:rPr>
          <w:rFonts w:ascii="Times New Roman" w:eastAsia="Times New Roman" w:hAnsi="Times New Roman" w:cs="Times New Roman"/>
          <w:color w:val="000000" w:themeColor="text1"/>
          <w:sz w:val="20"/>
          <w:szCs w:val="20"/>
          <w:highlight w:val="green"/>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E72416">
        <w:rPr>
          <w:rFonts w:ascii="Times New Roman" w:eastAsia="Times New Roman" w:hAnsi="Times New Roman" w:cs="Times New Roman"/>
          <w:color w:val="000000" w:themeColor="text1"/>
          <w:sz w:val="20"/>
          <w:szCs w:val="20"/>
          <w:highlight w:val="green"/>
        </w:rPr>
        <w:t xml:space="preserve">2.     </w:t>
      </w:r>
      <w:r w:rsidRPr="00E72416">
        <w:rPr>
          <w:rFonts w:ascii="Times New Roman" w:eastAsia="Times New Roman" w:hAnsi="Times New Roman" w:cs="Times New Roman"/>
          <w:color w:val="000000" w:themeColor="text1"/>
          <w:sz w:val="20"/>
          <w:szCs w:val="20"/>
          <w:highlight w:val="green"/>
          <w:u w:val="single"/>
        </w:rPr>
        <w:t>zastoupení smluvní</w:t>
      </w:r>
    </w:p>
    <w:p w14:paraId="0E5C4C44" w14:textId="47BA7CE0"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právním důvodem vzniku tohoto typu zastoupení je smlouva o zastoupení</w:t>
      </w:r>
    </w:p>
    <w:p w14:paraId="0ECFF02D" w14:textId="7E9709A3"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jednostranným potvrzením o ujednání a vzniku je plná moc</w:t>
      </w:r>
    </w:p>
    <w:p w14:paraId="4C130D1F" w14:textId="5AD293B2"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v plné moci musí být uveden rozsah zmocněncova oprávnění</w:t>
      </w:r>
    </w:p>
    <w:p w14:paraId="0D04C33F" w14:textId="0F85C51F" w:rsidR="496EFF91" w:rsidRPr="00E72416"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plná moc může být </w:t>
      </w:r>
      <w:r w:rsidRPr="00E72416">
        <w:rPr>
          <w:rFonts w:ascii="Times New Roman" w:eastAsia="Times New Roman" w:hAnsi="Times New Roman" w:cs="Times New Roman"/>
          <w:b/>
          <w:bCs/>
          <w:color w:val="000000" w:themeColor="text1"/>
          <w:sz w:val="20"/>
          <w:szCs w:val="20"/>
          <w:highlight w:val="green"/>
        </w:rPr>
        <w:t>ústní nebo písemná</w:t>
      </w:r>
    </w:p>
    <w:p w14:paraId="58E4492F" w14:textId="24BE9E2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o   písemnou vyžaduje zákon v případech:</w:t>
      </w:r>
    </w:p>
    <w:p w14:paraId="2FCB78B6" w14:textId="6D041FED"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má právní úkon, který má být učiněn, písemnou formu</w:t>
      </w:r>
    </w:p>
    <w:p w14:paraId="311E0969" w14:textId="02FDBDA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E72416">
        <w:rPr>
          <w:rFonts w:ascii="Times New Roman" w:eastAsia="Times New Roman" w:hAnsi="Times New Roman" w:cs="Times New Roman"/>
          <w:color w:val="000000" w:themeColor="text1"/>
          <w:sz w:val="20"/>
          <w:szCs w:val="20"/>
          <w:highlight w:val="green"/>
        </w:rPr>
        <w:t>§  pokud</w:t>
      </w:r>
      <w:proofErr w:type="gramEnd"/>
      <w:r w:rsidRPr="00E72416">
        <w:rPr>
          <w:rFonts w:ascii="Times New Roman" w:eastAsia="Times New Roman" w:hAnsi="Times New Roman" w:cs="Times New Roman"/>
          <w:color w:val="000000" w:themeColor="text1"/>
          <w:sz w:val="20"/>
          <w:szCs w:val="20"/>
          <w:highlight w:val="green"/>
        </w:rPr>
        <w:t xml:space="preserve"> se plná moc netýká jen určitého právního úkonu</w:t>
      </w:r>
    </w:p>
    <w:p w14:paraId="091F33BA" w14:textId="1860EF1E"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rozlišujeme </w:t>
      </w:r>
      <w:r w:rsidRPr="00E72416">
        <w:rPr>
          <w:rFonts w:ascii="Times New Roman" w:eastAsia="Times New Roman" w:hAnsi="Times New Roman" w:cs="Times New Roman"/>
          <w:b/>
          <w:bCs/>
          <w:color w:val="000000" w:themeColor="text1"/>
          <w:sz w:val="20"/>
          <w:szCs w:val="20"/>
          <w:highlight w:val="green"/>
        </w:rPr>
        <w:t>2 typy plné moci</w:t>
      </w:r>
      <w:r w:rsidRPr="00E72416">
        <w:rPr>
          <w:rFonts w:ascii="Times New Roman" w:eastAsia="Times New Roman" w:hAnsi="Times New Roman" w:cs="Times New Roman"/>
          <w:color w:val="000000" w:themeColor="text1"/>
          <w:sz w:val="20"/>
          <w:szCs w:val="20"/>
          <w:highlight w:val="green"/>
        </w:rPr>
        <w:t xml:space="preserve"> v závislosti na rozsahu zmocněncova oprávnění:</w:t>
      </w:r>
    </w:p>
    <w:p w14:paraId="1F0C4F55" w14:textId="25DA6441" w:rsidR="496EFF91" w:rsidRPr="00E72416"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E72416">
        <w:rPr>
          <w:rFonts w:ascii="Times New Roman" w:eastAsia="Times New Roman" w:hAnsi="Times New Roman" w:cs="Times New Roman"/>
          <w:color w:val="000000" w:themeColor="text1"/>
          <w:sz w:val="20"/>
          <w:szCs w:val="20"/>
          <w:highlight w:val="green"/>
        </w:rPr>
        <w:t xml:space="preserve">     </w:t>
      </w:r>
      <w:r w:rsidRPr="00E72416">
        <w:rPr>
          <w:rFonts w:ascii="Times New Roman" w:eastAsia="Times New Roman" w:hAnsi="Times New Roman" w:cs="Times New Roman"/>
          <w:color w:val="000000" w:themeColor="text1"/>
          <w:sz w:val="20"/>
          <w:szCs w:val="20"/>
          <w:highlight w:val="green"/>
          <w:u w:val="single"/>
        </w:rPr>
        <w:t>sociální plná moc</w:t>
      </w:r>
      <w:r w:rsidRPr="00E72416">
        <w:rPr>
          <w:rFonts w:ascii="Times New Roman" w:eastAsia="Times New Roman" w:hAnsi="Times New Roman" w:cs="Times New Roman"/>
          <w:color w:val="000000" w:themeColor="text1"/>
          <w:sz w:val="20"/>
          <w:szCs w:val="20"/>
          <w:highlight w:val="green"/>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E72416">
        <w:rPr>
          <w:rFonts w:ascii="Times New Roman" w:eastAsia="Times New Roman" w:hAnsi="Times New Roman" w:cs="Times New Roman"/>
          <w:color w:val="000000" w:themeColor="text1"/>
          <w:sz w:val="20"/>
          <w:szCs w:val="20"/>
          <w:highlight w:val="green"/>
        </w:rPr>
        <w:lastRenderedPageBreak/>
        <w:t xml:space="preserve">     </w:t>
      </w:r>
      <w:r w:rsidRPr="00E72416">
        <w:rPr>
          <w:rFonts w:ascii="Times New Roman" w:eastAsia="Times New Roman" w:hAnsi="Times New Roman" w:cs="Times New Roman"/>
          <w:color w:val="000000" w:themeColor="text1"/>
          <w:sz w:val="20"/>
          <w:szCs w:val="20"/>
          <w:highlight w:val="green"/>
          <w:u w:val="single"/>
        </w:rPr>
        <w:t>generální plná moc</w:t>
      </w:r>
      <w:r w:rsidRPr="00E72416">
        <w:rPr>
          <w:rFonts w:ascii="Times New Roman" w:eastAsia="Times New Roman" w:hAnsi="Times New Roman" w:cs="Times New Roman"/>
          <w:color w:val="000000" w:themeColor="text1"/>
          <w:sz w:val="20"/>
          <w:szCs w:val="20"/>
          <w:highlight w:val="green"/>
        </w:rPr>
        <w:t xml:space="preserve"> – udělena ke všem právním jednáním, která by mohl vykonat sám zmocnitel</w:t>
      </w:r>
    </w:p>
    <w:p w14:paraId="5523CE09" w14:textId="08447E31"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B5B95">
        <w:rPr>
          <w:rFonts w:ascii="Times New Roman" w:eastAsia="Times New Roman" w:hAnsi="Times New Roman" w:cs="Times New Roman"/>
          <w:color w:val="000000" w:themeColor="text1"/>
          <w:sz w:val="20"/>
          <w:szCs w:val="20"/>
          <w:highlight w:val="green"/>
        </w:rPr>
        <w:t>Ø  zmocnitel</w:t>
      </w:r>
      <w:proofErr w:type="gramEnd"/>
      <w:r w:rsidRPr="003B5B95">
        <w:rPr>
          <w:rFonts w:ascii="Times New Roman" w:eastAsia="Times New Roman" w:hAnsi="Times New Roman" w:cs="Times New Roman"/>
          <w:color w:val="000000" w:themeColor="text1"/>
          <w:sz w:val="20"/>
          <w:szCs w:val="20"/>
          <w:highlight w:val="green"/>
        </w:rPr>
        <w:t xml:space="preserve"> i zmocněnec může být FO i PO</w:t>
      </w:r>
    </w:p>
    <w:p w14:paraId="4D71C404" w14:textId="4B4544B9" w:rsidR="496EFF91" w:rsidRPr="003B5B95" w:rsidRDefault="52F82794" w:rsidP="42B13DDF">
      <w:pPr>
        <w:spacing w:line="253" w:lineRule="exact"/>
        <w:rPr>
          <w:rFonts w:ascii="Times New Roman" w:eastAsia="Times New Roman" w:hAnsi="Times New Roman" w:cs="Times New Roman"/>
          <w:b/>
          <w:bCs/>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 xml:space="preserve"> -        </w:t>
      </w:r>
      <w:r w:rsidRPr="003B5B95">
        <w:rPr>
          <w:rFonts w:ascii="Times New Roman" w:eastAsia="Times New Roman" w:hAnsi="Times New Roman" w:cs="Times New Roman"/>
          <w:b/>
          <w:bCs/>
          <w:color w:val="000000" w:themeColor="text1"/>
          <w:sz w:val="20"/>
          <w:szCs w:val="20"/>
          <w:highlight w:val="green"/>
        </w:rPr>
        <w:t>zmocněnec se může nechat zastoupit jinou osobou v těchto případech:</w:t>
      </w:r>
    </w:p>
    <w:p w14:paraId="62EAEFEF" w14:textId="449FA785"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zmocněncem PO</w:t>
      </w:r>
    </w:p>
    <w:p w14:paraId="792D715D" w14:textId="4DFFFA57" w:rsidR="496EFF91" w:rsidRPr="003B5B95"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3B5B95">
        <w:rPr>
          <w:rFonts w:ascii="Times New Roman" w:eastAsia="Times New Roman" w:hAnsi="Times New Roman" w:cs="Times New Roman"/>
          <w:color w:val="000000" w:themeColor="text1"/>
          <w:sz w:val="20"/>
          <w:szCs w:val="20"/>
          <w:highlight w:val="green"/>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3B5B95">
        <w:rPr>
          <w:rFonts w:ascii="Times New Roman" w:eastAsia="Times New Roman" w:hAnsi="Times New Roman" w:cs="Times New Roman"/>
          <w:color w:val="000000" w:themeColor="text1"/>
          <w:sz w:val="20"/>
          <w:szCs w:val="20"/>
          <w:highlight w:val="green"/>
        </w:rPr>
        <w:t>o   vyžaduje-li to nutná potřeba</w:t>
      </w:r>
    </w:p>
    <w:p w14:paraId="618B0E6D" w14:textId="594F09D8" w:rsidR="496EFF91" w:rsidRPr="003C4E9F" w:rsidRDefault="52F82794" w:rsidP="42B13DDF">
      <w:pPr>
        <w:spacing w:line="253" w:lineRule="exact"/>
        <w:ind w:left="360" w:hanging="360"/>
        <w:rPr>
          <w:rFonts w:ascii="Times New Roman" w:eastAsia="Times New Roman" w:hAnsi="Times New Roman" w:cs="Times New Roman"/>
          <w:b/>
          <w:bCs/>
          <w:color w:val="000000" w:themeColor="text1"/>
          <w:sz w:val="20"/>
          <w:szCs w:val="20"/>
          <w:highlight w:val="green"/>
        </w:rPr>
      </w:pPr>
      <w:r w:rsidRPr="003C4E9F">
        <w:rPr>
          <w:rFonts w:ascii="Times New Roman" w:eastAsia="Times New Roman" w:hAnsi="Times New Roman" w:cs="Times New Roman"/>
          <w:color w:val="000000" w:themeColor="text1"/>
          <w:sz w:val="20"/>
          <w:szCs w:val="20"/>
          <w:highlight w:val="green"/>
        </w:rPr>
        <w:t xml:space="preserve">-        </w:t>
      </w:r>
      <w:r w:rsidRPr="003C4E9F">
        <w:rPr>
          <w:rFonts w:ascii="Times New Roman" w:eastAsia="Times New Roman" w:hAnsi="Times New Roman" w:cs="Times New Roman"/>
          <w:b/>
          <w:bCs/>
          <w:color w:val="000000" w:themeColor="text1"/>
          <w:sz w:val="20"/>
          <w:szCs w:val="20"/>
          <w:highlight w:val="green"/>
        </w:rPr>
        <w:t>zánik plné moci</w:t>
      </w:r>
    </w:p>
    <w:p w14:paraId="300DC980" w14:textId="410A4997"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provedením</w:t>
      </w:r>
      <w:proofErr w:type="gramEnd"/>
      <w:r w:rsidRPr="003C4E9F">
        <w:rPr>
          <w:rFonts w:ascii="Times New Roman" w:eastAsia="Times New Roman" w:hAnsi="Times New Roman" w:cs="Times New Roman"/>
          <w:color w:val="000000" w:themeColor="text1"/>
          <w:sz w:val="20"/>
          <w:szCs w:val="20"/>
          <w:highlight w:val="green"/>
        </w:rPr>
        <w:t xml:space="preserve"> právního jednání stanoveného v plné moci</w:t>
      </w:r>
    </w:p>
    <w:p w14:paraId="7D17EE95" w14:textId="4AD050E5"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odvolání</w:t>
      </w:r>
      <w:proofErr w:type="gramEnd"/>
      <w:r w:rsidRPr="003C4E9F">
        <w:rPr>
          <w:rFonts w:ascii="Times New Roman" w:eastAsia="Times New Roman" w:hAnsi="Times New Roman" w:cs="Times New Roman"/>
          <w:color w:val="000000" w:themeColor="text1"/>
          <w:sz w:val="20"/>
          <w:szCs w:val="20"/>
          <w:highlight w:val="green"/>
        </w:rPr>
        <w:t xml:space="preserve"> plné moci zmocnitelem – účinnost okamžitě, kdy se to zmocněnec dozvěděl</w:t>
      </w:r>
    </w:p>
    <w:p w14:paraId="0C0C7B6B" w14:textId="47E8BCF8"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výpovědí</w:t>
      </w:r>
      <w:proofErr w:type="gramEnd"/>
      <w:r w:rsidRPr="003C4E9F">
        <w:rPr>
          <w:rFonts w:ascii="Times New Roman" w:eastAsia="Times New Roman" w:hAnsi="Times New Roman" w:cs="Times New Roman"/>
          <w:color w:val="000000" w:themeColor="text1"/>
          <w:sz w:val="20"/>
          <w:szCs w:val="20"/>
          <w:highlight w:val="green"/>
        </w:rPr>
        <w:t xml:space="preserve"> plní moci zmocněncem</w:t>
      </w:r>
    </w:p>
    <w:p w14:paraId="12542D2D" w14:textId="772B47E6" w:rsidR="496EFF91" w:rsidRPr="003C4E9F"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003C4E9F">
        <w:rPr>
          <w:rFonts w:ascii="Times New Roman" w:eastAsia="Times New Roman" w:hAnsi="Times New Roman" w:cs="Times New Roman"/>
          <w:color w:val="000000" w:themeColor="text1"/>
          <w:sz w:val="20"/>
          <w:szCs w:val="20"/>
          <w:highlight w:val="green"/>
        </w:rPr>
        <w:t>§  smrtí</w:t>
      </w:r>
      <w:proofErr w:type="gramEnd"/>
      <w:r w:rsidRPr="003C4E9F">
        <w:rPr>
          <w:rFonts w:ascii="Times New Roman" w:eastAsia="Times New Roman" w:hAnsi="Times New Roman" w:cs="Times New Roman"/>
          <w:color w:val="000000" w:themeColor="text1"/>
          <w:sz w:val="20"/>
          <w:szCs w:val="20"/>
          <w:highlight w:val="green"/>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u w:val="single"/>
        </w:rPr>
      </w:pPr>
      <w:r w:rsidRPr="000F0520">
        <w:rPr>
          <w:rFonts w:ascii="Times New Roman" w:eastAsia="Times New Roman" w:hAnsi="Times New Roman" w:cs="Times New Roman"/>
          <w:color w:val="000000" w:themeColor="text1"/>
          <w:sz w:val="20"/>
          <w:szCs w:val="20"/>
          <w:highlight w:val="green"/>
        </w:rPr>
        <w:t xml:space="preserve">3.     </w:t>
      </w:r>
      <w:r w:rsidRPr="000F0520">
        <w:rPr>
          <w:rFonts w:ascii="Times New Roman" w:eastAsia="Times New Roman" w:hAnsi="Times New Roman" w:cs="Times New Roman"/>
          <w:color w:val="000000" w:themeColor="text1"/>
          <w:sz w:val="20"/>
          <w:szCs w:val="20"/>
          <w:highlight w:val="green"/>
          <w:u w:val="single"/>
        </w:rPr>
        <w:t>Prokura</w:t>
      </w:r>
    </w:p>
    <w:p w14:paraId="2BFA697D" w14:textId="444DB64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udělením prokury zmocňuje podnikatel zapsaný v OR prokuristu k právním jednáním, ke kterým dochází při provozu obchodního závodu nebo pobočky</w:t>
      </w:r>
    </w:p>
    <w:p w14:paraId="1EE00C66" w14:textId="1FB0A9FD"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zcizovat/zatěžovat nemovitosti je prokurista oprávněn pouze je-li to v udělení prokury uvedeno</w:t>
      </w:r>
    </w:p>
    <w:p w14:paraId="656C002C" w14:textId="523CF2BE"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prokurista není oprávněn prokuru převést na jinou osobu</w:t>
      </w:r>
    </w:p>
    <w:p w14:paraId="086AA3F0" w14:textId="74B06151" w:rsidR="496EFF91" w:rsidRPr="000F0520" w:rsidRDefault="52F82794"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0F0520">
        <w:rPr>
          <w:rFonts w:ascii="Times New Roman" w:eastAsia="Times New Roman" w:hAnsi="Times New Roman" w:cs="Times New Roman"/>
          <w:color w:val="000000" w:themeColor="text1"/>
          <w:sz w:val="20"/>
          <w:szCs w:val="20"/>
          <w:highlight w:val="green"/>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000F0520">
        <w:rPr>
          <w:rFonts w:ascii="Times New Roman" w:eastAsia="Times New Roman" w:hAnsi="Times New Roman" w:cs="Times New Roman"/>
          <w:color w:val="000000" w:themeColor="text1"/>
          <w:sz w:val="20"/>
          <w:szCs w:val="20"/>
          <w:highlight w:val="green"/>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00AF6676">
        <w:rPr>
          <w:rFonts w:ascii="Times New Roman" w:eastAsia="Times New Roman" w:hAnsi="Times New Roman" w:cs="Times New Roman"/>
          <w:color w:val="000000" w:themeColor="text1"/>
          <w:sz w:val="20"/>
          <w:szCs w:val="20"/>
          <w:highlight w:val="green"/>
        </w:rPr>
        <w:t xml:space="preserve">v  </w:t>
      </w:r>
      <w:r w:rsidRPr="00AF6676">
        <w:rPr>
          <w:rFonts w:ascii="Times New Roman" w:eastAsia="Times New Roman" w:hAnsi="Times New Roman" w:cs="Times New Roman"/>
          <w:b/>
          <w:bCs/>
          <w:color w:val="000000" w:themeColor="text1"/>
          <w:sz w:val="20"/>
          <w:szCs w:val="20"/>
          <w:highlight w:val="green"/>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00A235E0">
        <w:rPr>
          <w:rFonts w:ascii="Times New Roman" w:eastAsia="Times New Roman" w:hAnsi="Times New Roman" w:cs="Times New Roman"/>
          <w:sz w:val="20"/>
          <w:szCs w:val="20"/>
          <w:highlight w:val="green"/>
        </w:rPr>
        <w:t xml:space="preserve">• CO není </w:t>
      </w:r>
      <w:proofErr w:type="gramStart"/>
      <w:r w:rsidR="464A76F1" w:rsidRPr="00A235E0">
        <w:rPr>
          <w:rFonts w:ascii="Times New Roman" w:eastAsia="Times New Roman" w:hAnsi="Times New Roman" w:cs="Times New Roman"/>
          <w:sz w:val="20"/>
          <w:szCs w:val="20"/>
          <w:highlight w:val="green"/>
        </w:rPr>
        <w:t>věc ?</w:t>
      </w:r>
      <w:proofErr w:type="gramEnd"/>
      <w:r w:rsidR="464A76F1" w:rsidRPr="00A235E0">
        <w:rPr>
          <w:rFonts w:ascii="Times New Roman" w:eastAsia="Times New Roman" w:hAnsi="Times New Roman" w:cs="Times New Roman"/>
          <w:sz w:val="20"/>
          <w:szCs w:val="20"/>
          <w:highlight w:val="green"/>
        </w:rPr>
        <w:t xml:space="preserve">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493 NOZ Lidské tělo ani jeho části, třebaže byly od těla odděleny, nejsou věcí. </w:t>
      </w:r>
      <w:r w:rsidR="42CA87A9" w:rsidRPr="00A235E0">
        <w:rPr>
          <w:highlight w:val="green"/>
        </w:rPr>
        <w:br/>
      </w:r>
      <w:r w:rsidR="464A76F1" w:rsidRPr="00A235E0">
        <w:rPr>
          <w:rFonts w:ascii="Times New Roman" w:eastAsia="Times New Roman" w:hAnsi="Times New Roman" w:cs="Times New Roman"/>
          <w:sz w:val="20"/>
          <w:szCs w:val="20"/>
          <w:highlight w:val="green"/>
        </w:rPr>
        <w:t xml:space="preserve">•§ 494 Živé zvíře není věc. (novinka) </w:t>
      </w:r>
      <w:r w:rsidR="42CA87A9" w:rsidRPr="00A235E0">
        <w:rPr>
          <w:highlight w:val="green"/>
        </w:rPr>
        <w:br/>
      </w:r>
      <w:r w:rsidR="464A76F1" w:rsidRPr="00A235E0">
        <w:rPr>
          <w:rFonts w:ascii="Times New Roman" w:eastAsia="Times New Roman" w:hAnsi="Times New Roman" w:cs="Times New Roman"/>
          <w:sz w:val="20"/>
          <w:szCs w:val="20"/>
          <w:highlight w:val="green"/>
        </w:rPr>
        <w:t>• ustanovení o věcech se na živé zvíře použijí obdobně jen v rozsahu, ve kterém to neodporuje jeho povaze.</w:t>
      </w:r>
      <w:r w:rsidR="42CA87A9">
        <w:br/>
      </w:r>
      <w:r w:rsidR="42CA87A9">
        <w:br/>
      </w:r>
      <w:r w:rsidR="154923DE" w:rsidRPr="00136E15">
        <w:rPr>
          <w:rFonts w:ascii="Times New Roman" w:eastAsia="Times New Roman" w:hAnsi="Times New Roman" w:cs="Times New Roman"/>
          <w:b/>
          <w:bCs/>
          <w:sz w:val="20"/>
          <w:szCs w:val="20"/>
          <w:highlight w:val="green"/>
        </w:rPr>
        <w:t xml:space="preserve">Rozdělení věcí </w:t>
      </w:r>
      <w:r w:rsidR="42CA87A9" w:rsidRPr="00136E15">
        <w:rPr>
          <w:highlight w:val="green"/>
        </w:rPr>
        <w:br/>
      </w:r>
      <w:r w:rsidR="154923DE" w:rsidRPr="00136E15">
        <w:rPr>
          <w:rFonts w:ascii="Times New Roman" w:eastAsia="Times New Roman" w:hAnsi="Times New Roman" w:cs="Times New Roman"/>
          <w:sz w:val="20"/>
          <w:szCs w:val="20"/>
          <w:highlight w:val="green"/>
        </w:rPr>
        <w:t xml:space="preserve">• Věci hmotně x nehmotné </w:t>
      </w:r>
      <w:r w:rsidR="42CA87A9" w:rsidRPr="00136E15">
        <w:rPr>
          <w:highlight w:val="green"/>
        </w:rPr>
        <w:br/>
      </w:r>
      <w:r w:rsidR="154923DE" w:rsidRPr="00136E15">
        <w:rPr>
          <w:rFonts w:ascii="Times New Roman" w:eastAsia="Times New Roman" w:hAnsi="Times New Roman" w:cs="Times New Roman"/>
          <w:sz w:val="20"/>
          <w:szCs w:val="20"/>
          <w:highlight w:val="green"/>
        </w:rPr>
        <w:t>• Věci movité x nemovité</w:t>
      </w:r>
      <w:r w:rsidR="42CA87A9" w:rsidRPr="00136E15">
        <w:rPr>
          <w:highlight w:val="green"/>
        </w:rPr>
        <w:br/>
      </w:r>
      <w:r w:rsidR="42CA87A9" w:rsidRPr="00136E15">
        <w:rPr>
          <w:highlight w:val="green"/>
        </w:rPr>
        <w:br/>
      </w:r>
      <w:r w:rsidR="71892757" w:rsidRPr="00136E15">
        <w:rPr>
          <w:rFonts w:ascii="Times New Roman" w:eastAsia="Times New Roman" w:hAnsi="Times New Roman" w:cs="Times New Roman"/>
          <w:b/>
          <w:bCs/>
          <w:sz w:val="20"/>
          <w:szCs w:val="20"/>
          <w:highlight w:val="green"/>
        </w:rPr>
        <w:t>Věci hmotné x nehmotné</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 </w:t>
      </w:r>
      <w:proofErr w:type="gramStart"/>
      <w:r w:rsidR="71892757" w:rsidRPr="00136E15">
        <w:rPr>
          <w:rFonts w:ascii="Times New Roman" w:eastAsia="Times New Roman" w:hAnsi="Times New Roman" w:cs="Times New Roman"/>
          <w:sz w:val="20"/>
          <w:szCs w:val="20"/>
          <w:highlight w:val="green"/>
        </w:rPr>
        <w:t>496 ‐ 497</w:t>
      </w:r>
      <w:proofErr w:type="gramEnd"/>
      <w:r w:rsidR="71892757" w:rsidRPr="00136E15">
        <w:rPr>
          <w:rFonts w:ascii="Times New Roman" w:eastAsia="Times New Roman" w:hAnsi="Times New Roman" w:cs="Times New Roman"/>
          <w:sz w:val="20"/>
          <w:szCs w:val="20"/>
          <w:highlight w:val="green"/>
        </w:rPr>
        <w:t xml:space="preserve"> </w:t>
      </w:r>
      <w:r w:rsidR="42CA87A9" w:rsidRPr="00136E15">
        <w:rPr>
          <w:highlight w:val="green"/>
        </w:rPr>
        <w:br/>
      </w:r>
      <w:r w:rsidR="7F13B2A1"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 xml:space="preserve">Hmotná věc je ovladatelná část vnějšího světa, která má povahu samostatného předmětu. </w:t>
      </w:r>
      <w:r w:rsidR="42CA87A9" w:rsidRPr="00136E15">
        <w:rPr>
          <w:highlight w:val="green"/>
        </w:rPr>
        <w:br/>
      </w:r>
      <w:r w:rsidR="71892757" w:rsidRPr="00136E15">
        <w:rPr>
          <w:rFonts w:ascii="Times New Roman" w:eastAsia="Times New Roman" w:hAnsi="Times New Roman" w:cs="Times New Roman"/>
          <w:sz w:val="20"/>
          <w:szCs w:val="20"/>
          <w:highlight w:val="green"/>
        </w:rPr>
        <w:t xml:space="preserve">• Na ovladatelné přírodní síly, se kterými se obchoduje, se použijí přiměřeně ustanovení o věcech hmotných. </w:t>
      </w:r>
      <w:r w:rsidR="42CA87A9" w:rsidRPr="00136E15">
        <w:rPr>
          <w:highlight w:val="green"/>
        </w:rPr>
        <w:br/>
      </w:r>
      <w:r w:rsidR="3E0FB978" w:rsidRPr="00136E15">
        <w:rPr>
          <w:rFonts w:ascii="Times New Roman" w:eastAsia="Times New Roman" w:hAnsi="Times New Roman" w:cs="Times New Roman"/>
          <w:sz w:val="20"/>
          <w:szCs w:val="20"/>
          <w:highlight w:val="green"/>
        </w:rPr>
        <w:t xml:space="preserve">• </w:t>
      </w:r>
      <w:r w:rsidR="71892757" w:rsidRPr="00136E15">
        <w:rPr>
          <w:rFonts w:ascii="Times New Roman" w:eastAsia="Times New Roman" w:hAnsi="Times New Roman" w:cs="Times New Roman"/>
          <w:sz w:val="20"/>
          <w:szCs w:val="20"/>
          <w:highlight w:val="green"/>
        </w:rPr>
        <w:t>Nehmotné věci jsou práva, jejichž povaha to připouští, a jiné věci bez hmotné podstaty.</w:t>
      </w:r>
      <w:r w:rsidR="42CA87A9">
        <w:br/>
      </w:r>
      <w:r w:rsidR="42CA87A9">
        <w:br/>
      </w:r>
      <w:r w:rsidR="43AD7F02" w:rsidRPr="00225BFB">
        <w:rPr>
          <w:rFonts w:ascii="Times New Roman" w:eastAsia="Times New Roman" w:hAnsi="Times New Roman" w:cs="Times New Roman"/>
          <w:b/>
          <w:bCs/>
          <w:sz w:val="20"/>
          <w:szCs w:val="20"/>
          <w:highlight w:val="green"/>
        </w:rPr>
        <w:t>Věci movité a nemovité</w:t>
      </w:r>
      <w:r w:rsidR="43AD7F02" w:rsidRPr="00225BFB">
        <w:rPr>
          <w:rFonts w:ascii="Times New Roman" w:eastAsia="Times New Roman" w:hAnsi="Times New Roman" w:cs="Times New Roman"/>
          <w:sz w:val="20"/>
          <w:szCs w:val="20"/>
          <w:highlight w:val="green"/>
        </w:rPr>
        <w:t xml:space="preserve"> </w:t>
      </w:r>
      <w:r w:rsidR="42CA87A9" w:rsidRPr="00225BFB">
        <w:rPr>
          <w:highlight w:val="green"/>
        </w:rPr>
        <w:br/>
      </w:r>
      <w:r w:rsidR="43AD7F02" w:rsidRPr="00225BFB">
        <w:rPr>
          <w:rFonts w:ascii="Times New Roman" w:eastAsia="Times New Roman" w:hAnsi="Times New Roman" w:cs="Times New Roman"/>
          <w:sz w:val="20"/>
          <w:szCs w:val="20"/>
          <w:highlight w:val="green"/>
        </w:rPr>
        <w:lastRenderedPageBreak/>
        <w:t xml:space="preserve">§ 498 NOZ </w:t>
      </w:r>
      <w:r w:rsidR="42CA87A9" w:rsidRPr="00225BFB">
        <w:rPr>
          <w:highlight w:val="green"/>
        </w:rPr>
        <w:br/>
      </w:r>
      <w:r w:rsidR="43AD7F02" w:rsidRPr="00225BFB">
        <w:rPr>
          <w:rFonts w:ascii="Times New Roman" w:eastAsia="Times New Roman" w:hAnsi="Times New Roman" w:cs="Times New Roman"/>
          <w:sz w:val="20"/>
          <w:szCs w:val="20"/>
          <w:highlight w:val="green"/>
        </w:rPr>
        <w:t xml:space="preserve">• Nemovité věci jsou pozemky a podzemní stavby se samostatným účelovým určením, jakož i věcná práva k nim, a práva, která za nemovité věci prohlásí zákon. </w:t>
      </w:r>
      <w:r w:rsidR="42CA87A9" w:rsidRPr="00225BFB">
        <w:rPr>
          <w:highlight w:val="green"/>
        </w:rPr>
        <w:br/>
      </w:r>
      <w:r w:rsidR="43AD7F02" w:rsidRPr="00225BFB">
        <w:rPr>
          <w:rFonts w:ascii="Times New Roman" w:eastAsia="Times New Roman" w:hAnsi="Times New Roman" w:cs="Times New Roman"/>
          <w:sz w:val="20"/>
          <w:szCs w:val="20"/>
          <w:highlight w:val="green"/>
        </w:rPr>
        <w:t>• Veškeré další věci, ať je jejich podstata hmotná či nehmotná, jsou movité.</w:t>
      </w:r>
      <w:r w:rsidR="42CA87A9" w:rsidRPr="00225BFB">
        <w:rPr>
          <w:highlight w:val="green"/>
        </w:rPr>
        <w:br/>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hromadná ‐ Soubor</w:t>
      </w:r>
      <w:proofErr w:type="gramEnd"/>
      <w:r w:rsidR="6C3BDAB1" w:rsidRPr="00225BFB">
        <w:rPr>
          <w:rFonts w:ascii="Times New Roman" w:eastAsia="Times New Roman" w:hAnsi="Times New Roman" w:cs="Times New Roman"/>
          <w:sz w:val="20"/>
          <w:szCs w:val="20"/>
          <w:highlight w:val="green"/>
        </w:rPr>
        <w:t xml:space="preserve"> jednotlivých věcí náležejících téže osobě, považovaný za jeden předmět a jako takový nesoucí společné označení, pokládá se za celek a tvoří hromadnou věc. • Věc </w:t>
      </w:r>
      <w:proofErr w:type="gramStart"/>
      <w:r w:rsidR="6C3BDAB1" w:rsidRPr="00225BFB">
        <w:rPr>
          <w:rFonts w:ascii="Times New Roman" w:eastAsia="Times New Roman" w:hAnsi="Times New Roman" w:cs="Times New Roman"/>
          <w:sz w:val="20"/>
          <w:szCs w:val="20"/>
          <w:highlight w:val="green"/>
        </w:rPr>
        <w:t>zastupitelná ‐ Movitá</w:t>
      </w:r>
      <w:proofErr w:type="gramEnd"/>
      <w:r w:rsidR="6C3BDAB1" w:rsidRPr="00225BFB">
        <w:rPr>
          <w:rFonts w:ascii="Times New Roman" w:eastAsia="Times New Roman" w:hAnsi="Times New Roman" w:cs="Times New Roman"/>
          <w:sz w:val="20"/>
          <w:szCs w:val="20"/>
          <w:highlight w:val="green"/>
        </w:rPr>
        <w:t xml:space="preserve"> věc, která může být nahrazena jinou věcí téhož druhu, je zastupitelná; ostatní věci jsou nezastupitelné. </w:t>
      </w:r>
      <w:r w:rsidR="42CA87A9" w:rsidRPr="00225BFB">
        <w:rPr>
          <w:highlight w:val="green"/>
        </w:rPr>
        <w:br/>
      </w:r>
      <w:r w:rsidR="6C3BDAB1" w:rsidRPr="00225BFB">
        <w:rPr>
          <w:rFonts w:ascii="Times New Roman" w:eastAsia="Times New Roman" w:hAnsi="Times New Roman" w:cs="Times New Roman"/>
          <w:sz w:val="20"/>
          <w:szCs w:val="20"/>
          <w:highlight w:val="green"/>
        </w:rPr>
        <w:t xml:space="preserve">• Věc </w:t>
      </w:r>
      <w:proofErr w:type="gramStart"/>
      <w:r w:rsidR="6C3BDAB1" w:rsidRPr="00225BFB">
        <w:rPr>
          <w:rFonts w:ascii="Times New Roman" w:eastAsia="Times New Roman" w:hAnsi="Times New Roman" w:cs="Times New Roman"/>
          <w:sz w:val="20"/>
          <w:szCs w:val="20"/>
          <w:highlight w:val="green"/>
        </w:rPr>
        <w:t>zuživatelná ‐ Movitá</w:t>
      </w:r>
      <w:proofErr w:type="gramEnd"/>
      <w:r w:rsidR="6C3BDAB1" w:rsidRPr="00225BFB">
        <w:rPr>
          <w:rFonts w:ascii="Times New Roman" w:eastAsia="Times New Roman" w:hAnsi="Times New Roman" w:cs="Times New Roman"/>
          <w:sz w:val="20"/>
          <w:szCs w:val="20"/>
          <w:highlight w:val="green"/>
        </w:rPr>
        <w:t xml:space="preserve"> věc, jejíž běžné použití spočívá v jejím spotřebování, zpracování nebo zcizení, je zuživatelná </w:t>
      </w:r>
      <w:r w:rsidR="42CA87A9" w:rsidRPr="00225BFB">
        <w:rPr>
          <w:highlight w:val="green"/>
        </w:rPr>
        <w:br/>
      </w:r>
      <w:r w:rsidR="6C3BDAB1" w:rsidRPr="00225BFB">
        <w:rPr>
          <w:rFonts w:ascii="Times New Roman" w:eastAsia="Times New Roman" w:hAnsi="Times New Roman" w:cs="Times New Roman"/>
          <w:sz w:val="20"/>
          <w:szCs w:val="20"/>
          <w:highlight w:val="green"/>
        </w:rPr>
        <w:t>• Obchodní závod ‐ organizovaný soubor jmění, který podnikatel vytvořil a který z jeho vůle slouží k provozování jeho činnosti. Má se za to, že závod tvoří vše, co zpravidla slouží k jeho provozu.</w:t>
      </w:r>
      <w:r w:rsidR="42CA87A9" w:rsidRPr="00225BFB">
        <w:rPr>
          <w:highlight w:val="green"/>
        </w:rPr>
        <w:br/>
      </w:r>
      <w:r w:rsidR="42CA87A9" w:rsidRPr="00225BFB">
        <w:rPr>
          <w:highlight w:val="green"/>
        </w:rPr>
        <w:br/>
      </w:r>
      <w:r w:rsidR="7CC81C38" w:rsidRPr="00225BFB">
        <w:rPr>
          <w:rFonts w:ascii="Times New Roman" w:eastAsia="Times New Roman" w:hAnsi="Times New Roman" w:cs="Times New Roman"/>
          <w:b/>
          <w:bCs/>
          <w:sz w:val="20"/>
          <w:szCs w:val="20"/>
          <w:highlight w:val="green"/>
        </w:rPr>
        <w:t>Součást věci a příslušenství věci</w:t>
      </w:r>
      <w:r w:rsidR="7CC81C38" w:rsidRPr="00225BFB">
        <w:rPr>
          <w:rFonts w:ascii="Times New Roman" w:eastAsia="Times New Roman" w:hAnsi="Times New Roman" w:cs="Times New Roman"/>
          <w:sz w:val="20"/>
          <w:szCs w:val="20"/>
          <w:highlight w:val="green"/>
        </w:rPr>
        <w:t xml:space="preserve">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Součástí věci je vše, co k ní podle povahy patří a nemůže být od ní odděleno, aniž by se tím znehodnotila.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 !!!! NOVĚ stará římská zásada </w:t>
      </w:r>
      <w:proofErr w:type="spellStart"/>
      <w:r w:rsidR="7CC81C38" w:rsidRPr="00225BFB">
        <w:rPr>
          <w:rFonts w:ascii="Times New Roman" w:eastAsia="Times New Roman" w:hAnsi="Times New Roman" w:cs="Times New Roman"/>
          <w:sz w:val="20"/>
          <w:szCs w:val="20"/>
          <w:highlight w:val="green"/>
        </w:rPr>
        <w:t>superficies</w:t>
      </w:r>
      <w:proofErr w:type="spellEnd"/>
      <w:r w:rsidR="7CC81C38" w:rsidRPr="00225BFB">
        <w:rPr>
          <w:rFonts w:ascii="Times New Roman" w:eastAsia="Times New Roman" w:hAnsi="Times New Roman" w:cs="Times New Roman"/>
          <w:sz w:val="20"/>
          <w:szCs w:val="20"/>
          <w:highlight w:val="green"/>
        </w:rPr>
        <w:t xml:space="preserve"> </w:t>
      </w:r>
      <w:proofErr w:type="spellStart"/>
      <w:r w:rsidR="7CC81C38" w:rsidRPr="00225BFB">
        <w:rPr>
          <w:rFonts w:ascii="Times New Roman" w:eastAsia="Times New Roman" w:hAnsi="Times New Roman" w:cs="Times New Roman"/>
          <w:sz w:val="20"/>
          <w:szCs w:val="20"/>
          <w:highlight w:val="green"/>
        </w:rPr>
        <w:t>solo</w:t>
      </w:r>
      <w:proofErr w:type="spellEnd"/>
      <w:r w:rsidR="7CC81C38" w:rsidRPr="00225BFB">
        <w:rPr>
          <w:rFonts w:ascii="Times New Roman" w:eastAsia="Times New Roman" w:hAnsi="Times New Roman" w:cs="Times New Roman"/>
          <w:sz w:val="20"/>
          <w:szCs w:val="20"/>
          <w:highlight w:val="green"/>
        </w:rPr>
        <w:t xml:space="preserve"> cedit. </w:t>
      </w:r>
      <w:r w:rsidR="42CA87A9" w:rsidRPr="00225BFB">
        <w:rPr>
          <w:highlight w:val="green"/>
        </w:rPr>
        <w:br/>
      </w:r>
      <w:r w:rsidR="7CC81C38" w:rsidRPr="00225BFB">
        <w:rPr>
          <w:rFonts w:ascii="Times New Roman" w:eastAsia="Times New Roman" w:hAnsi="Times New Roman" w:cs="Times New Roman"/>
          <w:sz w:val="20"/>
          <w:szCs w:val="20"/>
          <w:highlight w:val="green"/>
        </w:rPr>
        <w:t xml:space="preserve">Povrch ustupuje </w:t>
      </w:r>
      <w:proofErr w:type="gramStart"/>
      <w:r w:rsidR="7CC81C38" w:rsidRPr="00225BFB">
        <w:rPr>
          <w:rFonts w:ascii="Times New Roman" w:eastAsia="Times New Roman" w:hAnsi="Times New Roman" w:cs="Times New Roman"/>
          <w:sz w:val="20"/>
          <w:szCs w:val="20"/>
          <w:highlight w:val="green"/>
        </w:rPr>
        <w:t>půdě  Stavba</w:t>
      </w:r>
      <w:proofErr w:type="gramEnd"/>
      <w:r w:rsidR="7CC81C38" w:rsidRPr="00225BFB">
        <w:rPr>
          <w:rFonts w:ascii="Times New Roman" w:eastAsia="Times New Roman" w:hAnsi="Times New Roman" w:cs="Times New Roman"/>
          <w:sz w:val="20"/>
          <w:szCs w:val="20"/>
          <w:highlight w:val="green"/>
        </w:rPr>
        <w:t xml:space="preserve"> je součástí pozemku, ne samostatná věc !</w:t>
      </w:r>
      <w:r w:rsidR="42CA87A9" w:rsidRPr="00225BFB">
        <w:rPr>
          <w:highlight w:val="green"/>
        </w:rPr>
        <w:br/>
      </w:r>
      <w:r w:rsidR="42CA87A9" w:rsidRPr="00225BFB">
        <w:rPr>
          <w:highlight w:val="green"/>
        </w:rPr>
        <w:br/>
      </w:r>
      <w:r w:rsidR="43434CE8" w:rsidRPr="00225BFB">
        <w:rPr>
          <w:rFonts w:ascii="Times New Roman" w:eastAsia="Times New Roman" w:hAnsi="Times New Roman" w:cs="Times New Roman"/>
          <w:b/>
          <w:bCs/>
          <w:sz w:val="20"/>
          <w:szCs w:val="20"/>
          <w:highlight w:val="green"/>
        </w:rPr>
        <w:t xml:space="preserve">Součást věci a příslušenství věci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Příslušenstvím věci je vedlejší věc vlastníka, která je určena, aby byla trvale užívána společně s věcí hlavní. </w:t>
      </w:r>
      <w:r w:rsidR="42CA87A9" w:rsidRPr="00225BFB">
        <w:rPr>
          <w:highlight w:val="green"/>
        </w:rPr>
        <w:br/>
      </w:r>
      <w:r w:rsidR="43434CE8" w:rsidRPr="00225BFB">
        <w:rPr>
          <w:rFonts w:ascii="Times New Roman" w:eastAsia="Times New Roman" w:hAnsi="Times New Roman" w:cs="Times New Roman"/>
          <w:sz w:val="20"/>
          <w:szCs w:val="20"/>
          <w:highlight w:val="green"/>
        </w:rPr>
        <w:t xml:space="preserve">• Má se zato, že příslušenství sleduje právní osud věci hlavní. </w:t>
      </w:r>
      <w:r w:rsidR="42CA87A9" w:rsidRPr="00225BFB">
        <w:rPr>
          <w:highlight w:val="green"/>
        </w:rPr>
        <w:br/>
      </w:r>
      <w:r w:rsidR="147FC87D" w:rsidRPr="00225BFB">
        <w:rPr>
          <w:rFonts w:ascii="Times New Roman" w:eastAsia="Times New Roman" w:hAnsi="Times New Roman" w:cs="Times New Roman"/>
          <w:sz w:val="20"/>
          <w:szCs w:val="20"/>
          <w:highlight w:val="green"/>
        </w:rPr>
        <w:t xml:space="preserve">• </w:t>
      </w:r>
      <w:r w:rsidR="43434CE8" w:rsidRPr="00225BFB">
        <w:rPr>
          <w:rFonts w:ascii="Times New Roman" w:eastAsia="Times New Roman" w:hAnsi="Times New Roman" w:cs="Times New Roman"/>
          <w:sz w:val="20"/>
          <w:szCs w:val="20"/>
          <w:highlight w:val="green"/>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496</w:t>
      </w:r>
    </w:p>
    <w:p w14:paraId="4E0C354F" w14:textId="60543E20" w:rsidR="00936FA6" w:rsidRPr="00EF2D43" w:rsidRDefault="21401D87" w:rsidP="42B13DDF">
      <w:pPr>
        <w:pStyle w:val="Heading2"/>
        <w:rPr>
          <w:rFonts w:ascii="Times New Roman" w:eastAsia="Times New Roman" w:hAnsi="Times New Roman" w:cs="Times New Roman"/>
          <w:b/>
          <w:bCs/>
          <w:color w:val="000000" w:themeColor="text1"/>
          <w:sz w:val="20"/>
          <w:szCs w:val="20"/>
          <w:highlight w:val="green"/>
        </w:rPr>
      </w:pPr>
      <w:r w:rsidRPr="00EF2D43">
        <w:rPr>
          <w:rFonts w:ascii="Times New Roman" w:eastAsia="Times New Roman" w:hAnsi="Times New Roman" w:cs="Times New Roman"/>
          <w:b/>
          <w:bCs/>
          <w:color w:val="000000" w:themeColor="text1"/>
          <w:sz w:val="20"/>
          <w:szCs w:val="20"/>
          <w:highlight w:val="green"/>
        </w:rPr>
        <w:t>Věci hmotné a nehmotné</w:t>
      </w:r>
    </w:p>
    <w:p w14:paraId="6E7ED66F" w14:textId="3CD752C4" w:rsidR="00936FA6" w:rsidRPr="00EF2D43" w:rsidRDefault="21401D87" w:rsidP="42B13DDF">
      <w:pPr>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b/>
          <w:bCs/>
          <w:color w:val="4A5D6D"/>
          <w:sz w:val="20"/>
          <w:szCs w:val="20"/>
          <w:highlight w:val="green"/>
          <w:u w:val="single"/>
        </w:rPr>
        <w:t>(1)</w:t>
      </w:r>
      <w:r w:rsidRPr="00EF2D43">
        <w:rPr>
          <w:rFonts w:ascii="Times New Roman" w:eastAsia="Times New Roman" w:hAnsi="Times New Roman" w:cs="Times New Roman"/>
          <w:color w:val="000000" w:themeColor="text1"/>
          <w:sz w:val="20"/>
          <w:szCs w:val="20"/>
          <w:highlight w:val="green"/>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b/>
          <w:bCs/>
          <w:color w:val="4A5D6D"/>
          <w:sz w:val="20"/>
          <w:szCs w:val="20"/>
          <w:highlight w:val="green"/>
          <w:u w:val="single"/>
        </w:rPr>
        <w:t>(2)</w:t>
      </w:r>
      <w:r w:rsidRPr="00EF2D43">
        <w:rPr>
          <w:rFonts w:ascii="Times New Roman" w:eastAsia="Times New Roman" w:hAnsi="Times New Roman" w:cs="Times New Roman"/>
          <w:color w:val="000000" w:themeColor="text1"/>
          <w:sz w:val="20"/>
          <w:szCs w:val="20"/>
          <w:highlight w:val="green"/>
        </w:rPr>
        <w:t xml:space="preserve"> Nehmotné věci jsou práva, jejichž povaha to připouští, a jiné věci bez hmotné podstaty.</w:t>
      </w:r>
    </w:p>
    <w:p w14:paraId="19F0768F" w14:textId="4E00663C" w:rsidR="00936FA6" w:rsidRPr="00EF2D43" w:rsidRDefault="21401D87" w:rsidP="42B13DDF">
      <w:pPr>
        <w:jc w:val="center"/>
        <w:rPr>
          <w:rFonts w:ascii="Times New Roman" w:eastAsia="Times New Roman" w:hAnsi="Times New Roman" w:cs="Times New Roman"/>
          <w:b/>
          <w:bCs/>
          <w:color w:val="4A5D6D"/>
          <w:sz w:val="20"/>
          <w:szCs w:val="20"/>
          <w:highlight w:val="green"/>
        </w:rPr>
      </w:pPr>
      <w:r w:rsidRPr="00EF2D43">
        <w:rPr>
          <w:rFonts w:ascii="Times New Roman" w:eastAsia="Times New Roman" w:hAnsi="Times New Roman" w:cs="Times New Roman"/>
          <w:b/>
          <w:bCs/>
          <w:color w:val="4A5D6D"/>
          <w:sz w:val="20"/>
          <w:szCs w:val="20"/>
          <w:highlight w:val="green"/>
        </w:rPr>
        <w:t>§ 497</w:t>
      </w:r>
    </w:p>
    <w:p w14:paraId="03926CCB" w14:textId="2BC6A935" w:rsidR="00936FA6" w:rsidRPr="00EF2D43" w:rsidRDefault="21401D87" w:rsidP="42B13DDF">
      <w:pPr>
        <w:pStyle w:val="Heading2"/>
        <w:rPr>
          <w:rFonts w:ascii="Times New Roman" w:eastAsia="Times New Roman" w:hAnsi="Times New Roman" w:cs="Times New Roman"/>
          <w:color w:val="000000" w:themeColor="text1"/>
          <w:sz w:val="20"/>
          <w:szCs w:val="20"/>
          <w:highlight w:val="green"/>
        </w:rPr>
      </w:pPr>
      <w:r w:rsidRPr="00EF2D43">
        <w:rPr>
          <w:rFonts w:ascii="Times New Roman" w:eastAsia="Times New Roman" w:hAnsi="Times New Roman" w:cs="Times New Roman"/>
          <w:color w:val="000000" w:themeColor="text1"/>
          <w:sz w:val="20"/>
          <w:szCs w:val="20"/>
          <w:highlight w:val="green"/>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00EF2D43">
        <w:rPr>
          <w:rFonts w:ascii="Times New Roman" w:eastAsia="Times New Roman" w:hAnsi="Times New Roman" w:cs="Times New Roman"/>
          <w:color w:val="000000" w:themeColor="text1"/>
          <w:sz w:val="20"/>
          <w:szCs w:val="20"/>
          <w:highlight w:val="green"/>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Pr="009B52B1" w:rsidRDefault="21401D87" w:rsidP="42B13DDF">
      <w:pPr>
        <w:pStyle w:val="Heading2"/>
        <w:rPr>
          <w:rFonts w:ascii="Times New Roman" w:eastAsia="Times New Roman" w:hAnsi="Times New Roman" w:cs="Times New Roman"/>
          <w:b/>
          <w:bCs/>
          <w:color w:val="000000" w:themeColor="text1"/>
          <w:sz w:val="20"/>
          <w:szCs w:val="20"/>
          <w:highlight w:val="green"/>
        </w:rPr>
      </w:pPr>
      <w:r w:rsidRPr="009B52B1">
        <w:rPr>
          <w:rFonts w:ascii="Times New Roman" w:eastAsia="Times New Roman" w:hAnsi="Times New Roman" w:cs="Times New Roman"/>
          <w:b/>
          <w:bCs/>
          <w:color w:val="000000" w:themeColor="text1"/>
          <w:sz w:val="20"/>
          <w:szCs w:val="20"/>
          <w:highlight w:val="green"/>
        </w:rPr>
        <w:t>Nemovité a movité věci</w:t>
      </w:r>
    </w:p>
    <w:p w14:paraId="285EAC5E" w14:textId="076999B7" w:rsidR="00936FA6" w:rsidRPr="009B52B1" w:rsidRDefault="21401D87" w:rsidP="42B13DDF">
      <w:pPr>
        <w:rPr>
          <w:rFonts w:ascii="Times New Roman" w:eastAsia="Times New Roman" w:hAnsi="Times New Roman" w:cs="Times New Roman"/>
          <w:color w:val="000000" w:themeColor="text1"/>
          <w:sz w:val="20"/>
          <w:szCs w:val="20"/>
          <w:highlight w:val="green"/>
        </w:rPr>
      </w:pPr>
      <w:r w:rsidRPr="009B52B1">
        <w:rPr>
          <w:rFonts w:ascii="Times New Roman" w:eastAsia="Times New Roman" w:hAnsi="Times New Roman" w:cs="Times New Roman"/>
          <w:b/>
          <w:bCs/>
          <w:color w:val="4A5D6D"/>
          <w:sz w:val="20"/>
          <w:szCs w:val="20"/>
          <w:highlight w:val="green"/>
          <w:u w:val="single"/>
        </w:rPr>
        <w:t>(1)</w:t>
      </w:r>
      <w:r w:rsidRPr="009B52B1">
        <w:rPr>
          <w:rFonts w:ascii="Times New Roman" w:eastAsia="Times New Roman" w:hAnsi="Times New Roman" w:cs="Times New Roman"/>
          <w:color w:val="000000" w:themeColor="text1"/>
          <w:sz w:val="20"/>
          <w:szCs w:val="20"/>
          <w:highlight w:val="green"/>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009B52B1">
        <w:rPr>
          <w:rFonts w:ascii="Times New Roman" w:eastAsia="Times New Roman" w:hAnsi="Times New Roman" w:cs="Times New Roman"/>
          <w:b/>
          <w:bCs/>
          <w:color w:val="4A5D6D"/>
          <w:sz w:val="20"/>
          <w:szCs w:val="20"/>
          <w:highlight w:val="green"/>
          <w:u w:val="single"/>
        </w:rPr>
        <w:t>(2)</w:t>
      </w:r>
      <w:r w:rsidRPr="009B52B1">
        <w:rPr>
          <w:rFonts w:ascii="Times New Roman" w:eastAsia="Times New Roman" w:hAnsi="Times New Roman" w:cs="Times New Roman"/>
          <w:color w:val="000000" w:themeColor="text1"/>
          <w:sz w:val="20"/>
          <w:szCs w:val="20"/>
          <w:highlight w:val="green"/>
        </w:rPr>
        <w:t xml:space="preserve"> Veškeré další věci, ať je jejich podstata hmotná nebo nehmotná, jsou movité.</w:t>
      </w:r>
    </w:p>
    <w:p w14:paraId="4E3EE57D" w14:textId="44E8768A" w:rsidR="00936FA6" w:rsidRPr="00FD6C7D" w:rsidRDefault="21401D87" w:rsidP="42B13DDF">
      <w:pPr>
        <w:jc w:val="center"/>
        <w:rPr>
          <w:rFonts w:ascii="Times New Roman" w:eastAsia="Times New Roman" w:hAnsi="Times New Roman" w:cs="Times New Roman"/>
          <w:b/>
          <w:bCs/>
          <w:color w:val="4A5D6D"/>
          <w:sz w:val="20"/>
          <w:szCs w:val="20"/>
          <w:highlight w:val="green"/>
        </w:rPr>
      </w:pPr>
      <w:r w:rsidRPr="00FD6C7D">
        <w:rPr>
          <w:rFonts w:ascii="Times New Roman" w:eastAsia="Times New Roman" w:hAnsi="Times New Roman" w:cs="Times New Roman"/>
          <w:b/>
          <w:bCs/>
          <w:color w:val="4A5D6D"/>
          <w:sz w:val="20"/>
          <w:szCs w:val="20"/>
          <w:highlight w:val="green"/>
        </w:rPr>
        <w:t>§ 499</w:t>
      </w:r>
    </w:p>
    <w:p w14:paraId="08F210BA" w14:textId="05C3C956" w:rsidR="00936FA6" w:rsidRPr="00FD6C7D" w:rsidRDefault="21401D87" w:rsidP="42B13DDF">
      <w:pPr>
        <w:pStyle w:val="Heading2"/>
        <w:rPr>
          <w:rFonts w:ascii="Times New Roman" w:eastAsia="Times New Roman" w:hAnsi="Times New Roman" w:cs="Times New Roman"/>
          <w:b/>
          <w:bCs/>
          <w:color w:val="000000" w:themeColor="text1"/>
          <w:sz w:val="20"/>
          <w:szCs w:val="20"/>
          <w:highlight w:val="green"/>
        </w:rPr>
      </w:pPr>
      <w:r w:rsidRPr="00FD6C7D">
        <w:rPr>
          <w:rFonts w:ascii="Times New Roman" w:eastAsia="Times New Roman" w:hAnsi="Times New Roman" w:cs="Times New Roman"/>
          <w:b/>
          <w:bCs/>
          <w:color w:val="000000" w:themeColor="text1"/>
          <w:sz w:val="20"/>
          <w:szCs w:val="20"/>
          <w:highlight w:val="green"/>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00FD6C7D">
        <w:rPr>
          <w:rFonts w:ascii="Times New Roman" w:eastAsia="Times New Roman" w:hAnsi="Times New Roman" w:cs="Times New Roman"/>
          <w:color w:val="000000" w:themeColor="text1"/>
          <w:sz w:val="20"/>
          <w:szCs w:val="20"/>
          <w:highlight w:val="green"/>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Pr="00BD5FC1" w:rsidRDefault="21401D87" w:rsidP="42B13DDF">
      <w:pPr>
        <w:pStyle w:val="Heading2"/>
        <w:rPr>
          <w:rFonts w:ascii="Times New Roman" w:eastAsia="Times New Roman" w:hAnsi="Times New Roman" w:cs="Times New Roman"/>
          <w:b/>
          <w:bCs/>
          <w:color w:val="000000" w:themeColor="text1"/>
          <w:sz w:val="20"/>
          <w:szCs w:val="20"/>
          <w:highlight w:val="green"/>
        </w:rPr>
      </w:pPr>
      <w:r w:rsidRPr="00BD5FC1">
        <w:rPr>
          <w:rFonts w:ascii="Times New Roman" w:eastAsia="Times New Roman" w:hAnsi="Times New Roman" w:cs="Times New Roman"/>
          <w:b/>
          <w:bCs/>
          <w:color w:val="000000" w:themeColor="text1"/>
          <w:sz w:val="20"/>
          <w:szCs w:val="20"/>
          <w:highlight w:val="green"/>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00BD5FC1">
        <w:rPr>
          <w:rFonts w:ascii="Times New Roman" w:eastAsia="Times New Roman" w:hAnsi="Times New Roman" w:cs="Times New Roman"/>
          <w:color w:val="000000" w:themeColor="text1"/>
          <w:sz w:val="20"/>
          <w:szCs w:val="20"/>
          <w:highlight w:val="green"/>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Pr="00340156" w:rsidRDefault="21401D87" w:rsidP="42B13DDF">
      <w:pPr>
        <w:jc w:val="center"/>
        <w:rPr>
          <w:rFonts w:ascii="Times New Roman" w:eastAsia="Times New Roman" w:hAnsi="Times New Roman" w:cs="Times New Roman"/>
          <w:b/>
          <w:bCs/>
          <w:color w:val="4A5D6D"/>
          <w:sz w:val="20"/>
          <w:szCs w:val="20"/>
          <w:highlight w:val="green"/>
        </w:rPr>
      </w:pPr>
      <w:r w:rsidRPr="00340156">
        <w:rPr>
          <w:rFonts w:ascii="Times New Roman" w:eastAsia="Times New Roman" w:hAnsi="Times New Roman" w:cs="Times New Roman"/>
          <w:b/>
          <w:bCs/>
          <w:color w:val="4A5D6D"/>
          <w:sz w:val="20"/>
          <w:szCs w:val="20"/>
          <w:highlight w:val="green"/>
        </w:rPr>
        <w:t>§ 501</w:t>
      </w:r>
    </w:p>
    <w:p w14:paraId="109A10D9" w14:textId="76EFA9A3" w:rsidR="00936FA6" w:rsidRPr="00340156" w:rsidRDefault="21401D87" w:rsidP="42B13DDF">
      <w:pPr>
        <w:pStyle w:val="Heading2"/>
        <w:rPr>
          <w:rFonts w:ascii="Times New Roman" w:eastAsia="Times New Roman" w:hAnsi="Times New Roman" w:cs="Times New Roman"/>
          <w:b/>
          <w:bCs/>
          <w:color w:val="000000" w:themeColor="text1"/>
          <w:sz w:val="20"/>
          <w:szCs w:val="20"/>
          <w:highlight w:val="green"/>
        </w:rPr>
      </w:pPr>
      <w:r w:rsidRPr="00340156">
        <w:rPr>
          <w:rFonts w:ascii="Times New Roman" w:eastAsia="Times New Roman" w:hAnsi="Times New Roman" w:cs="Times New Roman"/>
          <w:b/>
          <w:bCs/>
          <w:color w:val="000000" w:themeColor="text1"/>
          <w:sz w:val="20"/>
          <w:szCs w:val="20"/>
          <w:highlight w:val="green"/>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00340156">
        <w:rPr>
          <w:rFonts w:ascii="Times New Roman" w:eastAsia="Times New Roman" w:hAnsi="Times New Roman" w:cs="Times New Roman"/>
          <w:color w:val="000000" w:themeColor="text1"/>
          <w:sz w:val="20"/>
          <w:szCs w:val="20"/>
          <w:highlight w:val="green"/>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340156"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340156"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340156"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340156"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340156"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340156"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340156"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340156"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340156"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340156"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340156"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340156"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340156"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340156"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340156"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340156"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340156"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340156"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340156"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340156"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340156"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340156"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340156"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340156"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340156"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340156"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340156"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340156"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340156"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340156"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340156"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340156"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340156"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340156"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340156"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340156"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340156"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340156"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340156"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340156"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340156"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340156"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340156"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340156"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340156"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340156"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340156"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340156"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340156"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340156"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340156"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340156"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340156"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340156"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340156"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340156"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340156"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340156"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340156"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340156"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340156"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340156"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340156"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340156"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340156"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340156"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340156"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340156"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340156"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340156"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340156"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340156"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340156"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340156"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340156"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340156"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340156"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340156"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340156"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340156"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340156"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340156"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340156"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340156"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340156"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340156"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340156"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340156"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340156"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340156"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340156"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340156"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340156"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34015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34015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34015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340156"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340156"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0F0520"/>
    <w:rsid w:val="00100EF0"/>
    <w:rsid w:val="00103E10"/>
    <w:rsid w:val="00136E15"/>
    <w:rsid w:val="00142652"/>
    <w:rsid w:val="0018217B"/>
    <w:rsid w:val="001D22B4"/>
    <w:rsid w:val="001D5D35"/>
    <w:rsid w:val="001E1980"/>
    <w:rsid w:val="00218552"/>
    <w:rsid w:val="00225BFB"/>
    <w:rsid w:val="0022D418"/>
    <w:rsid w:val="00250509"/>
    <w:rsid w:val="0027257B"/>
    <w:rsid w:val="002976A1"/>
    <w:rsid w:val="002B0D83"/>
    <w:rsid w:val="002D077E"/>
    <w:rsid w:val="002E7B12"/>
    <w:rsid w:val="002F6028"/>
    <w:rsid w:val="003221C5"/>
    <w:rsid w:val="00330BB6"/>
    <w:rsid w:val="00340156"/>
    <w:rsid w:val="003B5B95"/>
    <w:rsid w:val="003C4E9F"/>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6E62C3"/>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9B52B1"/>
    <w:rsid w:val="00A0790B"/>
    <w:rsid w:val="00A2141E"/>
    <w:rsid w:val="00A235E0"/>
    <w:rsid w:val="00A330BA"/>
    <w:rsid w:val="00A51F44"/>
    <w:rsid w:val="00AA3884"/>
    <w:rsid w:val="00AF439A"/>
    <w:rsid w:val="00AF6676"/>
    <w:rsid w:val="00B27D51"/>
    <w:rsid w:val="00B3F444"/>
    <w:rsid w:val="00B6732D"/>
    <w:rsid w:val="00B6755C"/>
    <w:rsid w:val="00B80A6B"/>
    <w:rsid w:val="00B86D92"/>
    <w:rsid w:val="00B91EF8"/>
    <w:rsid w:val="00B9F45D"/>
    <w:rsid w:val="00BD5FC1"/>
    <w:rsid w:val="00BE1D8F"/>
    <w:rsid w:val="00BF0A56"/>
    <w:rsid w:val="00BF1697"/>
    <w:rsid w:val="00BF6E83"/>
    <w:rsid w:val="00CE72A5"/>
    <w:rsid w:val="00CEF59F"/>
    <w:rsid w:val="00D11CA7"/>
    <w:rsid w:val="00D349E2"/>
    <w:rsid w:val="00D3B9A8"/>
    <w:rsid w:val="00D476DD"/>
    <w:rsid w:val="00D67853"/>
    <w:rsid w:val="00D939D6"/>
    <w:rsid w:val="00DB48AC"/>
    <w:rsid w:val="00DE6377"/>
    <w:rsid w:val="00E00C72"/>
    <w:rsid w:val="00E056A5"/>
    <w:rsid w:val="00E1D35C"/>
    <w:rsid w:val="00E32660"/>
    <w:rsid w:val="00E72416"/>
    <w:rsid w:val="00EBB9A4"/>
    <w:rsid w:val="00ED1D86"/>
    <w:rsid w:val="00ED33B8"/>
    <w:rsid w:val="00EE4363"/>
    <w:rsid w:val="00EE5728"/>
    <w:rsid w:val="00EF2D43"/>
    <w:rsid w:val="00F0FEC1"/>
    <w:rsid w:val="00F30318"/>
    <w:rsid w:val="00F53768"/>
    <w:rsid w:val="00F8570B"/>
    <w:rsid w:val="00F94AE8"/>
    <w:rsid w:val="00FC0848"/>
    <w:rsid w:val="00FD6C7D"/>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74</cp:revision>
  <dcterms:created xsi:type="dcterms:W3CDTF">2020-05-12T23:26:00Z</dcterms:created>
  <dcterms:modified xsi:type="dcterms:W3CDTF">2020-08-26T16:24:00Z</dcterms:modified>
</cp:coreProperties>
</file>