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br/>
      </w:r>
      <w:r>
        <w:br/>
      </w:r>
      <w:r w:rsidRPr="42B13DDF">
        <w:rPr>
          <w:rFonts w:ascii="Times New Roman" w:eastAsia="Times New Roman" w:hAnsi="Times New Roman" w:cs="Times New Roman"/>
          <w:b/>
          <w:bCs/>
          <w:sz w:val="20"/>
          <w:szCs w:val="20"/>
        </w:rPr>
        <w:t xml:space="preserve">Bankovní smlouvy </w:t>
      </w:r>
      <w:r>
        <w:br/>
      </w:r>
      <w:r w:rsidRPr="42B13DDF">
        <w:rPr>
          <w:rFonts w:ascii="Times New Roman" w:eastAsia="Times New Roman" w:hAnsi="Times New Roman" w:cs="Times New Roman"/>
          <w:sz w:val="20"/>
          <w:szCs w:val="20"/>
        </w:rPr>
        <w:t xml:space="preserve">• smlouvy o účtu, </w:t>
      </w:r>
      <w:r>
        <w:br/>
      </w:r>
      <w:r w:rsidRPr="42B13DDF">
        <w:rPr>
          <w:rFonts w:ascii="Times New Roman" w:eastAsia="Times New Roman" w:hAnsi="Times New Roman" w:cs="Times New Roman"/>
          <w:sz w:val="20"/>
          <w:szCs w:val="20"/>
        </w:rPr>
        <w:t xml:space="preserve">• vkladní knížka, </w:t>
      </w:r>
      <w:r>
        <w:br/>
      </w:r>
      <w:r w:rsidRPr="42B13DDF">
        <w:rPr>
          <w:rFonts w:ascii="Times New Roman" w:eastAsia="Times New Roman" w:hAnsi="Times New Roman" w:cs="Times New Roman"/>
          <w:sz w:val="20"/>
          <w:szCs w:val="20"/>
        </w:rPr>
        <w:t xml:space="preserve">• smlouva o jednorázovém vkladu, </w:t>
      </w:r>
      <w:r>
        <w:br/>
      </w:r>
      <w:r w:rsidRPr="42B13DDF">
        <w:rPr>
          <w:rFonts w:ascii="Times New Roman" w:eastAsia="Times New Roman" w:hAnsi="Times New Roman" w:cs="Times New Roman"/>
          <w:sz w:val="20"/>
          <w:szCs w:val="20"/>
        </w:rPr>
        <w:t xml:space="preserve">• akreditiv, </w:t>
      </w:r>
      <w:r>
        <w:br/>
      </w:r>
      <w:r w:rsidRPr="42B13DDF">
        <w:rPr>
          <w:rFonts w:ascii="Times New Roman" w:eastAsia="Times New Roman" w:hAnsi="Times New Roman" w:cs="Times New Roman"/>
          <w:sz w:val="20"/>
          <w:szCs w:val="20"/>
        </w:rPr>
        <w:t xml:space="preserve">• inkaso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br/>
      </w:r>
      <w:r w:rsidRPr="42B13DDF">
        <w:rPr>
          <w:rFonts w:ascii="Times New Roman" w:eastAsia="Times New Roman" w:hAnsi="Times New Roman" w:cs="Times New Roman"/>
          <w:sz w:val="20"/>
          <w:szCs w:val="20"/>
        </w:rPr>
        <w:t xml:space="preserve">• §2/1 BankZ - bez licence nesmí nikdo přijímat vklady od veřejnosti, pokud zvláštní zákon nestanoví jinak </w:t>
      </w:r>
      <w:r>
        <w:br/>
      </w:r>
      <w:r w:rsidRPr="42B13DDF">
        <w:rPr>
          <w:rFonts w:ascii="Times New Roman" w:eastAsia="Times New Roman" w:hAnsi="Times New Roman" w:cs="Times New Roman"/>
          <w:sz w:val="20"/>
          <w:szCs w:val="20"/>
        </w:rPr>
        <w:t xml:space="preserve">• to platí i pro některé další “bankovní” smlouvy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Účet - obecná úprava</w:t>
      </w:r>
      <w:r w:rsidRPr="42B13DDF">
        <w:rPr>
          <w:rFonts w:ascii="Times New Roman" w:eastAsia="Times New Roman" w:hAnsi="Times New Roman" w:cs="Times New Roman"/>
          <w:sz w:val="20"/>
          <w:szCs w:val="20"/>
        </w:rPr>
        <w:t xml:space="preserve"> </w:t>
      </w:r>
      <w:r>
        <w:br/>
      </w:r>
      <w:r w:rsidRPr="42B13DDF">
        <w:rPr>
          <w:rFonts w:ascii="Times New Roman" w:eastAsia="Times New Roman" w:hAnsi="Times New Roman" w:cs="Times New Roman"/>
          <w:sz w:val="20"/>
          <w:szCs w:val="20"/>
        </w:rPr>
        <w:t xml:space="preserve">• §2662 OZ - smlouvou o účtu se zavazuje ten, kdo vede účet, </w:t>
      </w:r>
      <w:r>
        <w:br/>
      </w:r>
      <w:r w:rsidRPr="42B13DDF">
        <w:rPr>
          <w:rFonts w:ascii="Times New Roman" w:eastAsia="Times New Roman" w:hAnsi="Times New Roman" w:cs="Times New Roman"/>
          <w:sz w:val="20"/>
          <w:szCs w:val="20"/>
        </w:rPr>
        <w:t xml:space="preserve">     • zřídit </w:t>
      </w:r>
      <w:r>
        <w:br/>
      </w:r>
      <w:r w:rsidRPr="42B13DDF">
        <w:rPr>
          <w:rFonts w:ascii="Times New Roman" w:eastAsia="Times New Roman" w:hAnsi="Times New Roman" w:cs="Times New Roman"/>
          <w:sz w:val="20"/>
          <w:szCs w:val="20"/>
        </w:rPr>
        <w:t xml:space="preserve">         • od určité doby </w:t>
      </w:r>
      <w:r>
        <w:br/>
      </w:r>
      <w:r w:rsidRPr="42B13DDF">
        <w:rPr>
          <w:rFonts w:ascii="Times New Roman" w:eastAsia="Times New Roman" w:hAnsi="Times New Roman" w:cs="Times New Roman"/>
          <w:sz w:val="20"/>
          <w:szCs w:val="20"/>
        </w:rPr>
        <w:t xml:space="preserve">         • v určité měně účet pro jeho majitele, </w:t>
      </w:r>
      <w:r>
        <w:br/>
      </w:r>
      <w:r w:rsidRPr="42B13DDF">
        <w:rPr>
          <w:rFonts w:ascii="Times New Roman" w:eastAsia="Times New Roman" w:hAnsi="Times New Roman" w:cs="Times New Roman"/>
          <w:sz w:val="20"/>
          <w:szCs w:val="20"/>
        </w:rPr>
        <w:t xml:space="preserve">     • umožnit</w:t>
      </w:r>
      <w:r>
        <w:br/>
      </w:r>
      <w:r w:rsidRPr="42B13DDF">
        <w:rPr>
          <w:rFonts w:ascii="Times New Roman" w:eastAsia="Times New Roman" w:hAnsi="Times New Roman" w:cs="Times New Roman"/>
          <w:sz w:val="20"/>
          <w:szCs w:val="20"/>
        </w:rPr>
        <w:t xml:space="preserve">          • vložení hotovosti na účet nebo </w:t>
      </w:r>
      <w:r>
        <w:br/>
      </w:r>
      <w:r w:rsidRPr="42B13DDF">
        <w:rPr>
          <w:rFonts w:ascii="Times New Roman" w:eastAsia="Times New Roman" w:hAnsi="Times New Roman" w:cs="Times New Roman"/>
          <w:sz w:val="20"/>
          <w:szCs w:val="20"/>
        </w:rPr>
        <w:t xml:space="preserve">          • výběr hotovosti z účtu nebo</w:t>
      </w:r>
      <w:r>
        <w:br/>
      </w:r>
      <w:r w:rsidRPr="42B13DDF">
        <w:rPr>
          <w:rFonts w:ascii="Times New Roman" w:eastAsia="Times New Roman" w:hAnsi="Times New Roman" w:cs="Times New Roman"/>
          <w:sz w:val="20"/>
          <w:szCs w:val="20"/>
        </w:rPr>
        <w:t xml:space="preserve">      • provádět převody peněžních prostředků z účtu či na účet</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br/>
      </w:r>
      <w:r w:rsidRPr="42B13DDF">
        <w:rPr>
          <w:rFonts w:ascii="Times New Roman" w:eastAsia="Times New Roman" w:hAnsi="Times New Roman" w:cs="Times New Roman"/>
          <w:sz w:val="20"/>
          <w:szCs w:val="20"/>
        </w:rPr>
        <w:t xml:space="preserve">• smlouva o účtu má konsenzuální povahu - k jejímu vzniku stačí souhlasný projev vůle smluvních stran, není nutné reálné jednání, např. složení prostředků na účet </w:t>
      </w:r>
      <w:r>
        <w:br/>
      </w:r>
      <w:r w:rsidRPr="42B13DDF">
        <w:rPr>
          <w:rFonts w:ascii="Times New Roman" w:eastAsia="Times New Roman" w:hAnsi="Times New Roman" w:cs="Times New Roman"/>
          <w:sz w:val="20"/>
          <w:szCs w:val="20"/>
        </w:rPr>
        <w:t xml:space="preserve">• tím se liší od smlouvy o zápůjčce, která je reálnou smlouvou a vznikne až přenecháním předmětu zápůjčky vydlužiteli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br/>
      </w:r>
      <w:r w:rsidRPr="42B13DDF">
        <w:rPr>
          <w:rFonts w:ascii="Times New Roman" w:eastAsia="Times New Roman" w:hAnsi="Times New Roman" w:cs="Times New Roman"/>
          <w:sz w:val="20"/>
          <w:szCs w:val="20"/>
        </w:rPr>
        <w:t xml:space="preserve">        • s prostředky na účtu samostatně (není-li dohodnuto jinak), </w:t>
      </w:r>
      <w:r>
        <w:br/>
      </w:r>
      <w:r w:rsidRPr="42B13DDF">
        <w:rPr>
          <w:rFonts w:ascii="Times New Roman" w:eastAsia="Times New Roman" w:hAnsi="Times New Roman" w:cs="Times New Roman"/>
          <w:sz w:val="20"/>
          <w:szCs w:val="20"/>
        </w:rPr>
        <w:t xml:space="preserve">        • s účtem společně</w:t>
      </w:r>
      <w:r>
        <w:br/>
      </w:r>
      <w:r w:rsidRPr="42B13DDF">
        <w:rPr>
          <w:rFonts w:ascii="Times New Roman" w:eastAsia="Times New Roman" w:hAnsi="Times New Roman" w:cs="Times New Roman"/>
          <w:sz w:val="20"/>
          <w:szCs w:val="20"/>
        </w:rPr>
        <w:t xml:space="preserve"> • má se za to, že jejich podíly na peněžních prostředcích na účtu jsou stejné</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 </w:t>
      </w:r>
      <w:r>
        <w:br/>
      </w:r>
      <w:r w:rsidRPr="42B13DDF">
        <w:rPr>
          <w:rFonts w:ascii="Times New Roman" w:eastAsia="Times New Roman" w:hAnsi="Times New Roman" w:cs="Times New Roman"/>
          <w:sz w:val="20"/>
          <w:szCs w:val="20"/>
        </w:rPr>
        <w:t xml:space="preserve">• s peněžními prostředky na účtu může </w:t>
      </w:r>
      <w:r>
        <w:br/>
      </w:r>
      <w:r w:rsidRPr="42B13DDF">
        <w:rPr>
          <w:rFonts w:ascii="Times New Roman" w:eastAsia="Times New Roman" w:hAnsi="Times New Roman" w:cs="Times New Roman"/>
          <w:sz w:val="20"/>
          <w:szCs w:val="20"/>
        </w:rPr>
        <w:t xml:space="preserve">     • majitel (spolumajitel) účtu a </w:t>
      </w:r>
      <w:r>
        <w:br/>
      </w:r>
      <w:r w:rsidRPr="42B13DDF">
        <w:rPr>
          <w:rFonts w:ascii="Times New Roman" w:eastAsia="Times New Roman" w:hAnsi="Times New Roman" w:cs="Times New Roman"/>
          <w:sz w:val="20"/>
          <w:szCs w:val="20"/>
        </w:rPr>
        <w:t xml:space="preserve">     • za podmínek sjednaných ve smlouvě i jeho zmocněnci</w:t>
      </w:r>
      <w:r>
        <w:br/>
      </w:r>
      <w:r w:rsidRPr="42B13DDF">
        <w:rPr>
          <w:rFonts w:ascii="Times New Roman" w:eastAsia="Times New Roman" w:hAnsi="Times New Roman" w:cs="Times New Roman"/>
          <w:sz w:val="20"/>
          <w:szCs w:val="20"/>
        </w:rPr>
        <w:lastRenderedPageBreak/>
        <w:t xml:space="preserve"> nakládat sjednaným způsobem </w:t>
      </w:r>
      <w:r>
        <w:br/>
      </w:r>
      <w:r w:rsidRPr="42B13DDF">
        <w:rPr>
          <w:rFonts w:ascii="Times New Roman" w:eastAsia="Times New Roman" w:hAnsi="Times New Roman" w:cs="Times New Roman"/>
          <w:sz w:val="20"/>
          <w:szCs w:val="20"/>
        </w:rPr>
        <w:t xml:space="preserve">• nevyplývá-li ze zmocnění opak, nezaniká smrtí zmocnitele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br/>
      </w:r>
      <w:r w:rsidRPr="42B13DDF">
        <w:rPr>
          <w:rFonts w:ascii="Times New Roman" w:eastAsia="Times New Roman" w:hAnsi="Times New Roman" w:cs="Times New Roman"/>
          <w:sz w:val="20"/>
          <w:szCs w:val="20"/>
        </w:rPr>
        <w:t xml:space="preserve"> • sjednají-li strany, že ten, kdo vede účet </w:t>
      </w:r>
      <w:r>
        <w:br/>
      </w:r>
      <w:r w:rsidRPr="42B13DDF">
        <w:rPr>
          <w:rFonts w:ascii="Times New Roman" w:eastAsia="Times New Roman" w:hAnsi="Times New Roman" w:cs="Times New Roman"/>
          <w:sz w:val="20"/>
          <w:szCs w:val="20"/>
        </w:rPr>
        <w:t xml:space="preserve">        • umožní výběr hotovosti nebo</w:t>
      </w:r>
      <w:r>
        <w:br/>
      </w:r>
      <w:r w:rsidRPr="42B13DDF">
        <w:rPr>
          <w:rFonts w:ascii="Times New Roman" w:eastAsia="Times New Roman" w:hAnsi="Times New Roman" w:cs="Times New Roman"/>
          <w:sz w:val="20"/>
          <w:szCs w:val="20"/>
        </w:rPr>
        <w:t xml:space="preserve">        • provede převod peněžních prostředků z účtu,</w:t>
      </w:r>
      <w:r>
        <w:br/>
      </w:r>
      <w:r w:rsidRPr="42B13DDF">
        <w:rPr>
          <w:rFonts w:ascii="Times New Roman" w:eastAsia="Times New Roman" w:hAnsi="Times New Roman" w:cs="Times New Roman"/>
          <w:sz w:val="20"/>
          <w:szCs w:val="20"/>
        </w:rPr>
        <w:t xml:space="preserve"> ač pro to na účtu není dostatek peněžních prostředků (kontokorent), použijí se příměřené ustanovení o úvěru</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br/>
      </w:r>
      <w:r w:rsidRPr="42B13DDF">
        <w:rPr>
          <w:rFonts w:ascii="Times New Roman" w:eastAsia="Times New Roman" w:hAnsi="Times New Roman" w:cs="Times New Roman"/>
          <w:sz w:val="20"/>
          <w:szCs w:val="20"/>
        </w:rPr>
        <w:t xml:space="preserve">       • výplaty hotovosti a </w:t>
      </w:r>
      <w:r>
        <w:br/>
      </w:r>
      <w:r w:rsidRPr="42B13DDF">
        <w:rPr>
          <w:rFonts w:ascii="Times New Roman" w:eastAsia="Times New Roman" w:hAnsi="Times New Roman" w:cs="Times New Roman"/>
          <w:sz w:val="20"/>
          <w:szCs w:val="20"/>
        </w:rPr>
        <w:t xml:space="preserve">       • převody peněžních prostředků z účtu, 50 o kterých majitel účtu určil, že se v nich po jeho smrti pokračovat nemá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br/>
      </w:r>
      <w:r w:rsidRPr="42B13DDF">
        <w:rPr>
          <w:rFonts w:ascii="Times New Roman" w:eastAsia="Times New Roman" w:hAnsi="Times New Roman" w:cs="Times New Roman"/>
          <w:sz w:val="20"/>
          <w:szCs w:val="20"/>
        </w:rPr>
        <w:t xml:space="preserve">• zákon nestanoví povinnost toho, kdo vede účet, poskytovat majiteli úrok </w:t>
      </w:r>
      <w:r>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br/>
      </w:r>
      <w:r w:rsidRPr="42B13DDF">
        <w:rPr>
          <w:rFonts w:ascii="Times New Roman" w:eastAsia="Times New Roman" w:hAnsi="Times New Roman" w:cs="Times New Roman"/>
          <w:sz w:val="20"/>
          <w:szCs w:val="20"/>
        </w:rPr>
        <w:t xml:space="preserve">• smlouva o účtu je rámcovou smlouvou o platebních službách ve smyslu §74 ZPS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br/>
      </w:r>
      <w:r w:rsidRPr="42B13DDF">
        <w:rPr>
          <w:rFonts w:ascii="Times New Roman" w:eastAsia="Times New Roman" w:hAnsi="Times New Roman" w:cs="Times New Roman"/>
          <w:sz w:val="20"/>
          <w:szCs w:val="20"/>
        </w:rPr>
        <w:t xml:space="preserve"> • jiným než platebním účtem je např. </w:t>
      </w:r>
      <w:r>
        <w:br/>
      </w:r>
      <w:r w:rsidRPr="42B13DDF">
        <w:rPr>
          <w:rFonts w:ascii="Times New Roman" w:eastAsia="Times New Roman" w:hAnsi="Times New Roman" w:cs="Times New Roman"/>
          <w:sz w:val="20"/>
          <w:szCs w:val="20"/>
        </w:rPr>
        <w:t xml:space="preserve">       • účet stavebního spoření,</w:t>
      </w:r>
      <w:r>
        <w:br/>
      </w:r>
      <w:r w:rsidRPr="42B13DDF">
        <w:rPr>
          <w:rFonts w:ascii="Times New Roman" w:eastAsia="Times New Roman" w:hAnsi="Times New Roman" w:cs="Times New Roman"/>
          <w:sz w:val="20"/>
          <w:szCs w:val="20"/>
        </w:rPr>
        <w:t xml:space="preserve">       • účet s výpovědní dobou apod.</w:t>
      </w:r>
      <w:r>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den poté, co získal právo s nimi nakládat </w:t>
      </w:r>
      <w:r>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br/>
      </w:r>
      <w:r w:rsidRPr="42B13DDF">
        <w:rPr>
          <w:rFonts w:ascii="Times New Roman" w:eastAsia="Times New Roman" w:hAnsi="Times New Roman" w:cs="Times New Roman"/>
          <w:sz w:val="20"/>
          <w:szCs w:val="20"/>
        </w:rPr>
        <w:t xml:space="preserve"> • na vkladní knížku se vztahuje obecná úprava smlouvy o účtu </w:t>
      </w:r>
      <w:r>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br/>
      </w:r>
      <w:r w:rsidRPr="42B13DDF">
        <w:rPr>
          <w:rFonts w:ascii="Times New Roman" w:eastAsia="Times New Roman" w:hAnsi="Times New Roman" w:cs="Times New Roman"/>
          <w:sz w:val="20"/>
          <w:szCs w:val="20"/>
        </w:rPr>
        <w:t>• vkladní knížka není cenným papírem, je potvrzením sui generis - bez jejího předložení nelze nakládat s peněžními prostředky na účtu</w:t>
      </w:r>
      <w:r>
        <w:br/>
      </w:r>
      <w:r w:rsidRPr="42B13DDF">
        <w:rPr>
          <w:rFonts w:ascii="Times New Roman" w:eastAsia="Times New Roman" w:hAnsi="Times New Roman" w:cs="Times New Roman"/>
          <w:sz w:val="20"/>
          <w:szCs w:val="20"/>
        </w:rPr>
        <w:t xml:space="preserve"> • vkladní knížku nelze umořit podle §303 an. ZVŘS</w:t>
      </w:r>
      <w:r>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br/>
      </w:r>
      <w:r w:rsidRPr="42B13DDF">
        <w:rPr>
          <w:rFonts w:ascii="Times New Roman" w:eastAsia="Times New Roman" w:hAnsi="Times New Roman" w:cs="Times New Roman"/>
          <w:sz w:val="20"/>
          <w:szCs w:val="20"/>
        </w:rPr>
        <w:t xml:space="preserve">• při ztrátěě nebo zničení vkladní knížky vystaví výstavce vkladní knížky na žádost majitele vkladní knížky novou vkladní knížku </w:t>
      </w:r>
      <w:r>
        <w:br/>
      </w:r>
      <w:r w:rsidRPr="42B13DDF">
        <w:rPr>
          <w:rFonts w:ascii="Times New Roman" w:eastAsia="Times New Roman" w:hAnsi="Times New Roman" w:cs="Times New Roman"/>
          <w:sz w:val="20"/>
          <w:szCs w:val="20"/>
        </w:rPr>
        <w:t>• pokud majitel vkladní knížky</w:t>
      </w:r>
      <w:r>
        <w:br/>
      </w:r>
      <w:r w:rsidRPr="42B13DDF">
        <w:rPr>
          <w:rFonts w:ascii="Times New Roman" w:eastAsia="Times New Roman" w:hAnsi="Times New Roman" w:cs="Times New Roman"/>
          <w:sz w:val="20"/>
          <w:szCs w:val="20"/>
        </w:rPr>
        <w:t xml:space="preserve">         • nenakládá s peněžními prostředky na účtu po dobu dvaceti let ani </w:t>
      </w:r>
      <w:r>
        <w:br/>
      </w:r>
      <w:r w:rsidRPr="42B13DDF">
        <w:rPr>
          <w:rFonts w:ascii="Times New Roman" w:eastAsia="Times New Roman" w:hAnsi="Times New Roman" w:cs="Times New Roman"/>
          <w:sz w:val="20"/>
          <w:szCs w:val="20"/>
        </w:rPr>
        <w:t xml:space="preserve">         • nepředloží vkladní knížku k doplnění záznamů, ruší se závazek uplynutím této doby </w:t>
      </w:r>
      <w:r>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br/>
      </w:r>
      <w:r w:rsidRPr="42B13DDF">
        <w:rPr>
          <w:rFonts w:ascii="Times New Roman" w:eastAsia="Times New Roman" w:hAnsi="Times New Roman" w:cs="Times New Roman"/>
          <w:sz w:val="20"/>
          <w:szCs w:val="20"/>
        </w:rPr>
        <w:t xml:space="preserve">• bylo-li nakládání s vkladem </w:t>
      </w:r>
      <w:r>
        <w:br/>
      </w:r>
      <w:r w:rsidRPr="42B13DDF">
        <w:rPr>
          <w:rFonts w:ascii="Times New Roman" w:eastAsia="Times New Roman" w:hAnsi="Times New Roman" w:cs="Times New Roman"/>
          <w:sz w:val="20"/>
          <w:szCs w:val="20"/>
        </w:rPr>
        <w:t xml:space="preserve">       • podmíněno sdělením hesla, a </w:t>
      </w:r>
      <w:r>
        <w:br/>
      </w:r>
      <w:r w:rsidRPr="42B13DDF">
        <w:rPr>
          <w:rFonts w:ascii="Times New Roman" w:eastAsia="Times New Roman" w:hAnsi="Times New Roman" w:cs="Times New Roman"/>
          <w:sz w:val="20"/>
          <w:szCs w:val="20"/>
        </w:rPr>
        <w:t xml:space="preserve">       • vkladatel heslo nezná, </w:t>
      </w:r>
      <w:r>
        <w:br/>
      </w:r>
      <w:r w:rsidRPr="42B13DDF">
        <w:rPr>
          <w:rFonts w:ascii="Times New Roman" w:eastAsia="Times New Roman" w:hAnsi="Times New Roman" w:cs="Times New Roman"/>
          <w:sz w:val="20"/>
          <w:szCs w:val="20"/>
        </w:rPr>
        <w:t xml:space="preserve">může vkladatel nakládat s vkladem, pokud prokáže, že mu vklad náleží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br/>
      </w:r>
      <w:r w:rsidRPr="42B13DDF">
        <w:rPr>
          <w:rFonts w:ascii="Times New Roman" w:eastAsia="Times New Roman" w:hAnsi="Times New Roman" w:cs="Times New Roman"/>
          <w:sz w:val="20"/>
          <w:szCs w:val="20"/>
        </w:rPr>
        <w:t xml:space="preserve"> • nová právní úprava </w:t>
      </w:r>
      <w:r>
        <w:br/>
      </w:r>
      <w:r w:rsidRPr="42B13DDF">
        <w:rPr>
          <w:rFonts w:ascii="Times New Roman" w:eastAsia="Times New Roman" w:hAnsi="Times New Roman" w:cs="Times New Roman"/>
          <w:sz w:val="20"/>
          <w:szCs w:val="20"/>
        </w:rPr>
        <w:t xml:space="preserve"> • navazuje na dosavadní úpravu obsaženou v §682 až 691 ObchZ a </w:t>
      </w:r>
      <w:r>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br/>
      </w:r>
      <w:r w:rsidRPr="42B13DDF">
        <w:rPr>
          <w:rFonts w:ascii="Times New Roman" w:eastAsia="Times New Roman" w:hAnsi="Times New Roman" w:cs="Times New Roman"/>
          <w:sz w:val="20"/>
          <w:szCs w:val="20"/>
        </w:rPr>
        <w:t xml:space="preserve">• §2682 OZ - smlouvu o otevření akreditivu </w:t>
      </w:r>
      <w:r>
        <w:br/>
      </w:r>
      <w:r w:rsidRPr="42B13DDF">
        <w:rPr>
          <w:rFonts w:ascii="Times New Roman" w:eastAsia="Times New Roman" w:hAnsi="Times New Roman" w:cs="Times New Roman"/>
          <w:sz w:val="20"/>
          <w:szCs w:val="20"/>
        </w:rPr>
        <w:t xml:space="preserve">        • se výstavce akreditivu zavazuje vůči příkazci vystavit na jeho žádost a účet ve prospěch třetí osoby akreditiv a </w:t>
      </w:r>
      <w:r>
        <w:br/>
      </w:r>
      <w:r w:rsidRPr="42B13DDF">
        <w:rPr>
          <w:rFonts w:ascii="Times New Roman" w:eastAsia="Times New Roman" w:hAnsi="Times New Roman" w:cs="Times New Roman"/>
          <w:sz w:val="20"/>
          <w:szCs w:val="20"/>
        </w:rPr>
        <w:t xml:space="preserve">       • příkazce se zavazuje zaplatit výstavci akreditiv. odměnu </w:t>
      </w:r>
      <w:r>
        <w:br/>
      </w:r>
      <w:r w:rsidRPr="42B13DDF">
        <w:rPr>
          <w:rFonts w:ascii="Times New Roman" w:eastAsia="Times New Roman" w:hAnsi="Times New Roman" w:cs="Times New Roman"/>
          <w:sz w:val="20"/>
          <w:szCs w:val="20"/>
        </w:rPr>
        <w:t>• výstavce akreditivu oznámí oprávněnému</w:t>
      </w:r>
      <w:r>
        <w:br/>
      </w:r>
      <w:r w:rsidRPr="42B13DDF">
        <w:rPr>
          <w:rFonts w:ascii="Times New Roman" w:eastAsia="Times New Roman" w:hAnsi="Times New Roman" w:cs="Times New Roman"/>
          <w:sz w:val="20"/>
          <w:szCs w:val="20"/>
        </w:rPr>
        <w:t xml:space="preserve">        • v písemné formě bez zbytečného odkladu po uzavření smlouvy, že</w:t>
      </w:r>
      <w:r>
        <w:br/>
      </w:r>
      <w:r w:rsidRPr="42B13DDF">
        <w:rPr>
          <w:rFonts w:ascii="Times New Roman" w:eastAsia="Times New Roman" w:hAnsi="Times New Roman" w:cs="Times New Roman"/>
          <w:sz w:val="20"/>
          <w:szCs w:val="20"/>
        </w:rPr>
        <w:t xml:space="preserve">        • v jeho prospěch otvírá akreditiv, a sdělí mu jeho obsah</w:t>
      </w:r>
      <w:r>
        <w:br/>
      </w:r>
      <w:r w:rsidRPr="42B13DDF">
        <w:rPr>
          <w:rFonts w:ascii="Times New Roman" w:eastAsia="Times New Roman" w:hAnsi="Times New Roman" w:cs="Times New Roman"/>
          <w:sz w:val="20"/>
          <w:szCs w:val="20"/>
        </w:rPr>
        <w:t xml:space="preserve"> • akreditiv obsahuje alespoň</w:t>
      </w:r>
      <w:r>
        <w:br/>
      </w:r>
      <w:r w:rsidRPr="42B13DDF">
        <w:rPr>
          <w:rFonts w:ascii="Times New Roman" w:eastAsia="Times New Roman" w:hAnsi="Times New Roman" w:cs="Times New Roman"/>
          <w:sz w:val="20"/>
          <w:szCs w:val="20"/>
        </w:rPr>
        <w:t xml:space="preserve">       • určení, že se výstavce akreditivu zavazuje k určitému plnění, a </w:t>
      </w:r>
      <w:r>
        <w:br/>
      </w:r>
      <w:r w:rsidRPr="42B13DDF">
        <w:rPr>
          <w:rFonts w:ascii="Times New Roman" w:eastAsia="Times New Roman" w:hAnsi="Times New Roman" w:cs="Times New Roman"/>
          <w:sz w:val="20"/>
          <w:szCs w:val="20"/>
        </w:rPr>
        <w:t xml:space="preserve">       • akreditivní podmínky s určením, do kdy je má oprávněný splnit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br/>
      </w:r>
      <w:r w:rsidRPr="42B13DDF">
        <w:rPr>
          <w:rFonts w:ascii="Times New Roman" w:eastAsia="Times New Roman" w:hAnsi="Times New Roman" w:cs="Times New Roman"/>
          <w:sz w:val="20"/>
          <w:szCs w:val="20"/>
        </w:rPr>
        <w:t xml:space="preserve">• je-li akreditiv </w:t>
      </w:r>
      <w:r>
        <w:br/>
      </w:r>
      <w:r w:rsidRPr="42B13DDF">
        <w:rPr>
          <w:rFonts w:ascii="Times New Roman" w:eastAsia="Times New Roman" w:hAnsi="Times New Roman" w:cs="Times New Roman"/>
          <w:sz w:val="20"/>
          <w:szCs w:val="20"/>
        </w:rPr>
        <w:t xml:space="preserve">     • na žádost výstavce akreditivu </w:t>
      </w:r>
      <w:r>
        <w:br/>
      </w:r>
      <w:r w:rsidRPr="42B13DDF">
        <w:rPr>
          <w:rFonts w:ascii="Times New Roman" w:eastAsia="Times New Roman" w:hAnsi="Times New Roman" w:cs="Times New Roman"/>
          <w:sz w:val="20"/>
          <w:szCs w:val="20"/>
        </w:rPr>
        <w:t xml:space="preserve">     • potvrzen dalším výstavcem, </w:t>
      </w:r>
      <w:r>
        <w:br/>
      </w:r>
      <w:r w:rsidRPr="42B13DDF">
        <w:rPr>
          <w:rFonts w:ascii="Times New Roman" w:eastAsia="Times New Roman" w:hAnsi="Times New Roman" w:cs="Times New Roman"/>
          <w:sz w:val="20"/>
          <w:szCs w:val="20"/>
        </w:rPr>
        <w:t>vzniká oprávněnému právo na plnění i vůči potvrzujícímu výstavci</w:t>
      </w:r>
      <w:r>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br/>
      </w:r>
      <w:r w:rsidRPr="42B13DDF">
        <w:rPr>
          <w:rFonts w:ascii="Times New Roman" w:eastAsia="Times New Roman" w:hAnsi="Times New Roman" w:cs="Times New Roman"/>
          <w:sz w:val="20"/>
          <w:szCs w:val="20"/>
        </w:rPr>
        <w:t xml:space="preserve"> • při dokumentárním akreditivu výstavce akreditivu plní oprávněnému</w:t>
      </w:r>
      <w:r>
        <w:br/>
      </w:r>
      <w:r w:rsidRPr="42B13DDF">
        <w:rPr>
          <w:rFonts w:ascii="Times New Roman" w:eastAsia="Times New Roman" w:hAnsi="Times New Roman" w:cs="Times New Roman"/>
          <w:sz w:val="20"/>
          <w:szCs w:val="20"/>
        </w:rPr>
        <w:t xml:space="preserve">      • jsou-li mu včas předloženy dokumenty určené akreditivem</w:t>
      </w:r>
      <w:r>
        <w:br/>
      </w:r>
      <w:r w:rsidRPr="42B13DDF">
        <w:rPr>
          <w:rFonts w:ascii="Times New Roman" w:eastAsia="Times New Roman" w:hAnsi="Times New Roman" w:cs="Times New Roman"/>
          <w:sz w:val="20"/>
          <w:szCs w:val="20"/>
        </w:rPr>
        <w:t xml:space="preserve">      • v souladu s akreditivními podmínkami </w:t>
      </w:r>
      <w:r>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br/>
      </w:r>
      <w:r w:rsidRPr="42B13DDF">
        <w:rPr>
          <w:rFonts w:ascii="Times New Roman" w:eastAsia="Times New Roman" w:hAnsi="Times New Roman" w:cs="Times New Roman"/>
          <w:sz w:val="20"/>
          <w:szCs w:val="20"/>
        </w:rPr>
        <w:t xml:space="preserve"> • ustanovení o dokumentárním akreditivu se použije přimeřeně i na akreditiv, podle něhož se lze domáhat plnění při splnění jiných podmínek než je předložení dokumentu </w:t>
      </w:r>
    </w:p>
    <w:p w:rsidR="00EE5C34" w:rsidRDefault="00EE5C34" w:rsidP="00EE5C34">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br/>
      </w:r>
      <w:r w:rsidRPr="42B13DDF">
        <w:rPr>
          <w:rFonts w:ascii="Times New Roman" w:eastAsia="Times New Roman" w:hAnsi="Times New Roman" w:cs="Times New Roman"/>
          <w:sz w:val="20"/>
          <w:szCs w:val="20"/>
        </w:rPr>
        <w:t xml:space="preserve">• smlouvou o inkasu se obstaravatel inkasa zavazuje obstarat pro příkazce </w:t>
      </w:r>
      <w:r>
        <w:br/>
      </w:r>
      <w:r w:rsidRPr="42B13DDF">
        <w:rPr>
          <w:rFonts w:ascii="Times New Roman" w:eastAsia="Times New Roman" w:hAnsi="Times New Roman" w:cs="Times New Roman"/>
          <w:sz w:val="20"/>
          <w:szCs w:val="20"/>
        </w:rPr>
        <w:t xml:space="preserve">    • příjetí peněžní částky nebo </w:t>
      </w:r>
      <w:r>
        <w:br/>
      </w:r>
      <w:r w:rsidRPr="42B13DDF">
        <w:rPr>
          <w:rFonts w:ascii="Times New Roman" w:eastAsia="Times New Roman" w:hAnsi="Times New Roman" w:cs="Times New Roman"/>
          <w:sz w:val="20"/>
          <w:szCs w:val="20"/>
        </w:rPr>
        <w:t xml:space="preserve">    • jiný inkasní úkon třetí osoby a příkazce se zavazuje zaplatit obstaravateli inkasa odměnu • není-li výše odměny sjednána, zaplatí příkazce obstaravateli inkasa odměnu obvyklou • obstaravatel inkasa</w:t>
      </w:r>
      <w:r>
        <w:br/>
      </w:r>
      <w:r w:rsidRPr="42B13DDF">
        <w:rPr>
          <w:rFonts w:ascii="Times New Roman" w:eastAsia="Times New Roman" w:hAnsi="Times New Roman" w:cs="Times New Roman"/>
          <w:sz w:val="20"/>
          <w:szCs w:val="20"/>
        </w:rPr>
        <w:t xml:space="preserve">       • vstupuje do závazku na místě příkazce a </w:t>
      </w:r>
      <w:r>
        <w:br/>
      </w:r>
      <w:r w:rsidRPr="42B13DDF">
        <w:rPr>
          <w:rFonts w:ascii="Times New Roman" w:eastAsia="Times New Roman" w:hAnsi="Times New Roman" w:cs="Times New Roman"/>
          <w:sz w:val="20"/>
          <w:szCs w:val="20"/>
        </w:rPr>
        <w:t xml:space="preserve">       • má jen tolik práv a povinností, kolik převzal na základě smlouvy o inkasu, resp. které plynou z platné právní úpravy</w:t>
      </w:r>
      <w:r>
        <w:br/>
      </w:r>
      <w:r w:rsidRPr="42B13DDF">
        <w:rPr>
          <w:rFonts w:ascii="Times New Roman" w:eastAsia="Times New Roman" w:hAnsi="Times New Roman" w:cs="Times New Roman"/>
          <w:sz w:val="20"/>
          <w:szCs w:val="20"/>
        </w:rPr>
        <w:t xml:space="preserve"> • obstaravatel inkasa je povinen postupovat při obstarání inkasa </w:t>
      </w:r>
      <w:r>
        <w:br/>
      </w:r>
      <w:r w:rsidRPr="42B13DDF">
        <w:rPr>
          <w:rFonts w:ascii="Times New Roman" w:eastAsia="Times New Roman" w:hAnsi="Times New Roman" w:cs="Times New Roman"/>
          <w:sz w:val="20"/>
          <w:szCs w:val="20"/>
        </w:rPr>
        <w:t xml:space="preserve">        • s odbornou péčí </w:t>
      </w:r>
      <w:r>
        <w:br/>
      </w:r>
      <w:r w:rsidRPr="42B13DDF">
        <w:rPr>
          <w:rFonts w:ascii="Times New Roman" w:eastAsia="Times New Roman" w:hAnsi="Times New Roman" w:cs="Times New Roman"/>
          <w:sz w:val="20"/>
          <w:szCs w:val="20"/>
        </w:rPr>
        <w:t xml:space="preserve">        • podle pokynů příkazce </w:t>
      </w:r>
      <w:r>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br/>
      </w:r>
      <w:r w:rsidRPr="42B13DDF">
        <w:rPr>
          <w:rFonts w:ascii="Times New Roman" w:eastAsia="Times New Roman" w:hAnsi="Times New Roman" w:cs="Times New Roman"/>
          <w:sz w:val="20"/>
          <w:szCs w:val="20"/>
        </w:rPr>
        <w:t xml:space="preserve">• obstaravatel inkasa vyzve třetí osobu k provedení inkasního úkonu </w:t>
      </w:r>
      <w:r>
        <w:br/>
      </w:r>
      <w:r w:rsidRPr="42B13DDF">
        <w:rPr>
          <w:rFonts w:ascii="Times New Roman" w:eastAsia="Times New Roman" w:hAnsi="Times New Roman" w:cs="Times New Roman"/>
          <w:sz w:val="20"/>
          <w:szCs w:val="20"/>
        </w:rPr>
        <w:t xml:space="preserve">• odmítne-li vyzvaná osoba spolnit výzvu, podá o tom obstaravatel inkasa příkazci bez zbytečného odkladu zprávu </w:t>
      </w:r>
      <w:r>
        <w:br/>
      </w:r>
      <w:r w:rsidRPr="42B13DDF">
        <w:rPr>
          <w:rFonts w:ascii="Times New Roman" w:eastAsia="Times New Roman" w:hAnsi="Times New Roman" w:cs="Times New Roman"/>
          <w:sz w:val="20"/>
          <w:szCs w:val="20"/>
        </w:rPr>
        <w:t>• obstaravatel inkasa není povinen splnění výzvy vymáhat soudní cestou, ledaže by to bylo dohodnuto</w:t>
      </w:r>
      <w:r>
        <w:br/>
      </w:r>
      <w:r w:rsidRPr="42B13DDF">
        <w:rPr>
          <w:rFonts w:ascii="Times New Roman" w:eastAsia="Times New Roman" w:hAnsi="Times New Roman" w:cs="Times New Roman"/>
          <w:sz w:val="20"/>
          <w:szCs w:val="20"/>
        </w:rPr>
        <w:t xml:space="preserve"> • co obstaravatel inkasa při inkasu přijal, vydá bez zbytečného odkladu příkazci</w:t>
      </w:r>
    </w:p>
    <w:p w:rsidR="00EE5C34" w:rsidRDefault="00EE5C34" w:rsidP="00EE5C34">
      <w:pPr>
        <w:pStyle w:val="Heading3"/>
        <w:numPr>
          <w:ilvl w:val="0"/>
          <w:numId w:val="1"/>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br/>
      </w:r>
      <w:r w:rsidRPr="42B13DDF">
        <w:rPr>
          <w:rFonts w:ascii="Times New Roman" w:eastAsia="Times New Roman" w:hAnsi="Times New Roman" w:cs="Times New Roman"/>
          <w:color w:val="auto"/>
          <w:sz w:val="20"/>
          <w:szCs w:val="20"/>
        </w:rPr>
        <w:t xml:space="preserve"> • při dokumentárním inkasu se </w:t>
      </w:r>
      <w:r>
        <w:br/>
      </w:r>
      <w:r w:rsidRPr="42B13DDF">
        <w:rPr>
          <w:rFonts w:ascii="Times New Roman" w:eastAsia="Times New Roman" w:hAnsi="Times New Roman" w:cs="Times New Roman"/>
          <w:color w:val="auto"/>
          <w:sz w:val="20"/>
          <w:szCs w:val="20"/>
        </w:rPr>
        <w:t xml:space="preserve">     • obstaravatel inkasa vůči příkazci zavazuje vydat třetí osobě dokumenty, zaplatí-li tato osoba proti vydání dokumentů určitou peněžní částku, nebo </w:t>
      </w:r>
      <w:r>
        <w:br/>
      </w:r>
      <w:r w:rsidRPr="42B13DDF">
        <w:rPr>
          <w:rFonts w:ascii="Times New Roman" w:eastAsia="Times New Roman" w:hAnsi="Times New Roman" w:cs="Times New Roman"/>
          <w:color w:val="auto"/>
          <w:sz w:val="20"/>
          <w:szCs w:val="20"/>
        </w:rPr>
        <w:t xml:space="preserve">    • provést před vydáním dokumentů jiný inkasní úkon, a příkazce se zavazuje zaplatit obstaravateli inkasa odměnu</w:t>
      </w:r>
      <w:r>
        <w:br/>
      </w:r>
      <w:r>
        <w:br/>
      </w:r>
      <w:hyperlink r:id="rId7">
        <w:r w:rsidRPr="42B13DDF">
          <w:rPr>
            <w:rStyle w:val="Hyperlink"/>
            <w:rFonts w:ascii="Times New Roman" w:eastAsia="Times New Roman" w:hAnsi="Times New Roman" w:cs="Times New Roman"/>
            <w:b/>
            <w:bCs/>
            <w:color w:val="auto"/>
            <w:sz w:val="20"/>
            <w:szCs w:val="20"/>
          </w:rPr>
          <w:t>Závazky ze smluv o přepravě</w:t>
        </w:r>
      </w:hyperlink>
    </w:p>
    <w:p w:rsidR="00EE5C34" w:rsidRDefault="00EE5C34" w:rsidP="00EE5C34">
      <w:pPr>
        <w:pStyle w:val="Heading4"/>
        <w:spacing w:line="360" w:lineRule="auto"/>
        <w:ind w:left="360"/>
        <w:rPr>
          <w:rFonts w:ascii="Times New Roman" w:eastAsia="Times New Roman" w:hAnsi="Times New Roman" w:cs="Times New Roman"/>
          <w:b/>
          <w:bCs/>
          <w:i w:val="0"/>
          <w:iCs w:val="0"/>
          <w:color w:val="auto"/>
          <w:sz w:val="20"/>
          <w:szCs w:val="20"/>
        </w:rPr>
      </w:pPr>
      <w:hyperlink r:id="rId8">
        <w:r w:rsidRPr="42B13DDF">
          <w:rPr>
            <w:rStyle w:val="Hyperlink"/>
            <w:rFonts w:ascii="Times New Roman" w:eastAsia="Times New Roman" w:hAnsi="Times New Roman" w:cs="Times New Roman"/>
            <w:b/>
            <w:bCs/>
            <w:i w:val="0"/>
            <w:iCs w:val="0"/>
            <w:color w:val="auto"/>
            <w:sz w:val="20"/>
            <w:szCs w:val="20"/>
          </w:rPr>
          <w:t>Přeprava osob a věcí</w:t>
        </w:r>
      </w:hyperlink>
    </w:p>
    <w:p w:rsidR="00EE5C34" w:rsidRDefault="00EE5C34" w:rsidP="00EE5C34">
      <w:pPr>
        <w:pStyle w:val="Heading4"/>
        <w:numPr>
          <w:ilvl w:val="0"/>
          <w:numId w:val="1"/>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9">
        <w:r w:rsidRPr="42B13DDF">
          <w:rPr>
            <w:rStyle w:val="Hyperlink"/>
            <w:rFonts w:ascii="Times New Roman" w:eastAsia="Times New Roman" w:hAnsi="Times New Roman" w:cs="Times New Roman"/>
            <w:color w:val="auto"/>
            <w:sz w:val="20"/>
            <w:szCs w:val="20"/>
          </w:rPr>
          <w:t>§ 2550Základní ustanovení</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0">
        <w:r w:rsidRPr="42B13DDF">
          <w:rPr>
            <w:rStyle w:val="Hyperlink"/>
            <w:rFonts w:ascii="Times New Roman" w:eastAsia="Times New Roman" w:hAnsi="Times New Roman" w:cs="Times New Roman"/>
            <w:color w:val="auto"/>
            <w:sz w:val="20"/>
            <w:szCs w:val="20"/>
          </w:rPr>
          <w:t>§ 2551</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1">
        <w:r w:rsidRPr="42B13DDF">
          <w:rPr>
            <w:rStyle w:val="Hyperlink"/>
            <w:rFonts w:ascii="Times New Roman" w:eastAsia="Times New Roman" w:hAnsi="Times New Roman" w:cs="Times New Roman"/>
            <w:color w:val="auto"/>
            <w:sz w:val="20"/>
            <w:szCs w:val="20"/>
          </w:rPr>
          <w:t>§ 2552</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2">
        <w:r w:rsidRPr="42B13DDF">
          <w:rPr>
            <w:rStyle w:val="Hyperlink"/>
            <w:rFonts w:ascii="Times New Roman" w:eastAsia="Times New Roman" w:hAnsi="Times New Roman" w:cs="Times New Roman"/>
            <w:color w:val="auto"/>
            <w:sz w:val="20"/>
            <w:szCs w:val="20"/>
          </w:rPr>
          <w:t>§ 2553</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3">
        <w:r w:rsidRPr="42B13DDF">
          <w:rPr>
            <w:rStyle w:val="Hyperlink"/>
            <w:rFonts w:ascii="Times New Roman" w:eastAsia="Times New Roman" w:hAnsi="Times New Roman" w:cs="Times New Roman"/>
            <w:color w:val="auto"/>
            <w:sz w:val="20"/>
            <w:szCs w:val="20"/>
          </w:rPr>
          <w:t>§ 2554</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rsidR="00EE5C34" w:rsidRDefault="00EE5C34" w:rsidP="00EE5C34">
      <w:pPr>
        <w:pStyle w:val="Heading4"/>
        <w:numPr>
          <w:ilvl w:val="0"/>
          <w:numId w:val="1"/>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věci</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4">
        <w:r w:rsidRPr="42B13DDF">
          <w:rPr>
            <w:rStyle w:val="Hyperlink"/>
            <w:rFonts w:ascii="Times New Roman" w:eastAsia="Times New Roman" w:hAnsi="Times New Roman" w:cs="Times New Roman"/>
            <w:color w:val="auto"/>
            <w:sz w:val="20"/>
            <w:szCs w:val="20"/>
          </w:rPr>
          <w:t>§ 2555Základní ustanovení</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5">
        <w:r w:rsidRPr="42B13DDF">
          <w:rPr>
            <w:rStyle w:val="Hyperlink"/>
            <w:rFonts w:ascii="Times New Roman" w:eastAsia="Times New Roman" w:hAnsi="Times New Roman" w:cs="Times New Roman"/>
            <w:color w:val="auto"/>
            <w:sz w:val="20"/>
            <w:szCs w:val="20"/>
          </w:rPr>
          <w:t>§ 2556</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6">
        <w:r w:rsidRPr="42B13DDF">
          <w:rPr>
            <w:rStyle w:val="Hyperlink"/>
            <w:rFonts w:ascii="Times New Roman" w:eastAsia="Times New Roman" w:hAnsi="Times New Roman" w:cs="Times New Roman"/>
            <w:color w:val="auto"/>
            <w:sz w:val="20"/>
            <w:szCs w:val="20"/>
          </w:rPr>
          <w:t>§ 2557</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7">
        <w:r w:rsidRPr="42B13DDF">
          <w:rPr>
            <w:rStyle w:val="Hyperlink"/>
            <w:rFonts w:ascii="Times New Roman" w:eastAsia="Times New Roman" w:hAnsi="Times New Roman" w:cs="Times New Roman"/>
            <w:color w:val="auto"/>
            <w:sz w:val="20"/>
            <w:szCs w:val="20"/>
          </w:rPr>
          <w:t>§ 2558</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8">
        <w:r w:rsidRPr="42B13DDF">
          <w:rPr>
            <w:rStyle w:val="Hyperlink"/>
            <w:rFonts w:ascii="Times New Roman" w:eastAsia="Times New Roman" w:hAnsi="Times New Roman" w:cs="Times New Roman"/>
            <w:color w:val="auto"/>
            <w:sz w:val="20"/>
            <w:szCs w:val="20"/>
          </w:rPr>
          <w:t>§ 2559Přerušení přepravy</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19">
        <w:r w:rsidRPr="42B13DDF">
          <w:rPr>
            <w:rStyle w:val="Hyperlink"/>
            <w:rFonts w:ascii="Times New Roman" w:eastAsia="Times New Roman" w:hAnsi="Times New Roman" w:cs="Times New Roman"/>
            <w:color w:val="auto"/>
            <w:sz w:val="20"/>
            <w:szCs w:val="20"/>
          </w:rPr>
          <w:t>§ 2560</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0">
        <w:r w:rsidRPr="42B13DDF">
          <w:rPr>
            <w:rStyle w:val="Hyperlink"/>
            <w:rFonts w:ascii="Times New Roman" w:eastAsia="Times New Roman" w:hAnsi="Times New Roman" w:cs="Times New Roman"/>
            <w:color w:val="auto"/>
            <w:sz w:val="20"/>
            <w:szCs w:val="20"/>
          </w:rPr>
          <w:t>§ 2561</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1">
        <w:r w:rsidRPr="42B13DDF">
          <w:rPr>
            <w:rStyle w:val="Hyperlink"/>
            <w:rFonts w:ascii="Times New Roman" w:eastAsia="Times New Roman" w:hAnsi="Times New Roman" w:cs="Times New Roman"/>
            <w:color w:val="auto"/>
            <w:sz w:val="20"/>
            <w:szCs w:val="20"/>
          </w:rPr>
          <w:t>§ 2562</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2">
        <w:r w:rsidRPr="42B13DDF">
          <w:rPr>
            <w:rStyle w:val="Hyperlink"/>
            <w:rFonts w:ascii="Times New Roman" w:eastAsia="Times New Roman" w:hAnsi="Times New Roman" w:cs="Times New Roman"/>
            <w:color w:val="auto"/>
            <w:sz w:val="20"/>
            <w:szCs w:val="20"/>
          </w:rPr>
          <w:t>§ 2563</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rsidR="00EE5C34" w:rsidRDefault="00EE5C34" w:rsidP="00EE5C34">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3">
        <w:r w:rsidRPr="42B13DDF">
          <w:rPr>
            <w:rStyle w:val="Hyperlink"/>
            <w:rFonts w:ascii="Times New Roman" w:eastAsia="Times New Roman" w:hAnsi="Times New Roman" w:cs="Times New Roman"/>
            <w:color w:val="auto"/>
            <w:sz w:val="20"/>
            <w:szCs w:val="20"/>
          </w:rPr>
          <w:t>§ 2564</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4">
        <w:r w:rsidRPr="42B13DDF">
          <w:rPr>
            <w:rStyle w:val="Hyperlink"/>
            <w:rFonts w:ascii="Times New Roman" w:eastAsia="Times New Roman" w:hAnsi="Times New Roman" w:cs="Times New Roman"/>
            <w:color w:val="auto"/>
            <w:sz w:val="20"/>
            <w:szCs w:val="20"/>
          </w:rPr>
          <w:t>§ 2565</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rsidR="00EE5C34" w:rsidRDefault="00EE5C34" w:rsidP="00EE5C34">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5">
        <w:r w:rsidRPr="42B13DDF">
          <w:rPr>
            <w:rStyle w:val="Hyperlink"/>
            <w:rFonts w:ascii="Times New Roman" w:eastAsia="Times New Roman" w:hAnsi="Times New Roman" w:cs="Times New Roman"/>
            <w:color w:val="auto"/>
            <w:sz w:val="20"/>
            <w:szCs w:val="20"/>
          </w:rPr>
          <w:t>§ 2566</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6">
        <w:r w:rsidRPr="42B13DDF">
          <w:rPr>
            <w:rStyle w:val="Hyperlink"/>
            <w:rFonts w:ascii="Times New Roman" w:eastAsia="Times New Roman" w:hAnsi="Times New Roman" w:cs="Times New Roman"/>
            <w:color w:val="auto"/>
            <w:sz w:val="20"/>
            <w:szCs w:val="20"/>
          </w:rPr>
          <w:t>§ 2567</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7">
        <w:r w:rsidRPr="42B13DDF">
          <w:rPr>
            <w:rStyle w:val="Hyperlink"/>
            <w:rFonts w:ascii="Times New Roman" w:eastAsia="Times New Roman" w:hAnsi="Times New Roman" w:cs="Times New Roman"/>
            <w:color w:val="auto"/>
            <w:sz w:val="20"/>
            <w:szCs w:val="20"/>
          </w:rPr>
          <w:t>§ 2568</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8">
        <w:r w:rsidRPr="42B13DDF">
          <w:rPr>
            <w:rStyle w:val="Hyperlink"/>
            <w:rFonts w:ascii="Times New Roman" w:eastAsia="Times New Roman" w:hAnsi="Times New Roman" w:cs="Times New Roman"/>
            <w:color w:val="auto"/>
            <w:sz w:val="20"/>
            <w:szCs w:val="20"/>
          </w:rPr>
          <w:t>§ 2569</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29">
        <w:r w:rsidRPr="42B13DDF">
          <w:rPr>
            <w:rStyle w:val="Hyperlink"/>
            <w:rFonts w:ascii="Times New Roman" w:eastAsia="Times New Roman" w:hAnsi="Times New Roman" w:cs="Times New Roman"/>
            <w:color w:val="auto"/>
            <w:sz w:val="20"/>
            <w:szCs w:val="20"/>
          </w:rPr>
          <w:t>§ 2570Svépomocný prodej</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0">
        <w:r w:rsidRPr="42B13DDF">
          <w:rPr>
            <w:rStyle w:val="Hyperlink"/>
            <w:rFonts w:ascii="Times New Roman" w:eastAsia="Times New Roman" w:hAnsi="Times New Roman" w:cs="Times New Roman"/>
            <w:color w:val="auto"/>
            <w:sz w:val="20"/>
            <w:szCs w:val="20"/>
          </w:rPr>
          <w:t>§ 2571</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rsidR="00EE5C34" w:rsidRDefault="00EE5C34" w:rsidP="00EE5C34">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1">
        <w:r w:rsidRPr="42B13DDF">
          <w:rPr>
            <w:rStyle w:val="Hyperlink"/>
            <w:rFonts w:ascii="Times New Roman" w:eastAsia="Times New Roman" w:hAnsi="Times New Roman" w:cs="Times New Roman"/>
            <w:color w:val="auto"/>
            <w:sz w:val="20"/>
            <w:szCs w:val="20"/>
          </w:rPr>
          <w:t>§ 2572</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2">
        <w:r w:rsidRPr="42B13DDF">
          <w:rPr>
            <w:rStyle w:val="Hyperlink"/>
            <w:rFonts w:ascii="Times New Roman" w:eastAsia="Times New Roman" w:hAnsi="Times New Roman" w:cs="Times New Roman"/>
            <w:color w:val="auto"/>
            <w:sz w:val="20"/>
            <w:szCs w:val="20"/>
          </w:rPr>
          <w:t>§ 2573</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3">
        <w:r w:rsidRPr="42B13DDF">
          <w:rPr>
            <w:rStyle w:val="Hyperlink"/>
            <w:rFonts w:ascii="Times New Roman" w:eastAsia="Times New Roman" w:hAnsi="Times New Roman" w:cs="Times New Roman"/>
            <w:color w:val="auto"/>
            <w:sz w:val="20"/>
            <w:szCs w:val="20"/>
          </w:rPr>
          <w:t>§ 2574</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4">
        <w:r w:rsidRPr="42B13DDF">
          <w:rPr>
            <w:rStyle w:val="Hyperlink"/>
            <w:rFonts w:ascii="Times New Roman" w:eastAsia="Times New Roman" w:hAnsi="Times New Roman" w:cs="Times New Roman"/>
            <w:color w:val="auto"/>
            <w:sz w:val="20"/>
            <w:szCs w:val="20"/>
          </w:rPr>
          <w:t>§ 2575</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5">
        <w:r w:rsidRPr="42B13DDF">
          <w:rPr>
            <w:rStyle w:val="Hyperlink"/>
            <w:rFonts w:ascii="Times New Roman" w:eastAsia="Times New Roman" w:hAnsi="Times New Roman" w:cs="Times New Roman"/>
            <w:color w:val="auto"/>
            <w:sz w:val="20"/>
            <w:szCs w:val="20"/>
          </w:rPr>
          <w:t>§ 2576</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6">
        <w:r w:rsidRPr="42B13DDF">
          <w:rPr>
            <w:rStyle w:val="Hyperlink"/>
            <w:rFonts w:ascii="Times New Roman" w:eastAsia="Times New Roman" w:hAnsi="Times New Roman" w:cs="Times New Roman"/>
            <w:color w:val="auto"/>
            <w:sz w:val="20"/>
            <w:szCs w:val="20"/>
          </w:rPr>
          <w:t>§ 2577</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rsidR="00EE5C34" w:rsidRDefault="00EE5C34" w:rsidP="00EE5C34">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7">
        <w:r w:rsidRPr="42B13DDF">
          <w:rPr>
            <w:rStyle w:val="Hyperlink"/>
            <w:rFonts w:ascii="Times New Roman" w:eastAsia="Times New Roman" w:hAnsi="Times New Roman" w:cs="Times New Roman"/>
            <w:color w:val="auto"/>
            <w:sz w:val="20"/>
            <w:szCs w:val="20"/>
          </w:rPr>
          <w:t>§ 2578</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8">
        <w:r w:rsidRPr="42B13DDF">
          <w:rPr>
            <w:rStyle w:val="Hyperlink"/>
            <w:rFonts w:ascii="Times New Roman" w:eastAsia="Times New Roman" w:hAnsi="Times New Roman" w:cs="Times New Roman"/>
            <w:color w:val="auto"/>
            <w:sz w:val="20"/>
            <w:szCs w:val="20"/>
          </w:rPr>
          <w:t>§ 2579</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39">
        <w:r w:rsidRPr="42B13DDF">
          <w:rPr>
            <w:rStyle w:val="Hyperlink"/>
            <w:rFonts w:ascii="Times New Roman" w:eastAsia="Times New Roman" w:hAnsi="Times New Roman" w:cs="Times New Roman"/>
            <w:color w:val="auto"/>
            <w:sz w:val="20"/>
            <w:szCs w:val="20"/>
          </w:rPr>
          <w:t>§ 2580</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40">
        <w:r w:rsidRPr="42B13DDF">
          <w:rPr>
            <w:rStyle w:val="Hyperlink"/>
            <w:rFonts w:ascii="Times New Roman" w:eastAsia="Times New Roman" w:hAnsi="Times New Roman" w:cs="Times New Roman"/>
            <w:color w:val="auto"/>
            <w:sz w:val="20"/>
            <w:szCs w:val="20"/>
          </w:rPr>
          <w:t>§ 2581</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rsidR="00EE5C34" w:rsidRDefault="00EE5C34" w:rsidP="00EE5C34">
      <w:pPr>
        <w:pStyle w:val="Heading4"/>
        <w:spacing w:line="360" w:lineRule="auto"/>
        <w:ind w:left="360"/>
        <w:rPr>
          <w:rFonts w:ascii="Times New Roman" w:eastAsia="Times New Roman" w:hAnsi="Times New Roman" w:cs="Times New Roman"/>
          <w:b/>
          <w:bCs/>
          <w:i w:val="0"/>
          <w:iCs w:val="0"/>
          <w:color w:val="auto"/>
          <w:sz w:val="20"/>
          <w:szCs w:val="20"/>
        </w:rPr>
      </w:pPr>
      <w:hyperlink r:id="rId41">
        <w:r w:rsidRPr="42B13DDF">
          <w:rPr>
            <w:rStyle w:val="Hyperlink"/>
            <w:rFonts w:ascii="Times New Roman" w:eastAsia="Times New Roman" w:hAnsi="Times New Roman" w:cs="Times New Roman"/>
            <w:b/>
            <w:bCs/>
            <w:i w:val="0"/>
            <w:iCs w:val="0"/>
            <w:color w:val="auto"/>
            <w:sz w:val="20"/>
            <w:szCs w:val="20"/>
          </w:rPr>
          <w:t>Provoz dopravního prostředku</w:t>
        </w:r>
      </w:hyperlink>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42">
        <w:r w:rsidRPr="42B13DDF">
          <w:rPr>
            <w:rStyle w:val="Hyperlink"/>
            <w:rFonts w:ascii="Times New Roman" w:eastAsia="Times New Roman" w:hAnsi="Times New Roman" w:cs="Times New Roman"/>
            <w:color w:val="auto"/>
            <w:sz w:val="20"/>
            <w:szCs w:val="20"/>
          </w:rPr>
          <w:t>§ 2582</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provozu dopravního prostředku se provozce zavazuje přepravit náklad určený objednatelem a k tomu účelu vykonat alespoň jednu předem určenou cestu, anebo vykonat ve smluvené době větší počet cest, jak to objednatel určí, a objednatel se zavazuje zaplatit provozci odměnu.</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43">
        <w:r w:rsidRPr="42B13DDF">
          <w:rPr>
            <w:rStyle w:val="Hyperlink"/>
            <w:rFonts w:ascii="Times New Roman" w:eastAsia="Times New Roman" w:hAnsi="Times New Roman" w:cs="Times New Roman"/>
            <w:color w:val="auto"/>
            <w:sz w:val="20"/>
            <w:szCs w:val="20"/>
          </w:rPr>
          <w:t>§ 2583</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Provozce zajistí způsobilost dopravního prostředku k smluvené cestě, jeho použitelnost pro dohodnutou přepravu a opatří dopravní prostředek způsobilou posádkou a pohonnými hmotami a dalšími potřebnými věcmi.</w:t>
      </w:r>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provozce objednateli škodu z toho vzniklou, ledaže prokáže, že tuto nezpůsobilost nemohl ani při zachování potřebné péče předvídat.</w:t>
      </w:r>
    </w:p>
    <w:p w:rsidR="00EE5C34" w:rsidRDefault="00EE5C34" w:rsidP="00EE5C34">
      <w:pPr>
        <w:pStyle w:val="Heading5"/>
        <w:numPr>
          <w:ilvl w:val="0"/>
          <w:numId w:val="1"/>
        </w:numPr>
        <w:spacing w:line="360" w:lineRule="auto"/>
        <w:rPr>
          <w:rFonts w:ascii="Times New Roman" w:eastAsia="Times New Roman" w:hAnsi="Times New Roman" w:cs="Times New Roman"/>
          <w:color w:val="auto"/>
          <w:sz w:val="20"/>
          <w:szCs w:val="20"/>
        </w:rPr>
      </w:pPr>
      <w:hyperlink r:id="rId44">
        <w:r w:rsidRPr="42B13DDF">
          <w:rPr>
            <w:rStyle w:val="Hyperlink"/>
            <w:rFonts w:ascii="Times New Roman" w:eastAsia="Times New Roman" w:hAnsi="Times New Roman" w:cs="Times New Roman"/>
            <w:color w:val="auto"/>
            <w:sz w:val="20"/>
            <w:szCs w:val="20"/>
          </w:rPr>
          <w:t>§ 2584</w:t>
        </w:r>
      </w:hyperlink>
    </w:p>
    <w:p w:rsidR="00EE5C34" w:rsidRDefault="00EE5C34" w:rsidP="00EE5C34">
      <w:pPr>
        <w:pStyle w:val="ListParagraph"/>
        <w:numPr>
          <w:ilvl w:val="0"/>
          <w:numId w:val="1"/>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rsidR="00EE5C34" w:rsidRDefault="00EE5C34" w:rsidP="00EE5C34">
      <w:pPr>
        <w:pStyle w:val="Heading5"/>
        <w:numPr>
          <w:ilvl w:val="0"/>
          <w:numId w:val="2"/>
        </w:numPr>
        <w:spacing w:line="360" w:lineRule="auto"/>
        <w:rPr>
          <w:rFonts w:ascii="Times New Roman" w:eastAsia="Times New Roman" w:hAnsi="Times New Roman" w:cs="Times New Roman"/>
          <w:color w:val="auto"/>
          <w:sz w:val="20"/>
          <w:szCs w:val="20"/>
        </w:rPr>
      </w:pPr>
      <w:hyperlink r:id="rId45">
        <w:r w:rsidRPr="42B13DDF">
          <w:rPr>
            <w:rStyle w:val="Hyperlink"/>
            <w:rFonts w:ascii="Times New Roman" w:eastAsia="Times New Roman" w:hAnsi="Times New Roman" w:cs="Times New Roman"/>
            <w:color w:val="auto"/>
            <w:sz w:val="20"/>
            <w:szCs w:val="20"/>
          </w:rPr>
          <w:t>§ 2585</w:t>
        </w:r>
      </w:hyperlink>
    </w:p>
    <w:p w:rsidR="001C2FDF" w:rsidRDefault="00EE5C34" w:rsidP="00EE5C34">
      <w:r w:rsidRPr="42B13DDF">
        <w:rPr>
          <w:rFonts w:ascii="Times New Roman" w:eastAsia="Times New Roman" w:hAnsi="Times New Roman" w:cs="Times New Roman"/>
          <w:sz w:val="20"/>
          <w:szCs w:val="20"/>
        </w:rPr>
        <w:t>Přejímá-li provozce k přepravě náklad, použije se pro určení práv a povinností stran přiměřeně ustanovení upravující smlouvu o přepravě, pokud to povaha smlouvy o provozu dopravního prostředk</w:t>
      </w:r>
      <w:bookmarkStart w:id="0" w:name="_GoBack"/>
      <w:bookmarkEnd w:id="0"/>
    </w:p>
    <w:sectPr w:rsidR="001C2F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0C2" w:rsidRDefault="002000C2" w:rsidP="002000C2">
      <w:pPr>
        <w:spacing w:after="0" w:line="240" w:lineRule="auto"/>
      </w:pPr>
      <w:r>
        <w:separator/>
      </w:r>
    </w:p>
  </w:endnote>
  <w:endnote w:type="continuationSeparator" w:id="0">
    <w:p w:rsidR="002000C2" w:rsidRDefault="002000C2" w:rsidP="00200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0C2" w:rsidRDefault="002000C2" w:rsidP="002000C2">
      <w:pPr>
        <w:spacing w:after="0" w:line="240" w:lineRule="auto"/>
      </w:pPr>
      <w:r>
        <w:separator/>
      </w:r>
    </w:p>
  </w:footnote>
  <w:footnote w:type="continuationSeparator" w:id="0">
    <w:p w:rsidR="002000C2" w:rsidRDefault="002000C2" w:rsidP="00200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1"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8"/>
    <w:rsid w:val="001C2FDF"/>
    <w:rsid w:val="002000C2"/>
    <w:rsid w:val="00325168"/>
    <w:rsid w:val="005B3148"/>
    <w:rsid w:val="00B2208D"/>
    <w:rsid w:val="00EE5C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004F"/>
  <w15:chartTrackingRefBased/>
  <w15:docId w15:val="{5AB3E631-D1C5-490A-AF0E-15913C17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5C34"/>
  </w:style>
  <w:style w:type="paragraph" w:styleId="Heading3">
    <w:name w:val="heading 3"/>
    <w:basedOn w:val="Normal"/>
    <w:next w:val="Normal"/>
    <w:link w:val="Heading3Char"/>
    <w:uiPriority w:val="9"/>
    <w:unhideWhenUsed/>
    <w:qFormat/>
    <w:rsid w:val="00EE5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C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E5C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0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0C2"/>
  </w:style>
  <w:style w:type="paragraph" w:styleId="Footer">
    <w:name w:val="footer"/>
    <w:basedOn w:val="Normal"/>
    <w:link w:val="FooterChar"/>
    <w:uiPriority w:val="99"/>
    <w:unhideWhenUsed/>
    <w:rsid w:val="002000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0C2"/>
  </w:style>
  <w:style w:type="character" w:customStyle="1" w:styleId="Heading3Char">
    <w:name w:val="Heading 3 Char"/>
    <w:basedOn w:val="DefaultParagraphFont"/>
    <w:link w:val="Heading3"/>
    <w:uiPriority w:val="9"/>
    <w:rsid w:val="00EE5C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5C3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E5C3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E5C34"/>
    <w:rPr>
      <w:color w:val="0563C1" w:themeColor="hyperlink"/>
      <w:u w:val="single"/>
    </w:rPr>
  </w:style>
  <w:style w:type="paragraph" w:styleId="ListParagraph">
    <w:name w:val="List Paragraph"/>
    <w:basedOn w:val="Normal"/>
    <w:uiPriority w:val="34"/>
    <w:qFormat/>
    <w:rsid w:val="00EE5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y.centrum.cz/obcansky-zakonik-novy/cast-4-hlava-2-dil-7-oddil-1" TargetMode="External"/><Relationship Id="rId13" Type="http://schemas.openxmlformats.org/officeDocument/2006/relationships/hyperlink" Target="http://zakony.centrum.cz/obcansky-zakonik-novy/cast-4-hlava-2-dil-7-oddil-1-paragraf-2554" TargetMode="External"/><Relationship Id="rId18" Type="http://schemas.openxmlformats.org/officeDocument/2006/relationships/hyperlink" Target="http://zakony.centrum.cz/obcansky-zakonik-novy/cast-4-hlava-2-dil-7-oddil-1-paragraf-2559" TargetMode="External"/><Relationship Id="rId26" Type="http://schemas.openxmlformats.org/officeDocument/2006/relationships/hyperlink" Target="http://zakony.centrum.cz/obcansky-zakonik-novy/cast-4-hlava-2-dil-7-oddil-1-paragraf-2567" TargetMode="External"/><Relationship Id="rId39" Type="http://schemas.openxmlformats.org/officeDocument/2006/relationships/hyperlink" Target="http://zakony.centrum.cz/obcansky-zakonik-novy/cast-4-hlava-2-dil-7-oddil-1-paragraf-2580" TargetMode="External"/><Relationship Id="rId3" Type="http://schemas.openxmlformats.org/officeDocument/2006/relationships/settings" Target="settings.xml"/><Relationship Id="rId21" Type="http://schemas.openxmlformats.org/officeDocument/2006/relationships/hyperlink" Target="http://zakony.centrum.cz/obcansky-zakonik-novy/cast-4-hlava-2-dil-7-oddil-1-paragraf-2562" TargetMode="External"/><Relationship Id="rId34" Type="http://schemas.openxmlformats.org/officeDocument/2006/relationships/hyperlink" Target="http://zakony.centrum.cz/obcansky-zakonik-novy/cast-4-hlava-2-dil-7-oddil-1-paragraf-2575" TargetMode="External"/><Relationship Id="rId42" Type="http://schemas.openxmlformats.org/officeDocument/2006/relationships/hyperlink" Target="http://zakony.centrum.cz/obcansky-zakonik-novy/cast-4-hlava-2-dil-7-oddil-2-paragraf-2582" TargetMode="External"/><Relationship Id="rId47" Type="http://schemas.openxmlformats.org/officeDocument/2006/relationships/theme" Target="theme/theme1.xml"/><Relationship Id="rId7" Type="http://schemas.openxmlformats.org/officeDocument/2006/relationships/hyperlink" Target="http://zakony.centrum.cz/obcansky-zakonik-novy/cast-4-hlava-2-dil-7" TargetMode="External"/><Relationship Id="rId12" Type="http://schemas.openxmlformats.org/officeDocument/2006/relationships/hyperlink" Target="http://zakony.centrum.cz/obcansky-zakonik-novy/cast-4-hlava-2-dil-7-oddil-1-paragraf-2553" TargetMode="External"/><Relationship Id="rId17" Type="http://schemas.openxmlformats.org/officeDocument/2006/relationships/hyperlink" Target="http://zakony.centrum.cz/obcansky-zakonik-novy/cast-4-hlava-2-dil-7-oddil-1-paragraf-2558" TargetMode="External"/><Relationship Id="rId25" Type="http://schemas.openxmlformats.org/officeDocument/2006/relationships/hyperlink" Target="http://zakony.centrum.cz/obcansky-zakonik-novy/cast-4-hlava-2-dil-7-oddil-1-paragraf-2566" TargetMode="External"/><Relationship Id="rId33" Type="http://schemas.openxmlformats.org/officeDocument/2006/relationships/hyperlink" Target="http://zakony.centrum.cz/obcansky-zakonik-novy/cast-4-hlava-2-dil-7-oddil-1-paragraf-2574" TargetMode="External"/><Relationship Id="rId38" Type="http://schemas.openxmlformats.org/officeDocument/2006/relationships/hyperlink" Target="http://zakony.centrum.cz/obcansky-zakonik-novy/cast-4-hlava-2-dil-7-oddil-1-paragraf-2579"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zakony.centrum.cz/obcansky-zakonik-novy/cast-4-hlava-2-dil-7-oddil-1-paragraf-2557" TargetMode="External"/><Relationship Id="rId20" Type="http://schemas.openxmlformats.org/officeDocument/2006/relationships/hyperlink" Target="http://zakony.centrum.cz/obcansky-zakonik-novy/cast-4-hlava-2-dil-7-oddil-1-paragraf-2561" TargetMode="External"/><Relationship Id="rId29" Type="http://schemas.openxmlformats.org/officeDocument/2006/relationships/hyperlink" Target="http://zakony.centrum.cz/obcansky-zakonik-novy/cast-4-hlava-2-dil-7-oddil-1-paragraf-2570" TargetMode="External"/><Relationship Id="rId41" Type="http://schemas.openxmlformats.org/officeDocument/2006/relationships/hyperlink" Target="http://zakony.centrum.cz/obcansky-zakonik-novy/cast-4-hlava-2-dil-7-oddil-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akony.centrum.cz/obcansky-zakonik-novy/cast-4-hlava-2-dil-7-oddil-1-paragraf-2552" TargetMode="External"/><Relationship Id="rId24" Type="http://schemas.openxmlformats.org/officeDocument/2006/relationships/hyperlink" Target="http://zakony.centrum.cz/obcansky-zakonik-novy/cast-4-hlava-2-dil-7-oddil-1-paragraf-2565" TargetMode="External"/><Relationship Id="rId32" Type="http://schemas.openxmlformats.org/officeDocument/2006/relationships/hyperlink" Target="http://zakony.centrum.cz/obcansky-zakonik-novy/cast-4-hlava-2-dil-7-oddil-1-paragraf-2573" TargetMode="External"/><Relationship Id="rId37" Type="http://schemas.openxmlformats.org/officeDocument/2006/relationships/hyperlink" Target="http://zakony.centrum.cz/obcansky-zakonik-novy/cast-4-hlava-2-dil-7-oddil-1-paragraf-2578" TargetMode="External"/><Relationship Id="rId40" Type="http://schemas.openxmlformats.org/officeDocument/2006/relationships/hyperlink" Target="http://zakony.centrum.cz/obcansky-zakonik-novy/cast-4-hlava-2-dil-7-oddil-1-paragraf-2581" TargetMode="External"/><Relationship Id="rId45" Type="http://schemas.openxmlformats.org/officeDocument/2006/relationships/hyperlink" Target="http://zakony.centrum.cz/obcansky-zakonik-novy/cast-4-hlava-2-dil-7-oddil-2-paragraf-2585" TargetMode="External"/><Relationship Id="rId5" Type="http://schemas.openxmlformats.org/officeDocument/2006/relationships/footnotes" Target="footnotes.xml"/><Relationship Id="rId15" Type="http://schemas.openxmlformats.org/officeDocument/2006/relationships/hyperlink" Target="http://zakony.centrum.cz/obcansky-zakonik-novy/cast-4-hlava-2-dil-7-oddil-1-paragraf-2556" TargetMode="External"/><Relationship Id="rId23" Type="http://schemas.openxmlformats.org/officeDocument/2006/relationships/hyperlink" Target="http://zakony.centrum.cz/obcansky-zakonik-novy/cast-4-hlava-2-dil-7-oddil-1-paragraf-2564" TargetMode="External"/><Relationship Id="rId28" Type="http://schemas.openxmlformats.org/officeDocument/2006/relationships/hyperlink" Target="http://zakony.centrum.cz/obcansky-zakonik-novy/cast-4-hlava-2-dil-7-oddil-1-paragraf-2569" TargetMode="External"/><Relationship Id="rId36" Type="http://schemas.openxmlformats.org/officeDocument/2006/relationships/hyperlink" Target="http://zakony.centrum.cz/obcansky-zakonik-novy/cast-4-hlava-2-dil-7-oddil-1-paragraf-2577" TargetMode="External"/><Relationship Id="rId10" Type="http://schemas.openxmlformats.org/officeDocument/2006/relationships/hyperlink" Target="http://zakony.centrum.cz/obcansky-zakonik-novy/cast-4-hlava-2-dil-7-oddil-1-paragraf-2551" TargetMode="External"/><Relationship Id="rId19" Type="http://schemas.openxmlformats.org/officeDocument/2006/relationships/hyperlink" Target="http://zakony.centrum.cz/obcansky-zakonik-novy/cast-4-hlava-2-dil-7-oddil-1-paragraf-2560" TargetMode="External"/><Relationship Id="rId31" Type="http://schemas.openxmlformats.org/officeDocument/2006/relationships/hyperlink" Target="http://zakony.centrum.cz/obcansky-zakonik-novy/cast-4-hlava-2-dil-7-oddil-1-paragraf-2572" TargetMode="External"/><Relationship Id="rId44" Type="http://schemas.openxmlformats.org/officeDocument/2006/relationships/hyperlink" Target="http://zakony.centrum.cz/obcansky-zakonik-novy/cast-4-hlava-2-dil-7-oddil-2-paragraf-2584" TargetMode="External"/><Relationship Id="rId4" Type="http://schemas.openxmlformats.org/officeDocument/2006/relationships/webSettings" Target="webSettings.xml"/><Relationship Id="rId9" Type="http://schemas.openxmlformats.org/officeDocument/2006/relationships/hyperlink" Target="http://zakony.centrum.cz/obcansky-zakonik-novy/cast-4-hlava-2-dil-7-oddil-1-paragraf-2550" TargetMode="External"/><Relationship Id="rId14" Type="http://schemas.openxmlformats.org/officeDocument/2006/relationships/hyperlink" Target="http://zakony.centrum.cz/obcansky-zakonik-novy/cast-4-hlava-2-dil-7-oddil-1-paragraf-2555" TargetMode="External"/><Relationship Id="rId22" Type="http://schemas.openxmlformats.org/officeDocument/2006/relationships/hyperlink" Target="http://zakony.centrum.cz/obcansky-zakonik-novy/cast-4-hlava-2-dil-7-oddil-1-paragraf-2563" TargetMode="External"/><Relationship Id="rId27" Type="http://schemas.openxmlformats.org/officeDocument/2006/relationships/hyperlink" Target="http://zakony.centrum.cz/obcansky-zakonik-novy/cast-4-hlava-2-dil-7-oddil-1-paragraf-2568" TargetMode="External"/><Relationship Id="rId30" Type="http://schemas.openxmlformats.org/officeDocument/2006/relationships/hyperlink" Target="http://zakony.centrum.cz/obcansky-zakonik-novy/cast-4-hlava-2-dil-7-oddil-1-paragraf-2571" TargetMode="External"/><Relationship Id="rId35" Type="http://schemas.openxmlformats.org/officeDocument/2006/relationships/hyperlink" Target="http://zakony.centrum.cz/obcansky-zakonik-novy/cast-4-hlava-2-dil-7-oddil-1-paragraf-2576" TargetMode="External"/><Relationship Id="rId43" Type="http://schemas.openxmlformats.org/officeDocument/2006/relationships/hyperlink" Target="http://zakony.centrum.cz/obcansky-zakonik-novy/cast-4-hlava-2-dil-7-oddil-2-paragraf-2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3414</Words>
  <Characters>20145</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Dokumentární inkaso  • při dokumentárním inkasu se       • obstaravatel inkasa</vt:lpstr>
    </vt:vector>
  </TitlesOfParts>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BARTELOVA</dc:creator>
  <cp:keywords/>
  <dc:description/>
  <cp:lastModifiedBy>Sandra BARTELOVA</cp:lastModifiedBy>
  <cp:revision>2</cp:revision>
  <dcterms:created xsi:type="dcterms:W3CDTF">2020-05-19T07:34:00Z</dcterms:created>
  <dcterms:modified xsi:type="dcterms:W3CDTF">2020-05-19T07:34:00Z</dcterms:modified>
</cp:coreProperties>
</file>