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b/>
          <w:bCs/>
          <w:sz w:val="28"/>
          <w:szCs w:val="28"/>
        </w:rPr>
        <w:t>20. Správní a trestní odpovědnost podnikatele (obecně).</w:t>
      </w:r>
      <w:r>
        <w:br/>
      </w:r>
      <w:r>
        <w:br/>
      </w:r>
      <w:r w:rsidRPr="4E68F815">
        <w:rPr>
          <w:rFonts w:ascii="Times New Roman" w:eastAsia="Times New Roman" w:hAnsi="Times New Roman" w:cs="Times New Roman"/>
          <w:sz w:val="20"/>
          <w:szCs w:val="20"/>
        </w:rPr>
        <w:t>Mezi nejvýznamnější prameny právní úpravy patří: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Správní právo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a)Zákon č. 250/2016 Sb., o odpovědnosti za přestupky a řízení o nich (OPŘ),</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b)Zákon č. 251/2016 Sb., o některých přestupcích (NP).</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Trestní právo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a)Zákon č. 40/2009 Sb., trestní zákoník (TZ),</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b)Zákon č. 418/2011 Sb., o trestní odpovědnosti právnických osob a řízení proti nim (ZTOPO),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c)Zákon č. 141/1961 Sb., trestní řád.</w:t>
      </w:r>
      <w:r>
        <w:br/>
      </w:r>
      <w:r>
        <w:br/>
      </w:r>
      <w:r w:rsidRPr="4E68F815">
        <w:rPr>
          <w:rFonts w:ascii="Times New Roman" w:eastAsia="Times New Roman" w:hAnsi="Times New Roman" w:cs="Times New Roman"/>
          <w:sz w:val="20"/>
          <w:szCs w:val="20"/>
        </w:rPr>
        <w:t>Definice přestupku (§ 5 OPŘ)</w:t>
      </w:r>
      <w:r>
        <w:br/>
      </w:r>
      <w:r w:rsidRPr="4E68F815">
        <w:rPr>
          <w:rFonts w:ascii="Times New Roman" w:eastAsia="Times New Roman" w:hAnsi="Times New Roman" w:cs="Times New Roman"/>
          <w:sz w:val="20"/>
          <w:szCs w:val="20"/>
        </w:rPr>
        <w:t>Přestupkem je společensky škodlivý protiprávní čin, který je v zákoně za přestupek výslovně označen a který vykazuje znaky stanovené zákonem, nejde-li o trestný čin.</w:t>
      </w:r>
      <w:r>
        <w:br/>
      </w:r>
      <w:r>
        <w:br/>
      </w:r>
      <w:r w:rsidRPr="4E68F815">
        <w:rPr>
          <w:rFonts w:ascii="Times New Roman" w:eastAsia="Times New Roman" w:hAnsi="Times New Roman" w:cs="Times New Roman"/>
          <w:b/>
          <w:bCs/>
          <w:sz w:val="20"/>
          <w:szCs w:val="20"/>
        </w:rPr>
        <w:t>a) Fyzická osoba</w:t>
      </w:r>
      <w:r>
        <w:br/>
      </w:r>
      <w:r w:rsidRPr="4E68F815">
        <w:rPr>
          <w:rFonts w:ascii="Times New Roman" w:eastAsia="Times New Roman" w:hAnsi="Times New Roman" w:cs="Times New Roman"/>
          <w:sz w:val="20"/>
          <w:szCs w:val="20"/>
        </w:rPr>
        <w:t>Fyzická osoba je pachatelem, jestliže svým zaviněným jednáním naplnila znaky přestupku nebo jeho pokusu, je-li trestný.</w:t>
      </w:r>
    </w:p>
    <w:p w:rsidR="000A6751" w:rsidRDefault="000A6751" w:rsidP="000A6751">
      <w:pPr>
        <w:ind w:left="360"/>
      </w:pPr>
      <w:r w:rsidRPr="4E68F815">
        <w:rPr>
          <w:rFonts w:ascii="Times New Roman" w:eastAsia="Times New Roman" w:hAnsi="Times New Roman" w:cs="Times New Roman"/>
          <w:b/>
          <w:bCs/>
          <w:sz w:val="20"/>
          <w:szCs w:val="20"/>
        </w:rPr>
        <w:t>b) Právnická osoba</w:t>
      </w:r>
      <w:r>
        <w:br/>
      </w:r>
      <w:r w:rsidRPr="4E68F815">
        <w:rPr>
          <w:rFonts w:ascii="Times New Roman" w:eastAsia="Times New Roman" w:hAnsi="Times New Roman" w:cs="Times New Roman"/>
          <w:sz w:val="20"/>
          <w:szCs w:val="20"/>
        </w:rPr>
        <w:t>Právnická osoba je pachatelem, jestliže k naplnění znaků přestupku došlo jednáním fyzické osoby, která se za účelem posuzování odpovědnosti právnické osoby za přestupek považuje za osobu, jejíž jednání je přičitatelné právnické osobě a která porušila právní povinnost uloženou právnické osobě, a to při činnosti právnické osoby, v přímé souvislosti s činností právnické osoby nebo ku prospěchu právnické osoby nebo v jejím zájmu.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c) Podnikající fyzická osoba</w:t>
      </w:r>
      <w:r>
        <w:br/>
      </w:r>
      <w:r w:rsidRPr="4E68F815">
        <w:rPr>
          <w:rFonts w:ascii="Times New Roman" w:eastAsia="Times New Roman" w:hAnsi="Times New Roman" w:cs="Times New Roman"/>
          <w:sz w:val="20"/>
          <w:szCs w:val="20"/>
        </w:rPr>
        <w:t>Podnikající fyzická osoba je pachatelem, jestliže k naplnění znaků přestupku došlo při jejím podnikání nebo v přímé souvislosti s ním a podnikající fyzická osoba svým jednáním porušila právní povinnost, která je uložena podnikající fyzické osobě nebo fyzické osobě.</w:t>
      </w:r>
      <w:r>
        <w:br/>
      </w:r>
      <w:r>
        <w:br/>
      </w:r>
      <w:r w:rsidRPr="4E68F815">
        <w:rPr>
          <w:rFonts w:ascii="Times New Roman" w:eastAsia="Times New Roman" w:hAnsi="Times New Roman" w:cs="Times New Roman"/>
          <w:b/>
          <w:bCs/>
          <w:sz w:val="20"/>
          <w:szCs w:val="20"/>
        </w:rPr>
        <w:t>§ 66 odst. 3 písm. e) zákona č. 185/2001 Sb., o odpadech a o změně některých dalších zákonů</w:t>
      </w:r>
    </w:p>
    <w:p w:rsidR="000A6751" w:rsidRDefault="000A6751" w:rsidP="000A6751">
      <w:pPr>
        <w:rPr>
          <w:rFonts w:ascii="Times New Roman" w:eastAsia="Times New Roman" w:hAnsi="Times New Roman" w:cs="Times New Roman"/>
          <w:i/>
          <w:iCs/>
          <w:sz w:val="20"/>
          <w:szCs w:val="20"/>
        </w:rPr>
      </w:pPr>
      <w:r w:rsidRPr="4E68F815">
        <w:rPr>
          <w:rFonts w:ascii="Times New Roman" w:eastAsia="Times New Roman" w:hAnsi="Times New Roman" w:cs="Times New Roman"/>
          <w:i/>
          <w:iCs/>
          <w:sz w:val="20"/>
          <w:szCs w:val="20"/>
        </w:rPr>
        <w:t>Právnická nebo podnikající fyzická osoba se dopustí přestupku tím, že provozuje zařízení ke sběru nebo výkupu odpadů bez potřebného souhlasu příslušného správního úřadu nebo v rozporu s ním nebo provozuje zařízení ke sběru nebo výkupu odpadů v rozporu se schváleným provozním řádem zařízení.</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 36d odst. 3 písm. zákona č. 21/1992 Sb., o bankách</w:t>
      </w:r>
    </w:p>
    <w:p w:rsidR="000A6751" w:rsidRDefault="000A6751" w:rsidP="000A6751">
      <w:pPr>
        <w:rPr>
          <w:rFonts w:ascii="Times New Roman" w:eastAsia="Times New Roman" w:hAnsi="Times New Roman" w:cs="Times New Roman"/>
          <w:i/>
          <w:iCs/>
          <w:sz w:val="20"/>
          <w:szCs w:val="20"/>
        </w:rPr>
      </w:pPr>
      <w:r w:rsidRPr="4E68F815">
        <w:rPr>
          <w:rFonts w:ascii="Times New Roman" w:eastAsia="Times New Roman" w:hAnsi="Times New Roman" w:cs="Times New Roman"/>
          <w:i/>
          <w:iCs/>
          <w:sz w:val="20"/>
          <w:szCs w:val="20"/>
        </w:rPr>
        <w:t>Obchodník s cennými papíry,.., se dopustí přestupku tím, že</w:t>
      </w:r>
    </w:p>
    <w:p w:rsidR="000A6751" w:rsidRDefault="000A6751" w:rsidP="000A6751">
      <w:pPr>
        <w:rPr>
          <w:rFonts w:ascii="Times New Roman" w:eastAsia="Times New Roman" w:hAnsi="Times New Roman" w:cs="Times New Roman"/>
          <w:b/>
          <w:bCs/>
          <w:sz w:val="20"/>
          <w:szCs w:val="20"/>
          <w:u w:val="single"/>
        </w:rPr>
      </w:pPr>
      <w:r w:rsidRPr="4E68F815">
        <w:rPr>
          <w:rFonts w:ascii="Times New Roman" w:eastAsia="Times New Roman" w:hAnsi="Times New Roman" w:cs="Times New Roman"/>
          <w:i/>
          <w:iCs/>
          <w:sz w:val="20"/>
          <w:szCs w:val="20"/>
        </w:rPr>
        <w:t>a) nesplní oznamovací povinnost vůči bance nebo pobočce zahraniční banky…</w:t>
      </w:r>
      <w:r>
        <w:br/>
      </w:r>
      <w:r>
        <w:br/>
      </w:r>
      <w:r w:rsidRPr="4E68F815">
        <w:rPr>
          <w:rFonts w:ascii="Times New Roman" w:eastAsia="Times New Roman" w:hAnsi="Times New Roman" w:cs="Times New Roman"/>
          <w:b/>
          <w:bCs/>
          <w:sz w:val="20"/>
          <w:szCs w:val="20"/>
          <w:u w:val="single"/>
        </w:rPr>
        <w:t>Druhy správních trestů</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Za přestupek lze uložit správní trest:</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a) napomenutí,</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b) pokuty,</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c) zákazu činnosti,</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d) propadnutí věci nebo náhradní hodnoty,</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e) zveřejnění rozhodnutí o přestupku.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lastRenderedPageBreak/>
        <w:t>Ochranná opatření jsou: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a) omezující opatření 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b/>
          <w:bCs/>
          <w:sz w:val="20"/>
          <w:szCs w:val="20"/>
        </w:rPr>
        <w:t>b) zabrání věci nebo náhradní hodnoty.</w:t>
      </w:r>
      <w:r>
        <w:br/>
      </w:r>
      <w:r>
        <w:br/>
      </w:r>
      <w:r w:rsidRPr="4E68F815">
        <w:rPr>
          <w:rFonts w:ascii="Times New Roman" w:eastAsia="Times New Roman" w:hAnsi="Times New Roman" w:cs="Times New Roman"/>
          <w:b/>
          <w:bCs/>
          <w:sz w:val="20"/>
          <w:szCs w:val="20"/>
        </w:rPr>
        <w:t>Zrušení, zánik a přeměna právnické osoby</w:t>
      </w:r>
      <w:r>
        <w:br/>
      </w:r>
      <w:r w:rsidRPr="4E68F815">
        <w:rPr>
          <w:rFonts w:ascii="Times New Roman" w:eastAsia="Times New Roman" w:hAnsi="Times New Roman" w:cs="Times New Roman"/>
          <w:sz w:val="20"/>
          <w:szCs w:val="20"/>
          <w:u w:val="single"/>
        </w:rPr>
        <w:t xml:space="preserve">Správní orgán zakáže </w:t>
      </w:r>
      <w:r w:rsidRPr="4E68F815">
        <w:rPr>
          <w:rFonts w:ascii="Times New Roman" w:eastAsia="Times New Roman" w:hAnsi="Times New Roman" w:cs="Times New Roman"/>
          <w:sz w:val="20"/>
          <w:szCs w:val="20"/>
        </w:rPr>
        <w:t>zrušení, zánik nebo přeměnu obviněné právnické osoby, pokud má důvodné podezření, že by se právnická osoba mohla svým zánikem vyhnout potrestání za přestupek nebo výkonu správního trestu nebo že by mohla zmařit uspokojení nároku na náhradu škody nebo nároku na vydání bezdůvodného obohacení, není-li takový postup zjevně nepřiměřený vzhledem k povaze a závažnosti přestupku, ze kterého je obviněna.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Pokud správní orgán vydá zákaz podle předchozího odstavce, </w:t>
      </w:r>
      <w:r w:rsidRPr="4E68F815">
        <w:rPr>
          <w:rFonts w:ascii="Times New Roman" w:eastAsia="Times New Roman" w:hAnsi="Times New Roman" w:cs="Times New Roman"/>
          <w:sz w:val="20"/>
          <w:szCs w:val="20"/>
          <w:u w:val="single"/>
        </w:rPr>
        <w:t>obviněná právnická osoba nebude zrušena, nezanikne nebo nedojde k její přeměně.</w:t>
      </w:r>
      <w:r>
        <w:br/>
      </w:r>
      <w:r>
        <w:br/>
      </w:r>
      <w:r w:rsidRPr="4E68F815">
        <w:rPr>
          <w:rFonts w:ascii="Times New Roman" w:eastAsia="Times New Roman" w:hAnsi="Times New Roman" w:cs="Times New Roman"/>
          <w:sz w:val="20"/>
          <w:szCs w:val="20"/>
          <w:u w:val="single"/>
        </w:rPr>
        <w:t>Přestupky na úseku podnikání dle § 9 NP (1)</w:t>
      </w:r>
      <w:r>
        <w:br/>
      </w:r>
      <w:r w:rsidRPr="4E68F815">
        <w:rPr>
          <w:rFonts w:ascii="Times New Roman" w:eastAsia="Times New Roman" w:hAnsi="Times New Roman" w:cs="Times New Roman"/>
          <w:sz w:val="20"/>
          <w:szCs w:val="20"/>
        </w:rPr>
        <w:t xml:space="preserve">1) Fyzická, právnická nebo podnikající fyzická osoba se dopustí přestupku tím, že provozuje obchodní, výrobní či jinou výdělečnou činnost </w:t>
      </w:r>
      <w:r w:rsidRPr="4E68F815">
        <w:rPr>
          <w:rFonts w:ascii="Times New Roman" w:eastAsia="Times New Roman" w:hAnsi="Times New Roman" w:cs="Times New Roman"/>
          <w:sz w:val="20"/>
          <w:szCs w:val="20"/>
          <w:u w:val="single"/>
        </w:rPr>
        <w:t>bez veřejnoprávního oprávnění</w:t>
      </w:r>
      <w:r w:rsidRPr="4E68F815">
        <w:rPr>
          <w:rFonts w:ascii="Times New Roman" w:eastAsia="Times New Roman" w:hAnsi="Times New Roman" w:cs="Times New Roman"/>
          <w:sz w:val="20"/>
          <w:szCs w:val="20"/>
        </w:rPr>
        <w:t>, je-li požadováno.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(2) Právnická nebo podnikající fyzická osoba se dopustí přestupku tím, že</w:t>
      </w:r>
    </w:p>
    <w:p w:rsidR="000A6751" w:rsidRDefault="000A6751" w:rsidP="000A6751">
      <w:pPr>
        <w:rPr>
          <w:rFonts w:ascii="Times New Roman" w:eastAsia="Times New Roman" w:hAnsi="Times New Roman" w:cs="Times New Roman"/>
          <w:sz w:val="20"/>
          <w:szCs w:val="20"/>
          <w:u w:val="single"/>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nesplní povinnost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1. </w:t>
      </w:r>
      <w:r w:rsidRPr="4E68F815">
        <w:rPr>
          <w:rFonts w:ascii="Times New Roman" w:eastAsia="Times New Roman" w:hAnsi="Times New Roman" w:cs="Times New Roman"/>
          <w:sz w:val="20"/>
          <w:szCs w:val="20"/>
          <w:u w:val="single"/>
        </w:rPr>
        <w:t xml:space="preserve">uvádět na obchodních listinách </w:t>
      </w:r>
      <w:r w:rsidRPr="4E68F815">
        <w:rPr>
          <w:rFonts w:ascii="Times New Roman" w:eastAsia="Times New Roman" w:hAnsi="Times New Roman" w:cs="Times New Roman"/>
          <w:sz w:val="20"/>
          <w:szCs w:val="20"/>
        </w:rPr>
        <w:t>… o své obchodní firmě, a nemá-li ji, o svém jménu, sídle, zápisu do obchodního rejstříku, včetně oddílu a vložky,…, …, a identifikační číslo osoby, bylo-li jí přiděleno,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2. podat návrh na zápis, změnu nebo výmaz zápisu v obchodním rejstříku nebo v jiném veřejném rejstříku, uložit listinu do sbírky listin,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3. používat při podnikání svou obchodní firmu, a nemá-li ji, své jméno,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b) </w:t>
      </w:r>
      <w:r w:rsidRPr="4E68F815">
        <w:rPr>
          <w:rFonts w:ascii="Times New Roman" w:eastAsia="Times New Roman" w:hAnsi="Times New Roman" w:cs="Times New Roman"/>
          <w:sz w:val="20"/>
          <w:szCs w:val="20"/>
          <w:u w:val="single"/>
        </w:rPr>
        <w:t>uvede na obchodní listině údaje, které jsou způsobilé vyvolat klamavý dojem</w:t>
      </w:r>
      <w:r w:rsidRPr="4E68F815">
        <w:rPr>
          <w:rFonts w:ascii="Times New Roman" w:eastAsia="Times New Roman" w:hAnsi="Times New Roman" w:cs="Times New Roman"/>
          <w:sz w:val="20"/>
          <w:szCs w:val="20"/>
        </w:rPr>
        <w:t>.</w:t>
      </w:r>
      <w:r>
        <w:br/>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Přestupky na úseku podnikání dle § 9 NP (2)</w:t>
      </w:r>
      <w:r>
        <w:br/>
      </w:r>
      <w:r w:rsidRPr="4E68F815">
        <w:rPr>
          <w:rFonts w:ascii="Times New Roman" w:eastAsia="Times New Roman" w:hAnsi="Times New Roman" w:cs="Times New Roman"/>
          <w:sz w:val="20"/>
          <w:szCs w:val="20"/>
        </w:rPr>
        <w:t>Za uvedené přestupky lze uložit pokutu do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100000 Kč, jde-li o přestupek podle odstavce 1 nebo odstavce 2 písm. a),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50000 Kč, jde-li o přestupek podle odstavce 2 písm. b).</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Za přestupek podle odstavce 2 písm. b) lze spolu s pokutou uložit zákaz činnosti do 1 roku.</w:t>
      </w:r>
      <w:r>
        <w:br/>
      </w:r>
      <w:r>
        <w:br/>
      </w:r>
      <w:r w:rsidRPr="4E68F815">
        <w:rPr>
          <w:rFonts w:ascii="Times New Roman" w:eastAsia="Times New Roman" w:hAnsi="Times New Roman" w:cs="Times New Roman"/>
          <w:sz w:val="20"/>
          <w:szCs w:val="20"/>
          <w:u w:val="single"/>
        </w:rPr>
        <w:t xml:space="preserve">Trestným činem </w:t>
      </w:r>
      <w:r w:rsidRPr="4E68F815">
        <w:rPr>
          <w:rFonts w:ascii="Times New Roman" w:eastAsia="Times New Roman" w:hAnsi="Times New Roman" w:cs="Times New Roman"/>
          <w:sz w:val="20"/>
          <w:szCs w:val="20"/>
        </w:rPr>
        <w:t>je protiprávní čin, který trestní zákon označuje za trestný a který vykazuje znaky uvedené v takovém zákoně.</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Trestné činy se dělí na přečiny a zločiny.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Přečiny</w:t>
      </w:r>
      <w:r w:rsidRPr="4E68F815">
        <w:rPr>
          <w:rFonts w:ascii="Times New Roman" w:eastAsia="Times New Roman" w:hAnsi="Times New Roman" w:cs="Times New Roman"/>
          <w:sz w:val="20"/>
          <w:szCs w:val="20"/>
        </w:rPr>
        <w:t xml:space="preserve"> jsou všechny nedbalostní trestné činy a ty úmyslné trestné činy, na něž trestní zákon stanoví trest odnětí svobody s horní hranicí trestní sazby do pěti let.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b) </w:t>
      </w:r>
      <w:r w:rsidRPr="4E68F815">
        <w:rPr>
          <w:rFonts w:ascii="Times New Roman" w:eastAsia="Times New Roman" w:hAnsi="Times New Roman" w:cs="Times New Roman"/>
          <w:sz w:val="20"/>
          <w:szCs w:val="20"/>
          <w:u w:val="single"/>
        </w:rPr>
        <w:t>Zločiny</w:t>
      </w:r>
      <w:r w:rsidRPr="4E68F815">
        <w:rPr>
          <w:rFonts w:ascii="Times New Roman" w:eastAsia="Times New Roman" w:hAnsi="Times New Roman" w:cs="Times New Roman"/>
          <w:sz w:val="20"/>
          <w:szCs w:val="20"/>
        </w:rPr>
        <w:t xml:space="preserve"> jsou všechny trestné činy, které nejsou podle trestního zákona přečiny; zvlášť závažnými zločiny jsou ty úmyslné trestné činy, na něž trestní zákon stanoví trest odnětí svobody s horní hranicí trestní sazby nejméně deset let.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Trestné činy, kterých se mohou dopustit podnikatelé mohou být přečiny, zločiny i zvlášť závažnými zločiny.</w:t>
      </w:r>
      <w:r>
        <w:br/>
      </w:r>
      <w:r w:rsidRPr="4E68F815">
        <w:rPr>
          <w:rFonts w:ascii="Times New Roman" w:eastAsia="Times New Roman" w:hAnsi="Times New Roman" w:cs="Times New Roman"/>
          <w:sz w:val="20"/>
          <w:szCs w:val="20"/>
        </w:rPr>
        <w:t>Z trestných činů uvedených ve Zvláštní části trestního zákoníku mají relevanci: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 xml:space="preserve">Trestné činy proti majetku </w:t>
      </w:r>
      <w:r w:rsidRPr="4E68F815">
        <w:rPr>
          <w:rFonts w:ascii="Times New Roman" w:eastAsia="Times New Roman" w:hAnsi="Times New Roman" w:cs="Times New Roman"/>
          <w:sz w:val="20"/>
          <w:szCs w:val="20"/>
        </w:rPr>
        <w:t>(Hlava V – např. zpronevěra, pojistný podvod, úvěrový podvod, dotační podvod, lichva, porušení povinnosti při správě cizího majetku, způsobení úpadku, porušení povinnosti v insolvenčním řízení, pletichy v insolvenčním řízení),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Trestné činy hospodářské (Hlava VI – např. zkrácení daně, poplatku a podobné povinné platby, neodvedení daně, pojistného na sociální zabezpečení a podobné povinné platby, porušení předpisů o nálepkách a jiných předmětech k označení zboží, padělání a pozměnění předmětů k označení zboží pro daňové účely a předmětů dokazujících splnění poplatkové povinnosti, porušení předpisů o pravidlech hospodářské soutěže)</w:t>
      </w:r>
      <w:r>
        <w:br/>
      </w:r>
      <w:r>
        <w:br/>
      </w:r>
      <w:r w:rsidRPr="4E68F815">
        <w:rPr>
          <w:rFonts w:ascii="Times New Roman" w:eastAsia="Times New Roman" w:hAnsi="Times New Roman" w:cs="Times New Roman"/>
          <w:sz w:val="20"/>
          <w:szCs w:val="20"/>
        </w:rPr>
        <w:t>Trestnými činy právnických osob se rozumí zločiny nebo přečiny uvedené v trestním zákoníku, s výjimkou trestných činů uvedených v § 7 ZTOPO.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 Trestným činem spáchaným právnickou osobou je protiprávní čin spáchaný v jejím zájmu nebo v rámci její činnosti, jednal-li tak</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statutární orgán,</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osoba ve vedoucím postavení, i když není osobou uvedenou v písmenu 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c) ten, kdo vykonává rozhodující vliv na řízení této právnické osoby,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d) zaměstnanec při plnění pracovních úkolů, i když není osobou uvedenou v písmenech a) až c),</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jestliže jí ho lze přičítat.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Trestní odpovědnosti právnické osoby nebrání, nepodaří-li se zjistit, která konkrétní fyzická osoba za ni jednala.</w:t>
      </w:r>
      <w:r>
        <w:br/>
      </w:r>
      <w:r>
        <w:br/>
      </w:r>
      <w:r w:rsidRPr="4E68F815">
        <w:rPr>
          <w:rFonts w:ascii="Times New Roman" w:eastAsia="Times New Roman" w:hAnsi="Times New Roman" w:cs="Times New Roman"/>
          <w:sz w:val="20"/>
          <w:szCs w:val="20"/>
        </w:rPr>
        <w:t>Za trestné činy spáchané právnickou osobou lze uložit pouze tyto tresty: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zrušení právnické osoby,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propadnutí majetku,</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c) peněžitý trest,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d) propadnutí věci,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e) zákaz činnosti,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f) zákaz plnění veřejných zakázek nebo účasti ve veřejné soutěži,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g) zákaz přijímání dotací a subvencí,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h) uveřejnění rozsudku.</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Soud může uložit právnické osobě ochranné opatření zabrání věci, včetně zabrání náhradní hodnoty nebo zabrání spisů a zařízení, nebo namísto zabrání věci uložit pozměnění věci, odstranění určitého zařízení, označení nebo provedení jiné změny nebo omezení dispozice s věcí za podmínek stanovených trestním zákoníkem.</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Zákon č. 240/2013 Sb., o investičních společnostech a investičních fondech – úč. 19.8.2013</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ZISIF neobsahuje na rozdíl od předchozí právní úpravy definici investičního fondu, ale definuje až jednotlivé typy investičních fondů</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(dříve dle § 64 odst. 1 zákona o kolektivním investování → právnická osoba v právní formě akciové společnosti, jejímž předmětem podnikání je kolektivní investování a která má povolení ČNB k činnosti investičního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Dělení:</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sídla: investiční fondy x zahraniční investiční fondy</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právní formy: investiční fondy s právní osobností x investiční fondy bez právní osobnosti</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okruhu investorů: fondy kolektivního investování x fondy kvalifikovaných investorů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480 ZISIF – povolení k činnosti samosprávného investičního fondu – uděluje ČNB</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554 odst. 2 ZISIF – ten, komu bylo odňato povolení k činnosti samosprávného investičního fondu, a kdo je akciovou společností s proměnným kapitálem nebo komanditní společností na  investiční listy nebo fondem kolektivního investování se zrušuje s likvidací a jeho likvidátora jmenuje ČNB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361 ZISIF obdobné použití ustanovení upravujících zrušení investiční společnosti</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Zrušení: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soudu – likvidátora jmenuje na návrh ČNB soud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příslušného orgánu investičního fondu s právní osobností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uplynutím doby, na kterou byl založen</w:t>
      </w:r>
    </w:p>
    <w:p w:rsidR="000A6751" w:rsidRDefault="000A6751" w:rsidP="000A6751">
      <w:pPr>
        <w:pStyle w:val="ListParagraph"/>
        <w:numPr>
          <w:ilvl w:val="2"/>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příslušný orgán investičního fondu s právní osobností rozhodne o podání žádosti o jmenování likvidátora ČNB bez zbytečného odkladu po rozhodnutí o zrušení s likvidací či nejpozději 2 měsíce před uplynutím doby, na kterou byl investiční fond s právní osobností založen</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Jmenování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osoba způsobilá být členem statutárního orgánu (§ 189 NOZ) → plně svéprávná (§ 152 odst. 2 NOZ)</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dle § 350 ZISIF jmenuje ČNB, která není vázána osobou navrhovanou investičním fondem s právní osobností v podané žádosti</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Odměna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ČNB č. 474/2013 Sb., o odměně likvidátora, nuceného správce a insolvenčního správce některých poskytovatelů služeb na kapitálovém trhu a o náhradě jejich hotových výdajů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Hrazení nákladů likvidace a odměny</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primárně z majetku investičního fondu s právní osobností, pokud nepostačuje, vyplatí je stát</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 474/2013 Sb.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Povinnost likvidátora jednat s odbornou péčí (x porušení je správní delikt/přestupek </w:t>
      </w:r>
      <w:r w:rsidRPr="4E68F815">
        <w:rPr>
          <w:rFonts w:ascii="Times New Roman" w:eastAsia="Times New Roman" w:hAnsi="Times New Roman" w:cs="Times New Roman"/>
          <w:sz w:val="20"/>
          <w:szCs w:val="20"/>
        </w:rPr>
        <w:t xml:space="preserve">→ </w:t>
      </w:r>
      <w:r w:rsidRPr="4E68F815">
        <w:rPr>
          <w:rFonts w:ascii="Times New Roman" w:eastAsia="Times New Roman" w:hAnsi="Times New Roman" w:cs="Times New Roman"/>
          <w:b/>
          <w:bCs/>
          <w:sz w:val="20"/>
          <w:szCs w:val="20"/>
        </w:rPr>
        <w:t>sankce: pokuta do 10 mil. Kč – podnikající FO, do 5 mil. Kč – FO)</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Nově typ investičního fondu</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102 a násl. ZISIF</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Nemá právní osobnost, ale je tvořen jměním</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Otevřený</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Uzavřený</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Vlastnické právo k majetku v podílovém fondu náleží společně všem podílníkům, a to v poměru podle hodnoty jimi vlastněných podílových listů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Vlastnická práva k majetku v podílovém fondu vykonává vlastním jménem na účet podílového fondu jeho obhospodařovatel</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zaniká dnem výmazu ze seznamu podílových fondů vedeného ČNB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114 ZISIF – pravidlo odděleného účetnictví pro jednotlivé podílové fondy</w:t>
      </w:r>
    </w:p>
    <w:p w:rsidR="000A6751" w:rsidRDefault="000A6751" w:rsidP="000A6751">
      <w:pPr>
        <w:ind w:left="360"/>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Zrušení a likvidace podílového fondu</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 376 ZISIF </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obhospodařovatel podílového fondu zpeněží majetek v podílovém fondu a splní jeho dluhy ve lhůtě 6 měsíců ode dne zrušení podílového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administrátor podílového fondu pak vyplatí podílníkům jejich podíly na likvidačním zůstatku do 3 měsíců ode dne zpeněžení majetku v podílovém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za předpokladu, že jsou naplněny podmínky pro náhradní splnění podle občanského práva, složí se v souladu s § 377 ZISIF podíl na likvidačním zůstatku do soudní úschovy</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v případě, že soudní poplatek za návrh na zahájení řízení o úschově převyšuje částku, která má být do soudní úschovy složena, podíl na likvidačním zůstatku se do soudní úschovy nesloží a připadne přímo státu</w:t>
      </w:r>
    </w:p>
    <w:p w:rsidR="000A6751" w:rsidRDefault="000A6751" w:rsidP="000A6751">
      <w:pPr>
        <w:ind w:left="1080"/>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Investiční společnost</w:t>
      </w:r>
    </w:p>
    <w:p w:rsidR="000A6751" w:rsidRDefault="000A6751" w:rsidP="000A6751">
      <w:pPr>
        <w:ind w:left="720"/>
        <w:rPr>
          <w:rFonts w:ascii="Times New Roman" w:eastAsia="Times New Roman" w:hAnsi="Times New Roman" w:cs="Times New Roman"/>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právnická osoba ve formě akciové společnosti se sídlem v ČR</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na základě povolení uděleného ČNB oprávněna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obhospodařovat investiční fond nebo zahraniční investiční fond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popřípadě provádět administraci investičního fondu nebo zahraničního investičního fondu</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nebo vykonávat další činnosti – portfolio management, úschova a správa investičních nástrojů, investiční poradenství</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345 a násl. ZISIF</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Zrušení: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soudu – likvidátora jmenuje na návrh ČNB soud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příslušného orgánu investiční společnosti</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uplynutím doby, na kterou byla založena</w:t>
      </w:r>
    </w:p>
    <w:p w:rsidR="000A6751" w:rsidRDefault="000A6751" w:rsidP="000A6751">
      <w:pPr>
        <w:pStyle w:val="ListParagraph"/>
        <w:numPr>
          <w:ilvl w:val="2"/>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příslušný orgán investiční společnosti rozhodne o podání žádosti o jmenování likvidátora ČNB bez zbytečného odkladu po rozhodnutí o zrušení s likvidací či nejpozději 2 měsíce před uplynutím doby, na kterou byla investiční společnost založena</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Jmenování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osoba způsobilá být členem statutárního orgánu (§ 189 NOZ) → plně svéprávná (§ 152 odst. 2 NOZ)</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dle § 350 ZISIF jmenuje ČNB, která není vázána osobou navrhovanou investiční společností v podané žádosti</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Odměna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ČNB č. 474/2013 Sb., o odměně likvidátora, nuceného správce a insolvenčního správce některých poskytovatelů služeb na kapitálovém trhu a o náhradě jejich hotových výdajů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Hrazení nákladů likvidace a odměny</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primárně z majetku investiční společnosti, pokud nepostačuje, vyplatí je stát</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 474/2013 Sb.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Povinnost likvidátora jednat s odbornou péčí (x porušení je správní delikt/přestupek </w:t>
      </w:r>
      <w:r w:rsidRPr="4E68F815">
        <w:rPr>
          <w:rFonts w:ascii="Times New Roman" w:eastAsia="Times New Roman" w:hAnsi="Times New Roman" w:cs="Times New Roman"/>
          <w:sz w:val="20"/>
          <w:szCs w:val="20"/>
        </w:rPr>
        <w:t xml:space="preserve">→ </w:t>
      </w:r>
      <w:r w:rsidRPr="4E68F815">
        <w:rPr>
          <w:rFonts w:ascii="Times New Roman" w:eastAsia="Times New Roman" w:hAnsi="Times New Roman" w:cs="Times New Roman"/>
          <w:b/>
          <w:bCs/>
          <w:sz w:val="20"/>
          <w:szCs w:val="20"/>
        </w:rPr>
        <w:t>sankce: pokuta do 10 mil. Kč – podnikající FO, do 5 mil. Kč – FO)</w:t>
      </w:r>
    </w:p>
    <w:p w:rsidR="00F670DA" w:rsidRPr="00A52B78" w:rsidRDefault="00F670DA" w:rsidP="003B2869">
      <w:bookmarkStart w:id="0" w:name="_GoBack"/>
      <w:bookmarkEnd w:id="0"/>
    </w:p>
    <w:sectPr w:rsidR="00F670DA" w:rsidRPr="00A52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800"/>
    <w:multiLevelType w:val="hybridMultilevel"/>
    <w:tmpl w:val="E1506B2A"/>
    <w:lvl w:ilvl="0" w:tplc="CBF0426C">
      <w:start w:val="1"/>
      <w:numFmt w:val="lowerLetter"/>
      <w:lvlText w:val="%1."/>
      <w:lvlJc w:val="left"/>
      <w:pPr>
        <w:ind w:left="720" w:hanging="360"/>
      </w:pPr>
    </w:lvl>
    <w:lvl w:ilvl="1" w:tplc="BCE66F64">
      <w:start w:val="1"/>
      <w:numFmt w:val="lowerLetter"/>
      <w:lvlText w:val="%2."/>
      <w:lvlJc w:val="left"/>
      <w:pPr>
        <w:ind w:left="1440" w:hanging="360"/>
      </w:pPr>
    </w:lvl>
    <w:lvl w:ilvl="2" w:tplc="BAB2EAEA">
      <w:start w:val="1"/>
      <w:numFmt w:val="lowerRoman"/>
      <w:lvlText w:val="%3."/>
      <w:lvlJc w:val="right"/>
      <w:pPr>
        <w:ind w:left="2160" w:hanging="180"/>
      </w:pPr>
    </w:lvl>
    <w:lvl w:ilvl="3" w:tplc="9EF232D8">
      <w:start w:val="1"/>
      <w:numFmt w:val="decimal"/>
      <w:lvlText w:val="%4."/>
      <w:lvlJc w:val="left"/>
      <w:pPr>
        <w:ind w:left="2880" w:hanging="360"/>
      </w:pPr>
    </w:lvl>
    <w:lvl w:ilvl="4" w:tplc="0A78DF70">
      <w:start w:val="1"/>
      <w:numFmt w:val="lowerLetter"/>
      <w:lvlText w:val="%5."/>
      <w:lvlJc w:val="left"/>
      <w:pPr>
        <w:ind w:left="3600" w:hanging="360"/>
      </w:pPr>
    </w:lvl>
    <w:lvl w:ilvl="5" w:tplc="5C405890">
      <w:start w:val="1"/>
      <w:numFmt w:val="lowerRoman"/>
      <w:lvlText w:val="%6."/>
      <w:lvlJc w:val="right"/>
      <w:pPr>
        <w:ind w:left="4320" w:hanging="180"/>
      </w:pPr>
    </w:lvl>
    <w:lvl w:ilvl="6" w:tplc="2146E0AC">
      <w:start w:val="1"/>
      <w:numFmt w:val="decimal"/>
      <w:lvlText w:val="%7."/>
      <w:lvlJc w:val="left"/>
      <w:pPr>
        <w:ind w:left="5040" w:hanging="360"/>
      </w:pPr>
    </w:lvl>
    <w:lvl w:ilvl="7" w:tplc="D8D631BC">
      <w:start w:val="1"/>
      <w:numFmt w:val="lowerLetter"/>
      <w:lvlText w:val="%8."/>
      <w:lvlJc w:val="left"/>
      <w:pPr>
        <w:ind w:left="5760" w:hanging="360"/>
      </w:pPr>
    </w:lvl>
    <w:lvl w:ilvl="8" w:tplc="64D0F702">
      <w:start w:val="1"/>
      <w:numFmt w:val="lowerRoman"/>
      <w:lvlText w:val="%9."/>
      <w:lvlJc w:val="right"/>
      <w:pPr>
        <w:ind w:left="6480" w:hanging="180"/>
      </w:pPr>
    </w:lvl>
  </w:abstractNum>
  <w:abstractNum w:abstractNumId="1"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0A6751"/>
    <w:rsid w:val="003032A3"/>
    <w:rsid w:val="003B2869"/>
    <w:rsid w:val="003D2797"/>
    <w:rsid w:val="00514AEE"/>
    <w:rsid w:val="00553370"/>
    <w:rsid w:val="00594EBF"/>
    <w:rsid w:val="005B229A"/>
    <w:rsid w:val="006B4025"/>
    <w:rsid w:val="00751AA8"/>
    <w:rsid w:val="007A4EED"/>
    <w:rsid w:val="00A52B78"/>
    <w:rsid w:val="00AE30A8"/>
    <w:rsid w:val="00BC612F"/>
    <w:rsid w:val="00C65995"/>
    <w:rsid w:val="00CB35EA"/>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29A"/>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2020-05-19T09:50:00Z</dcterms:created>
  <dcterms:modified xsi:type="dcterms:W3CDTF">2020-05-19T09:50:00Z</dcterms:modified>
</cp:coreProperties>
</file>