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4F9" w:rsidRDefault="007F776D" w:rsidP="00133210">
      <w:r>
        <w:t xml:space="preserve">6. Právní úprava neživnostenského podnikání. Podnikání zahraničních osob. </w:t>
      </w:r>
      <w:bookmarkStart w:id="0" w:name="_GoBack"/>
      <w:bookmarkEnd w:id="0"/>
    </w:p>
    <w:p w:rsidR="007F776D" w:rsidRPr="00C877EE" w:rsidRDefault="007F776D" w:rsidP="007F776D">
      <w:pPr>
        <w:pStyle w:val="ListParagraph"/>
        <w:spacing w:after="0" w:line="240" w:lineRule="auto"/>
        <w:ind w:left="426"/>
        <w:jc w:val="both"/>
        <w:rPr>
          <w:b/>
          <w:sz w:val="20"/>
          <w:u w:val="dotted"/>
        </w:rPr>
      </w:pPr>
      <w:r w:rsidRPr="00C877EE">
        <w:rPr>
          <w:b/>
          <w:sz w:val="20"/>
          <w:u w:val="dotted"/>
        </w:rPr>
        <w:t>neživnostenské podnikání</w:t>
      </w:r>
    </w:p>
    <w:p w:rsidR="007F776D" w:rsidRPr="00F1555D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>podnikání, pro které je nutné získat oprávnění, ale nikoli podle ŽZ, ale dle jiných zvláštních zákonů</w:t>
      </w:r>
    </w:p>
    <w:p w:rsidR="007F776D" w:rsidRPr="00480A70" w:rsidRDefault="007F776D" w:rsidP="007F776D">
      <w:pPr>
        <w:pStyle w:val="ListParagraph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a) </w:t>
      </w:r>
      <w:r w:rsidRPr="00480A70">
        <w:rPr>
          <w:b/>
          <w:i/>
          <w:sz w:val="20"/>
        </w:rPr>
        <w:t>svobodná povolání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např. advokáti, architekti, daňoví poradci, lékaře apod.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jedná se o poskytování individualizovaných služeb vysoce kvalifikovanými osobami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regulaci podnikání vykonávají profesní komory jako PO veřejného práva (dříve cechy)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>↪</w:t>
      </w:r>
      <w:r>
        <w:rPr>
          <w:sz w:val="20"/>
        </w:rPr>
        <w:t xml:space="preserve"> povinné členství (poplatky) + disciplinární působnost komory nad svými členy</w:t>
      </w:r>
    </w:p>
    <w:p w:rsidR="007F776D" w:rsidRPr="00480A70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složení zkoušky, slibu; někdy zákaz jiné činnosti</w:t>
      </w:r>
    </w:p>
    <w:p w:rsidR="007F776D" w:rsidRPr="006B5FB9" w:rsidRDefault="007F776D" w:rsidP="007F776D">
      <w:pPr>
        <w:pStyle w:val="ListParagraph"/>
        <w:spacing w:after="0" w:line="240" w:lineRule="auto"/>
        <w:ind w:left="1276"/>
        <w:jc w:val="both"/>
        <w:rPr>
          <w:sz w:val="20"/>
        </w:rPr>
      </w:pPr>
      <w:r>
        <w:rPr>
          <w:sz w:val="20"/>
        </w:rPr>
        <w:t xml:space="preserve">b) </w:t>
      </w:r>
      <w:r>
        <w:rPr>
          <w:b/>
          <w:i/>
          <w:sz w:val="20"/>
        </w:rPr>
        <w:t>ostatní případy neživnostenského povolání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mají vlastní zákon, který upravuje podmínky podnikání v daném odvětví nebo oboru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působnost rozhodnout o oprávnění je svěřena některému z ústředních orgánu státní správy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tento orgán pak následně vykonává dozor nad dodržováním zákonných povinností a ukládá pokuty za jejich porušení</w:t>
      </w:r>
    </w:p>
    <w:p w:rsidR="007F776D" w:rsidRDefault="007F776D" w:rsidP="007F776D">
      <w:pPr>
        <w:pStyle w:val="ListParagraph"/>
        <w:numPr>
          <w:ilvl w:val="3"/>
          <w:numId w:val="2"/>
        </w:numPr>
        <w:spacing w:after="0" w:line="240" w:lineRule="auto"/>
        <w:ind w:left="2127"/>
        <w:jc w:val="both"/>
        <w:rPr>
          <w:sz w:val="20"/>
        </w:rPr>
      </w:pPr>
      <w:r>
        <w:rPr>
          <w:sz w:val="20"/>
        </w:rPr>
        <w:t>svéprávnost, bezúhonnost, odbornost, překážky podnikání, finanční předpoklady (500 mil. banky), technické, organizační, personální předpoklady, důvěryhodnost, transparentnost</w:t>
      </w:r>
    </w:p>
    <w:p w:rsidR="007F776D" w:rsidRPr="00936353" w:rsidRDefault="007F776D" w:rsidP="007F776D">
      <w:pPr>
        <w:pStyle w:val="ListParagraph"/>
        <w:spacing w:after="0" w:line="240" w:lineRule="auto"/>
        <w:ind w:left="2127"/>
        <w:jc w:val="both"/>
        <w:rPr>
          <w:sz w:val="10"/>
          <w:szCs w:val="10"/>
        </w:rPr>
      </w:pPr>
    </w:p>
    <w:p w:rsidR="007F776D" w:rsidRPr="00D945FD" w:rsidRDefault="007F776D" w:rsidP="007F776D">
      <w:pPr>
        <w:spacing w:after="0" w:line="240" w:lineRule="auto"/>
        <w:jc w:val="both"/>
        <w:rPr>
          <w:b/>
          <w:sz w:val="20"/>
          <w:u w:val="single"/>
        </w:rPr>
      </w:pPr>
      <w:r w:rsidRPr="00D945FD">
        <w:rPr>
          <w:b/>
          <w:sz w:val="20"/>
          <w:u w:val="single"/>
        </w:rPr>
        <w:t>2. PODNIKÁNÍ ZAHRANIČNÍCH OSOB</w:t>
      </w:r>
    </w:p>
    <w:p w:rsidR="007F776D" w:rsidRPr="008C0425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b/>
          <w:sz w:val="20"/>
        </w:rPr>
        <w:t>ZMPS</w:t>
      </w:r>
      <w:r>
        <w:rPr>
          <w:sz w:val="20"/>
        </w:rPr>
        <w:t xml:space="preserve"> v § 26 (2) poskytuje </w:t>
      </w:r>
      <w:r>
        <w:rPr>
          <w:b/>
          <w:sz w:val="20"/>
        </w:rPr>
        <w:t xml:space="preserve">cizincům </w:t>
      </w:r>
      <w:r w:rsidRPr="00E95121">
        <w:rPr>
          <w:sz w:val="20"/>
        </w:rPr>
        <w:t>(FO neobčan)</w:t>
      </w:r>
      <w:r>
        <w:rPr>
          <w:b/>
          <w:sz w:val="20"/>
        </w:rPr>
        <w:t xml:space="preserve"> a zahraničním PO </w:t>
      </w:r>
      <w:r w:rsidRPr="00D945FD">
        <w:rPr>
          <w:sz w:val="20"/>
        </w:rPr>
        <w:t xml:space="preserve">stejná </w:t>
      </w:r>
      <w:r>
        <w:rPr>
          <w:sz w:val="20"/>
        </w:rPr>
        <w:t>P@P</w:t>
      </w:r>
      <w:r w:rsidRPr="00D945FD">
        <w:rPr>
          <w:sz w:val="20"/>
        </w:rPr>
        <w:t xml:space="preserve"> v oblasti jejich osobních a majetkových práv</w:t>
      </w:r>
      <w:r>
        <w:rPr>
          <w:sz w:val="20"/>
        </w:rPr>
        <w:t xml:space="preserve"> – </w:t>
      </w:r>
      <w:r w:rsidRPr="008C0425">
        <w:rPr>
          <w:sz w:val="20"/>
        </w:rPr>
        <w:t>přednost před ZMPS mají MS a EP</w:t>
      </w:r>
      <w:r w:rsidRPr="00C2131E">
        <w:sym w:font="Wingdings" w:char="F0E0"/>
      </w:r>
      <w:r w:rsidRPr="008C0425">
        <w:rPr>
          <w:sz w:val="20"/>
        </w:rPr>
        <w:t xml:space="preserve"> </w:t>
      </w:r>
      <w:r>
        <w:rPr>
          <w:sz w:val="20"/>
        </w:rPr>
        <w:t>ZMPS</w:t>
      </w:r>
      <w:r w:rsidRPr="008C0425">
        <w:rPr>
          <w:sz w:val="20"/>
        </w:rPr>
        <w:t xml:space="preserve"> se použije v mezích jejich ustanovení</w:t>
      </w:r>
    </w:p>
    <w:p w:rsidR="007F776D" w:rsidRPr="00C2131E" w:rsidRDefault="007F776D" w:rsidP="007F776D">
      <w:pPr>
        <w:pStyle w:val="ListParagraph"/>
        <w:numPr>
          <w:ilvl w:val="2"/>
          <w:numId w:val="4"/>
        </w:numPr>
        <w:spacing w:after="0" w:line="240" w:lineRule="auto"/>
        <w:jc w:val="both"/>
        <w:rPr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 w:rsidRPr="00C2131E">
        <w:rPr>
          <w:b/>
          <w:sz w:val="20"/>
        </w:rPr>
        <w:t>SFEU</w:t>
      </w:r>
      <w:r w:rsidRPr="00C2131E">
        <w:rPr>
          <w:b/>
          <w:sz w:val="20"/>
        </w:rPr>
        <w:sym w:font="Wingdings" w:char="F0E0"/>
      </w:r>
      <w:r>
        <w:rPr>
          <w:i/>
          <w:sz w:val="20"/>
        </w:rPr>
        <w:t>svoboda volného pohybu zboží, osob, služeb a kapitálu</w:t>
      </w:r>
    </w:p>
    <w:p w:rsidR="007F776D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>
        <w:rPr>
          <w:sz w:val="20"/>
        </w:rPr>
        <w:t xml:space="preserve">ZMPS: </w:t>
      </w:r>
      <w:r>
        <w:rPr>
          <w:b/>
          <w:sz w:val="20"/>
        </w:rPr>
        <w:t xml:space="preserve">právní osobnost </w:t>
      </w:r>
      <w:r>
        <w:rPr>
          <w:sz w:val="20"/>
        </w:rPr>
        <w:t xml:space="preserve">a </w:t>
      </w:r>
      <w:r w:rsidRPr="001F07B0">
        <w:rPr>
          <w:b/>
          <w:sz w:val="20"/>
        </w:rPr>
        <w:t>svéprávnost</w:t>
      </w:r>
      <w:r>
        <w:rPr>
          <w:sz w:val="20"/>
        </w:rPr>
        <w:t xml:space="preserve"> cizinců </w:t>
      </w:r>
      <w:r w:rsidRPr="004D266C">
        <w:sym w:font="Wingdings" w:char="F0E0"/>
      </w:r>
      <w:r w:rsidRPr="001F07B0">
        <w:rPr>
          <w:sz w:val="20"/>
        </w:rPr>
        <w:t xml:space="preserve"> </w:t>
      </w:r>
      <w:r>
        <w:rPr>
          <w:sz w:val="20"/>
        </w:rPr>
        <w:t>řídí se právním řádem</w:t>
      </w:r>
      <w:r w:rsidRPr="001F07B0">
        <w:rPr>
          <w:sz w:val="20"/>
        </w:rPr>
        <w:t xml:space="preserve"> státu, v němž má FO </w:t>
      </w:r>
      <w:r w:rsidRPr="001F07B0">
        <w:rPr>
          <w:b/>
          <w:sz w:val="20"/>
        </w:rPr>
        <w:t>obvyklý</w:t>
      </w:r>
      <w:r w:rsidRPr="001F07B0">
        <w:rPr>
          <w:sz w:val="20"/>
        </w:rPr>
        <w:t xml:space="preserve"> pobyt, stačí</w:t>
      </w:r>
      <w:r>
        <w:rPr>
          <w:sz w:val="20"/>
        </w:rPr>
        <w:t xml:space="preserve"> ale</w:t>
      </w:r>
      <w:r w:rsidRPr="001F07B0">
        <w:rPr>
          <w:sz w:val="20"/>
        </w:rPr>
        <w:t xml:space="preserve">, </w:t>
      </w:r>
      <w:r>
        <w:rPr>
          <w:sz w:val="20"/>
        </w:rPr>
        <w:t>že</w:t>
      </w:r>
      <w:r w:rsidRPr="001F07B0">
        <w:rPr>
          <w:sz w:val="20"/>
        </w:rPr>
        <w:t xml:space="preserve"> je FO způsobilá k PJ podle právního řádu místa, ve kterém PJ činí</w:t>
      </w:r>
    </w:p>
    <w:p w:rsidR="007F776D" w:rsidRDefault="007F776D" w:rsidP="007F776D">
      <w:pPr>
        <w:pStyle w:val="ListParagraph"/>
        <w:numPr>
          <w:ilvl w:val="2"/>
          <w:numId w:val="4"/>
        </w:numPr>
        <w:spacing w:after="0" w:line="240" w:lineRule="auto"/>
        <w:ind w:left="1418"/>
        <w:jc w:val="both"/>
        <w:rPr>
          <w:sz w:val="20"/>
        </w:rPr>
      </w:pPr>
      <w:r w:rsidRPr="001F07B0">
        <w:rPr>
          <w:sz w:val="20"/>
        </w:rPr>
        <w:t xml:space="preserve">u </w:t>
      </w:r>
      <w:r>
        <w:rPr>
          <w:sz w:val="20"/>
        </w:rPr>
        <w:t xml:space="preserve">zahraničních </w:t>
      </w:r>
      <w:r w:rsidRPr="001F07B0">
        <w:rPr>
          <w:sz w:val="20"/>
        </w:rPr>
        <w:t>PO</w:t>
      </w:r>
      <w:r>
        <w:rPr>
          <w:sz w:val="20"/>
        </w:rPr>
        <w:t xml:space="preserve">: </w:t>
      </w:r>
      <w:r w:rsidRPr="00245B34">
        <w:rPr>
          <w:b/>
          <w:sz w:val="20"/>
        </w:rPr>
        <w:t>inkorporační princip</w:t>
      </w:r>
      <w:r>
        <w:rPr>
          <w:sz w:val="20"/>
        </w:rPr>
        <w:t xml:space="preserve">: p. </w:t>
      </w:r>
      <w:r w:rsidRPr="001F07B0">
        <w:rPr>
          <w:sz w:val="20"/>
        </w:rPr>
        <w:t xml:space="preserve">osobnost </w:t>
      </w:r>
      <w:r>
        <w:rPr>
          <w:sz w:val="20"/>
        </w:rPr>
        <w:t xml:space="preserve">se </w:t>
      </w:r>
      <w:r w:rsidRPr="001F07B0">
        <w:rPr>
          <w:sz w:val="20"/>
        </w:rPr>
        <w:t xml:space="preserve">řídí podle </w:t>
      </w:r>
      <w:r>
        <w:rPr>
          <w:sz w:val="20"/>
        </w:rPr>
        <w:t>p.</w:t>
      </w:r>
      <w:r w:rsidRPr="001F07B0">
        <w:rPr>
          <w:sz w:val="20"/>
        </w:rPr>
        <w:t xml:space="preserve"> řádu země, </w:t>
      </w:r>
      <w:r w:rsidRPr="00245B34">
        <w:rPr>
          <w:b/>
          <w:sz w:val="20"/>
          <w:u w:val="single"/>
        </w:rPr>
        <w:t>v níž PO vznikla</w:t>
      </w:r>
    </w:p>
    <w:p w:rsidR="007F776D" w:rsidRPr="004F3E93" w:rsidRDefault="007F776D" w:rsidP="007F776D">
      <w:pPr>
        <w:pStyle w:val="ListParagraph"/>
        <w:numPr>
          <w:ilvl w:val="2"/>
          <w:numId w:val="4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sz w:val="20"/>
        </w:rPr>
        <w:t xml:space="preserve">u „jiných než FO“: inkorporační princip (jde o útvary, kt. se podobají PO, a rozhodné právo jim </w:t>
      </w:r>
      <w:r w:rsidRPr="004F3E93">
        <w:rPr>
          <w:rFonts w:cstheme="minorHAnsi"/>
          <w:sz w:val="20"/>
        </w:rPr>
        <w:t>přiznává určitou způsobilost)</w:t>
      </w: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české p. předpisy upravující podnikání používají pro cizince a PO souhrnný termín: </w:t>
      </w:r>
      <w:r w:rsidRPr="004F3E93">
        <w:rPr>
          <w:rFonts w:cstheme="minorHAnsi"/>
          <w:b/>
          <w:sz w:val="20"/>
        </w:rPr>
        <w:t>zahraniční osoba</w:t>
      </w: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může provozovat živnost za stejných podmínek a ve stejném rozsahu jako česká osoba</w:t>
      </w: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hAnsi="Cambria Math" w:cstheme="minorHAnsi"/>
          <w:sz w:val="20"/>
        </w:rPr>
        <w:t>↪</w:t>
      </w:r>
      <w:r w:rsidRPr="004F3E93">
        <w:rPr>
          <w:rFonts w:cstheme="minorHAnsi"/>
          <w:sz w:val="20"/>
        </w:rPr>
        <w:t xml:space="preserve"> za českou osobu zákon považuje FO s </w:t>
      </w:r>
      <w:r w:rsidRPr="004F3E93">
        <w:rPr>
          <w:rFonts w:cstheme="minorHAnsi"/>
          <w:sz w:val="20"/>
          <w:u w:val="single"/>
        </w:rPr>
        <w:t>bydlištěm</w:t>
      </w:r>
      <w:r w:rsidRPr="004F3E93">
        <w:rPr>
          <w:rFonts w:cstheme="minorHAnsi"/>
          <w:sz w:val="20"/>
        </w:rPr>
        <w:t xml:space="preserve">/PO se </w:t>
      </w:r>
      <w:r w:rsidRPr="004F3E93">
        <w:rPr>
          <w:rFonts w:cstheme="minorHAnsi"/>
          <w:sz w:val="20"/>
          <w:u w:val="single"/>
        </w:rPr>
        <w:t>sídlem na území ČR</w:t>
      </w:r>
      <w:r w:rsidRPr="004F3E93">
        <w:rPr>
          <w:rFonts w:cstheme="minorHAnsi"/>
          <w:sz w:val="20"/>
        </w:rPr>
        <w:t xml:space="preserve"> (</w:t>
      </w:r>
    </w:p>
    <w:p w:rsidR="007F776D" w:rsidRPr="004F3E93" w:rsidRDefault="007F776D" w:rsidP="007F776D">
      <w:pPr>
        <w:pStyle w:val="ListParagraph"/>
        <w:numPr>
          <w:ilvl w:val="2"/>
          <w:numId w:val="4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b/>
          <w:sz w:val="20"/>
          <w:u w:val="single"/>
        </w:rPr>
        <w:t>bydliště</w:t>
      </w:r>
      <w:r w:rsidRPr="004F3E93">
        <w:rPr>
          <w:rFonts w:cstheme="minorHAnsi"/>
          <w:sz w:val="20"/>
          <w:u w:val="single"/>
        </w:rPr>
        <w:t xml:space="preserve"> na území ČR</w:t>
      </w:r>
      <w:r w:rsidRPr="004F3E93">
        <w:rPr>
          <w:rFonts w:cstheme="minorHAnsi"/>
          <w:sz w:val="20"/>
        </w:rPr>
        <w:t xml:space="preserve"> = </w:t>
      </w:r>
      <w:r w:rsidRPr="004F3E93">
        <w:rPr>
          <w:rFonts w:cstheme="minorHAnsi"/>
          <w:b/>
          <w:sz w:val="20"/>
        </w:rPr>
        <w:t>trvalý pobyt</w:t>
      </w:r>
      <w:r w:rsidRPr="004F3E93">
        <w:rPr>
          <w:rFonts w:cstheme="minorHAnsi"/>
          <w:sz w:val="20"/>
        </w:rPr>
        <w:t xml:space="preserve"> na území dle z. o evidenci obyvatel a z. o pobytu cizinců</w:t>
      </w:r>
    </w:p>
    <w:p w:rsidR="007F776D" w:rsidRPr="004F3E93" w:rsidRDefault="007F776D" w:rsidP="007F776D">
      <w:pPr>
        <w:pStyle w:val="ListParagraph"/>
        <w:numPr>
          <w:ilvl w:val="2"/>
          <w:numId w:val="4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tzn. za zahraniční osobu se nebude považovat cizinec s trvalým pobytem v ČR</w:t>
      </w:r>
    </w:p>
    <w:p w:rsidR="007F776D" w:rsidRPr="004F3E93" w:rsidRDefault="007F776D" w:rsidP="007F776D">
      <w:pPr>
        <w:pStyle w:val="ListParagraph"/>
        <w:numPr>
          <w:ilvl w:val="2"/>
          <w:numId w:val="4"/>
        </w:numPr>
        <w:spacing w:after="0" w:line="240" w:lineRule="auto"/>
        <w:ind w:left="1843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azylanti / doplňková ochrana + jejich rodinní příslušníci – stejné podmínky podnikání jako Češi</w:t>
      </w:r>
    </w:p>
    <w:p w:rsidR="007F776D" w:rsidRPr="004F3E93" w:rsidRDefault="007F776D" w:rsidP="007F776D">
      <w:pPr>
        <w:spacing w:after="0" w:line="240" w:lineRule="auto"/>
        <w:ind w:firstLine="491"/>
        <w:jc w:val="both"/>
        <w:rPr>
          <w:rFonts w:cstheme="minorHAnsi"/>
          <w:sz w:val="20"/>
          <w:u w:val="single"/>
        </w:rPr>
      </w:pPr>
      <w:r w:rsidRPr="004F3E93">
        <w:rPr>
          <w:rFonts w:cstheme="minorHAnsi"/>
          <w:sz w:val="20"/>
          <w:u w:val="single"/>
        </w:rPr>
        <w:t>podmínky podnikání</w:t>
      </w: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1) k ohlášení živnosti/žádosti o koncesi nutno doložit </w:t>
      </w:r>
      <w:r w:rsidRPr="004F3E93">
        <w:rPr>
          <w:rFonts w:cstheme="minorHAnsi"/>
          <w:b/>
          <w:sz w:val="20"/>
        </w:rPr>
        <w:t>povolení k pobytu</w:t>
      </w:r>
      <w:r w:rsidRPr="004F3E93">
        <w:rPr>
          <w:rFonts w:cstheme="minorHAnsi"/>
          <w:sz w:val="20"/>
        </w:rPr>
        <w:t xml:space="preserve"> </w:t>
      </w: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2) splnit podmínky ŽZ: </w:t>
      </w:r>
      <w:r w:rsidRPr="004F3E93">
        <w:rPr>
          <w:rFonts w:cstheme="minorHAnsi"/>
          <w:b/>
          <w:sz w:val="20"/>
        </w:rPr>
        <w:t>bezúhonnost</w:t>
      </w:r>
      <w:r w:rsidRPr="004F3E93">
        <w:rPr>
          <w:rFonts w:cstheme="minorHAnsi"/>
          <w:sz w:val="20"/>
        </w:rPr>
        <w:t xml:space="preserve"> (výpis z TR mladší 3 měsíců), </w:t>
      </w:r>
      <w:r w:rsidRPr="004F3E93">
        <w:rPr>
          <w:rFonts w:cstheme="minorHAnsi"/>
          <w:b/>
          <w:sz w:val="20"/>
        </w:rPr>
        <w:t>svéprávnost</w:t>
      </w:r>
      <w:r w:rsidRPr="004F3E93">
        <w:rPr>
          <w:rFonts w:cstheme="minorHAnsi"/>
          <w:sz w:val="20"/>
        </w:rPr>
        <w:t xml:space="preserve">, </w:t>
      </w:r>
      <w:r w:rsidRPr="004F3E93">
        <w:rPr>
          <w:rFonts w:cstheme="minorHAnsi"/>
          <w:b/>
          <w:sz w:val="20"/>
        </w:rPr>
        <w:t>odborná způsobilost</w:t>
      </w:r>
      <w:r w:rsidRPr="004F3E93">
        <w:rPr>
          <w:rFonts w:cstheme="minorHAnsi"/>
          <w:sz w:val="20"/>
        </w:rPr>
        <w:t xml:space="preserve">  </w:t>
      </w:r>
    </w:p>
    <w:p w:rsidR="007F776D" w:rsidRPr="004F3E93" w:rsidRDefault="007F776D" w:rsidP="007F776D">
      <w:pPr>
        <w:pStyle w:val="ListParagraph"/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 xml:space="preserve">   (směrnice o uznávání kvalifikací v rámci EU &gt; zákon o uznávání odborné kvalifikace občanů EU)</w:t>
      </w: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3) </w:t>
      </w:r>
      <w:r w:rsidRPr="004F3E93">
        <w:rPr>
          <w:rFonts w:cstheme="minorHAnsi"/>
          <w:b/>
          <w:sz w:val="20"/>
        </w:rPr>
        <w:t>zápis do OR</w:t>
      </w:r>
      <w:r w:rsidRPr="004F3E93">
        <w:rPr>
          <w:rFonts w:cstheme="minorHAnsi"/>
          <w:sz w:val="20"/>
        </w:rPr>
        <w:t xml:space="preserve"> (nemusí se zapisovat: 1. občané EU/EH</w:t>
      </w:r>
      <w:r>
        <w:rPr>
          <w:rFonts w:cstheme="minorHAnsi"/>
          <w:sz w:val="20"/>
        </w:rPr>
        <w:t>P</w:t>
      </w:r>
      <w:r w:rsidRPr="004F3E93">
        <w:rPr>
          <w:rFonts w:cstheme="minorHAnsi"/>
          <w:sz w:val="20"/>
        </w:rPr>
        <w:t xml:space="preserve"> + jejich rodinní příslušníci (tj. i non-EU manžel Čecha), 2. dlouhodobí rezidenti v EU + rodinní příslušníci s dlouhodobým pobytem)</w:t>
      </w:r>
    </w:p>
    <w:p w:rsidR="007F776D" w:rsidRPr="004F3E93" w:rsidRDefault="007F776D" w:rsidP="007F776D">
      <w:pPr>
        <w:pStyle w:val="ListParagraph"/>
        <w:spacing w:after="0" w:line="240" w:lineRule="auto"/>
        <w:ind w:left="851"/>
        <w:jc w:val="both"/>
        <w:rPr>
          <w:rFonts w:cstheme="minorHAnsi"/>
          <w:sz w:val="6"/>
          <w:szCs w:val="6"/>
        </w:rPr>
      </w:pPr>
    </w:p>
    <w:p w:rsidR="007F776D" w:rsidRPr="004F3E93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rFonts w:cstheme="minorHAnsi"/>
          <w:sz w:val="20"/>
        </w:rPr>
      </w:pPr>
      <w:r w:rsidRPr="004F3E93">
        <w:rPr>
          <w:rFonts w:cstheme="minorHAnsi"/>
          <w:sz w:val="20"/>
        </w:rPr>
        <w:t>nevyžaduje se znalost českého jazyka, avšak je tu povinnost zajistit, aby v provozovně určené pro prodej zboží nebo poskytování služeb spotřebitelům, byla přítomna osoba splňující podmínku znalosti Čj či Sj</w:t>
      </w:r>
    </w:p>
    <w:p w:rsidR="007F776D" w:rsidRPr="001775D5" w:rsidRDefault="007F776D" w:rsidP="007F776D">
      <w:pPr>
        <w:pStyle w:val="ListParagraph"/>
        <w:numPr>
          <w:ilvl w:val="1"/>
          <w:numId w:val="4"/>
        </w:numPr>
        <w:spacing w:after="0" w:line="240" w:lineRule="auto"/>
        <w:ind w:left="851"/>
        <w:jc w:val="both"/>
        <w:rPr>
          <w:sz w:val="20"/>
        </w:rPr>
      </w:pPr>
      <w:r w:rsidRPr="004F3E93">
        <w:rPr>
          <w:rFonts w:cstheme="minorHAnsi"/>
          <w:sz w:val="20"/>
        </w:rPr>
        <w:t>podnikání podle</w:t>
      </w:r>
      <w:r w:rsidRPr="001775D5">
        <w:rPr>
          <w:sz w:val="20"/>
        </w:rPr>
        <w:t xml:space="preserve"> zákona o advokacii </w:t>
      </w:r>
      <w:r w:rsidRPr="00407A1B">
        <w:rPr>
          <w:sz w:val="20"/>
        </w:rPr>
        <w:sym w:font="Wingdings" w:char="F0E0"/>
      </w:r>
      <w:r w:rsidRPr="001775D5">
        <w:rPr>
          <w:sz w:val="20"/>
        </w:rPr>
        <w:t xml:space="preserve"> status tzv. </w:t>
      </w:r>
      <w:r w:rsidRPr="001775D5">
        <w:rPr>
          <w:b/>
          <w:sz w:val="20"/>
        </w:rPr>
        <w:t>evropského advokáta</w:t>
      </w:r>
      <w:r w:rsidRPr="001775D5">
        <w:rPr>
          <w:sz w:val="20"/>
        </w:rPr>
        <w:t xml:space="preserve"> (zapisování do seznamu vedený ČAK)</w:t>
      </w:r>
      <w:r w:rsidRPr="00AD0233">
        <w:rPr>
          <w:sz w:val="20"/>
        </w:rPr>
        <w:sym w:font="Wingdings" w:char="F0E0"/>
      </w:r>
      <w:r w:rsidRPr="001775D5">
        <w:rPr>
          <w:sz w:val="20"/>
        </w:rPr>
        <w:t xml:space="preserve"> není oprávněn sepisovat některé smluvní typy (např. o převodu nemovitosti)</w:t>
      </w:r>
    </w:p>
    <w:p w:rsidR="007F776D" w:rsidRDefault="007F776D" w:rsidP="00133210"/>
    <w:sectPr w:rsidR="007F7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B47"/>
    <w:multiLevelType w:val="hybridMultilevel"/>
    <w:tmpl w:val="FF923B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753F"/>
    <w:multiLevelType w:val="hybridMultilevel"/>
    <w:tmpl w:val="520CEBEC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2785"/>
    <w:multiLevelType w:val="hybridMultilevel"/>
    <w:tmpl w:val="C176881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C9520CFA">
      <w:start w:val="1"/>
      <w:numFmt w:val="bullet"/>
      <w:lvlText w:val="─"/>
      <w:lvlJc w:val="left"/>
      <w:pPr>
        <w:ind w:left="2160" w:hanging="360"/>
      </w:pPr>
      <w:rPr>
        <w:rFonts w:ascii="Tahoma" w:hAnsi="Tahoma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0"/>
    <w:rsid w:val="001054F9"/>
    <w:rsid w:val="00133210"/>
    <w:rsid w:val="007F776D"/>
    <w:rsid w:val="00AF1EC4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1DE"/>
  <w15:chartTrackingRefBased/>
  <w15:docId w15:val="{34D803D4-50D4-4D05-B4A9-9ED9D89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2020-05-19T08:35:00Z</dcterms:created>
  <dcterms:modified xsi:type="dcterms:W3CDTF">2020-05-19T08:35:00Z</dcterms:modified>
</cp:coreProperties>
</file>