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5EA" w:rsidRDefault="00CB35EA" w:rsidP="00CB35EA">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sz w:val="28"/>
          <w:szCs w:val="28"/>
        </w:rPr>
        <w:t xml:space="preserve">9. Právo proti nekalé soutěži II (zlehčování, nepřípustná srovnávací reklama, porušení obchodního tajemství, dotěrné obtěžování, ohrožení zdraví a životního prostřední, ochrana proti nekalé soutěži). </w:t>
      </w:r>
    </w:p>
    <w:p w:rsidR="00CB35EA" w:rsidRDefault="00CB35EA" w:rsidP="00CB35EA">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f)</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zlehčování</w:t>
      </w:r>
    </w:p>
    <w:p w:rsidR="00CB35EA" w:rsidRDefault="00CB35EA" w:rsidP="00CB35EA">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o jiném či jeho produktech uvádí nepravdivý údaj způsobilý mu přivodit újmu – lze tak dokonce učinit i rozšiřováním </w:t>
      </w:r>
      <w:r w:rsidRPr="4E68F815">
        <w:rPr>
          <w:rFonts w:ascii="Times New Roman" w:eastAsia="Times New Roman" w:hAnsi="Times New Roman" w:cs="Times New Roman"/>
          <w:i/>
          <w:iCs/>
          <w:color w:val="000000" w:themeColor="text1"/>
          <w:sz w:val="20"/>
          <w:szCs w:val="20"/>
        </w:rPr>
        <w:t>pravdivých údajů</w:t>
      </w:r>
      <w:r w:rsidRPr="4E68F815">
        <w:rPr>
          <w:rFonts w:ascii="Times New Roman" w:eastAsia="Times New Roman" w:hAnsi="Times New Roman" w:cs="Times New Roman"/>
          <w:color w:val="000000" w:themeColor="text1"/>
          <w:sz w:val="20"/>
          <w:szCs w:val="20"/>
        </w:rPr>
        <w:t>, pokud jsou schopny přivodit újmu</w:t>
      </w:r>
    </w:p>
    <w:p w:rsidR="00CB35EA" w:rsidRDefault="00CB35EA" w:rsidP="00CB35EA">
      <w:pPr>
        <w:ind w:left="357" w:hanging="357"/>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h)</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porušení obchodního tajemství</w:t>
      </w:r>
      <w:r w:rsidRPr="4E68F815">
        <w:rPr>
          <w:rFonts w:ascii="Times New Roman" w:eastAsia="Times New Roman" w:hAnsi="Times New Roman" w:cs="Times New Roman"/>
          <w:color w:val="000000" w:themeColor="text1"/>
          <w:sz w:val="20"/>
          <w:szCs w:val="20"/>
        </w:rPr>
        <w:t xml:space="preserve"> („které může být využito v soutěži“)</w:t>
      </w:r>
    </w:p>
    <w:p w:rsidR="00CB35EA" w:rsidRDefault="00CB35EA" w:rsidP="00CB35EA">
      <w:pPr>
        <w:ind w:left="357" w:hanging="357"/>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i)</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dotěrné obtěžování</w:t>
      </w:r>
    </w:p>
    <w:p w:rsidR="00CB35EA" w:rsidRDefault="00CB35EA" w:rsidP="00CB35EA">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sdělování údajů o soutěžiteli, zboží/službách, nabídka produktů, kdy si adresát zjevně takovou činnost nepřeje; sdělování reklamy (kdy jsou utajeny údaje o možném kontaktu chybí údaj jak ukonči t reklamu) zpřísnění podmínek pro reklamu sdělovanou el. poštou</w:t>
      </w:r>
    </w:p>
    <w:p w:rsidR="00CB35EA" w:rsidRDefault="00CB35EA" w:rsidP="00CB35EA">
      <w:pPr>
        <w:ind w:left="357" w:hanging="357"/>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j)</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ohrožení zdraví a životního prostředí</w:t>
      </w:r>
    </w:p>
    <w:p w:rsidR="00CB35EA" w:rsidRDefault="00CB35EA" w:rsidP="00CB35EA">
      <w:pPr>
        <w:pStyle w:val="Heading1"/>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vyrábí / uvádí na trh nebo poskytuje výkony, které mohou ohrozit zájem na ochraně zdraví nebo ŽP, aby tak získal prospěch na úkor jiného soutěžitele / zákazníka</w:t>
      </w:r>
      <w:r>
        <w:br/>
      </w:r>
      <w:r>
        <w:br/>
      </w:r>
      <w:r w:rsidRPr="4E68F815">
        <w:rPr>
          <w:rFonts w:ascii="Times New Roman" w:eastAsia="Times New Roman" w:hAnsi="Times New Roman" w:cs="Times New Roman"/>
          <w:b/>
          <w:bCs/>
          <w:color w:val="000000" w:themeColor="text1"/>
          <w:sz w:val="20"/>
          <w:szCs w:val="20"/>
        </w:rPr>
        <w:t>Zlehčování</w:t>
      </w:r>
    </w:p>
    <w:p w:rsidR="00CB35EA" w:rsidRDefault="00CB35EA" w:rsidP="00CB35EA">
      <w:p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 2984 OZ</w:t>
      </w:r>
      <w:r w:rsidRPr="4E68F815">
        <w:rPr>
          <w:rFonts w:ascii="Times New Roman" w:eastAsia="Times New Roman" w:hAnsi="Times New Roman" w:cs="Times New Roman"/>
          <w:color w:val="000000" w:themeColor="text1"/>
          <w:sz w:val="20"/>
          <w:szCs w:val="20"/>
        </w:rPr>
        <w:t>(1) Zlehčováním je jednání, jímž soutěžitel uvede nebo rozšiřuje o poměrech, výkonech nebo výrobku jiného soutěžitele nepravdivý údaj způsobilý tomuto soutěžiteli přivodit újmu.(2) Zlehčováním je i uvedení a rozšiřování pravdivého údaje o poměrech, výkonech nebo výrobku jiného soutěžitele, pokud jsou způsobilé tomuto soutěžiteli přivodit újmu. Nekalou soutěží však není, byl-li soutěžitel k takovému jednání okolnostmi donucen (oprávněná obrana).</w:t>
      </w:r>
    </w:p>
    <w:p w:rsidR="00CB35EA" w:rsidRDefault="00CB35EA" w:rsidP="00CB35EA">
      <w:pPr>
        <w:rPr>
          <w:rFonts w:ascii="Times New Roman" w:eastAsia="Times New Roman" w:hAnsi="Times New Roman" w:cs="Times New Roman"/>
          <w:sz w:val="20"/>
          <w:szCs w:val="20"/>
        </w:rPr>
      </w:pPr>
      <w:r w:rsidRPr="4E68F815">
        <w:rPr>
          <w:rFonts w:ascii="Times New Roman" w:eastAsia="Times New Roman" w:hAnsi="Times New Roman" w:cs="Times New Roman"/>
          <w:color w:val="252525"/>
          <w:sz w:val="20"/>
          <w:szCs w:val="20"/>
        </w:rPr>
        <w:t>Zlehčování se řadí mezi soutěžní agrese, má většinou ekonomické důvody, ale nejsou vyloučeny ani iracionální důvody pro zlehčování. V tomto nekalosoutěžním jednání se poukazuje na nedostatky konkurenta, čímž se snaží zajistit sám sobě lepší postavení v rámci trhu. Zákon rozeznává 2 formy zlehčování: zlehčování nepravdivými údaji a zlehčování pravdivými údaji.</w:t>
      </w:r>
      <w:hyperlink r:id="rId5" w:anchor="cite_note-12">
        <w:r w:rsidRPr="4E68F815">
          <w:rPr>
            <w:rStyle w:val="Hyperlink"/>
            <w:rFonts w:ascii="Times New Roman" w:eastAsia="Times New Roman" w:hAnsi="Times New Roman" w:cs="Times New Roman"/>
            <w:color w:val="0074D9"/>
            <w:sz w:val="20"/>
            <w:szCs w:val="20"/>
            <w:vertAlign w:val="superscript"/>
          </w:rPr>
          <w:t>[12]</w:t>
        </w:r>
      </w:hyperlink>
    </w:p>
    <w:p w:rsidR="00CB35EA" w:rsidRDefault="00CB35EA" w:rsidP="00CB35EA">
      <w:pPr>
        <w:pStyle w:val="ListParagraph"/>
        <w:numPr>
          <w:ilvl w:val="0"/>
          <w:numId w:val="1"/>
        </w:numPr>
        <w:rPr>
          <w:rFonts w:ascii="Times New Roman" w:eastAsia="Times New Roman" w:hAnsi="Times New Roman" w:cs="Times New Roman"/>
          <w:b/>
          <w:bCs/>
          <w:color w:val="252525"/>
          <w:sz w:val="20"/>
          <w:szCs w:val="20"/>
        </w:rPr>
      </w:pPr>
      <w:r w:rsidRPr="4E68F815">
        <w:rPr>
          <w:rFonts w:ascii="Times New Roman" w:eastAsia="Times New Roman" w:hAnsi="Times New Roman" w:cs="Times New Roman"/>
          <w:b/>
          <w:bCs/>
          <w:color w:val="252525"/>
          <w:sz w:val="20"/>
          <w:szCs w:val="20"/>
        </w:rPr>
        <w:t>Zlehčování nepravdivými údaji</w:t>
      </w:r>
      <w:r w:rsidRPr="4E68F815">
        <w:rPr>
          <w:rFonts w:ascii="Times New Roman" w:eastAsia="Times New Roman" w:hAnsi="Times New Roman" w:cs="Times New Roman"/>
          <w:color w:val="252525"/>
          <w:sz w:val="20"/>
          <w:szCs w:val="20"/>
        </w:rPr>
        <w:t xml:space="preserve"> je popsáno v odstavci 2. §2984. Tato forma zlehčování má velmi blízko ke klamavé reklamě. U obou podstat dochází k šíření informací, které neodpovídají skutečnosti. V rámci zlehčování dochází k očerňování jiného soutěžitele – konkurenta (u klamavé reklamy dochází spíše k sebechvále soutěžitele). Zlehčovatelem může být dle zákona pouze soutěžitel. Zlehčující údaje se musejí týkat poměrů, výkonů či výrobků jiného soutěžitele. Podobně jako u jiných skutkových podstat nekalé soutěže postačuje možnost vzniku újmy, ale zároveň je nutné, aby uvedení či rozšiřování údajů skutečně bylo způsobilé přivodit tuto újmu.</w:t>
      </w:r>
    </w:p>
    <w:p w:rsidR="00CB35EA" w:rsidRDefault="00CB35EA" w:rsidP="00CB35EA">
      <w:pPr>
        <w:pStyle w:val="ListParagraph"/>
        <w:numPr>
          <w:ilvl w:val="0"/>
          <w:numId w:val="1"/>
        </w:numPr>
        <w:rPr>
          <w:rFonts w:ascii="Times New Roman" w:eastAsia="Times New Roman" w:hAnsi="Times New Roman" w:cs="Times New Roman"/>
          <w:b/>
          <w:bCs/>
          <w:color w:val="252525"/>
          <w:sz w:val="20"/>
          <w:szCs w:val="20"/>
        </w:rPr>
      </w:pPr>
      <w:r w:rsidRPr="4E68F815">
        <w:rPr>
          <w:rFonts w:ascii="Times New Roman" w:eastAsia="Times New Roman" w:hAnsi="Times New Roman" w:cs="Times New Roman"/>
          <w:b/>
          <w:bCs/>
          <w:color w:val="252525"/>
          <w:sz w:val="20"/>
          <w:szCs w:val="20"/>
        </w:rPr>
        <w:t>Zlehčování pravdivými údaji</w:t>
      </w:r>
      <w:r w:rsidRPr="4E68F815">
        <w:rPr>
          <w:rFonts w:ascii="Times New Roman" w:eastAsia="Times New Roman" w:hAnsi="Times New Roman" w:cs="Times New Roman"/>
          <w:color w:val="252525"/>
          <w:sz w:val="20"/>
          <w:szCs w:val="20"/>
        </w:rPr>
        <w:t xml:space="preserve"> je uvedeno v odstavci 2., na rozdíl od první situace, jsou zde uváděny a rozšiřovány pravdivé údaje. Podstatný rozdíl mezi oběma odstavci spočívá i ve využité spojky, zde je užita spojka „a“ tedy nekalosoutěžní jednání nebude pouze jednorázové uvedení pravdivého údaje, je nutné, aby tento údaj byl i dále šířen. Především u uvádění a šíření pravdivých údajů je třeba posuzovat i okolnosti a souvislosti, aby bylo možné toto chování označit jako nekalosoutěžní.</w:t>
      </w:r>
      <w:hyperlink r:id="rId6" w:anchor="cite_note-13">
        <w:r w:rsidRPr="4E68F815">
          <w:rPr>
            <w:rStyle w:val="Hyperlink"/>
            <w:rFonts w:ascii="Times New Roman" w:eastAsia="Times New Roman" w:hAnsi="Times New Roman" w:cs="Times New Roman"/>
            <w:color w:val="0074D9"/>
            <w:sz w:val="20"/>
            <w:szCs w:val="20"/>
            <w:vertAlign w:val="superscript"/>
          </w:rPr>
          <w:t>[13]</w:t>
        </w:r>
      </w:hyperlink>
    </w:p>
    <w:p w:rsidR="00CB35EA" w:rsidRDefault="00CB35EA" w:rsidP="00CB35EA">
      <w:pPr>
        <w:pStyle w:val="Heading1"/>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Porušení obchodního tajemství</w:t>
      </w:r>
    </w:p>
    <w:p w:rsidR="00CB35EA" w:rsidRDefault="00CB35EA" w:rsidP="00CB35EA">
      <w:pPr>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 2985 OZ</w:t>
      </w:r>
      <w:r w:rsidRPr="4E68F815">
        <w:rPr>
          <w:rFonts w:ascii="Times New Roman" w:eastAsia="Times New Roman" w:hAnsi="Times New Roman" w:cs="Times New Roman"/>
          <w:color w:val="000000" w:themeColor="text1"/>
          <w:sz w:val="20"/>
          <w:szCs w:val="20"/>
        </w:rPr>
        <w:t>Porušením obchodního tajemství je jednání, jímž jednající jiné osobě neoprávněně sdělí, zpřístupní, pro sebe nebo pro jiného využije obchodní tajemství, které může být využito v soutěži a o němž se dověděla) tím, že mu tajemství bylo svěřeno nebo jinak se stalo přístupným na základě jeho pracovního poměru k soutěžiteli nebo na základě jiného vztahu k němu, popřípadě v rámci výkonu funkce, k níž byl soudem nebo jiným orgánem povolán, nebob) vlastním nebo cizím jednáním příčícím se zákonu.</w:t>
      </w:r>
    </w:p>
    <w:p w:rsidR="00CB35EA" w:rsidRDefault="00CB35EA" w:rsidP="00CB35EA">
      <w:pPr>
        <w:rPr>
          <w:rFonts w:ascii="Times New Roman" w:eastAsia="Times New Roman" w:hAnsi="Times New Roman" w:cs="Times New Roman"/>
          <w:color w:val="0074D9"/>
          <w:sz w:val="20"/>
          <w:szCs w:val="20"/>
          <w:vertAlign w:val="superscript"/>
        </w:rPr>
      </w:pPr>
      <w:hyperlink r:id="rId7">
        <w:r w:rsidRPr="4E68F815">
          <w:rPr>
            <w:rStyle w:val="Hyperlink"/>
            <w:rFonts w:ascii="Times New Roman" w:eastAsia="Times New Roman" w:hAnsi="Times New Roman" w:cs="Times New Roman"/>
            <w:color w:val="0074D9"/>
            <w:sz w:val="20"/>
            <w:szCs w:val="20"/>
          </w:rPr>
          <w:t>Obchodní tajemství</w:t>
        </w:r>
      </w:hyperlink>
      <w:r w:rsidRPr="4E68F815">
        <w:rPr>
          <w:rFonts w:ascii="Times New Roman" w:eastAsia="Times New Roman" w:hAnsi="Times New Roman" w:cs="Times New Roman"/>
          <w:color w:val="252525"/>
          <w:sz w:val="20"/>
          <w:szCs w:val="20"/>
        </w:rPr>
        <w:t xml:space="preserve"> je definováno v občanském zákoníku v § 504, kde je řečeno, že obchodní tajemství tvoří konkurenčně významné, ocenitelné, určitelné a běžně nedostupné skutečnosti související se závodem, kdy jejich vlastník zajišťuje ve svém zájmu tyto skutečnosti tají. Soutěžní předstih lze totiž získat mimo jiné i informační </w:t>
      </w:r>
      <w:r w:rsidRPr="4E68F815">
        <w:rPr>
          <w:rFonts w:ascii="Times New Roman" w:eastAsia="Times New Roman" w:hAnsi="Times New Roman" w:cs="Times New Roman"/>
          <w:color w:val="252525"/>
          <w:sz w:val="20"/>
          <w:szCs w:val="20"/>
        </w:rPr>
        <w:lastRenderedPageBreak/>
        <w:t xml:space="preserve">předstihem, z toho důvodu soutěžitelé mnohé informace tají před konkurenty. Ocenitelnost obchodního tajemství je velmi náročná, především proto, že mnohé informace nabývají své hodnoty až v budoucnu, jiné zase poměrně rychle svou hodnotu ztrácejí. Obchodní tajemství může bát chráněno mnohými nástroji například </w:t>
      </w:r>
      <w:hyperlink r:id="rId8">
        <w:r w:rsidRPr="4E68F815">
          <w:rPr>
            <w:rStyle w:val="Hyperlink"/>
            <w:rFonts w:ascii="Times New Roman" w:eastAsia="Times New Roman" w:hAnsi="Times New Roman" w:cs="Times New Roman"/>
            <w:color w:val="FF4136"/>
            <w:sz w:val="20"/>
            <w:szCs w:val="20"/>
          </w:rPr>
          <w:t>patenty</w:t>
        </w:r>
      </w:hyperlink>
      <w:r w:rsidRPr="4E68F815">
        <w:rPr>
          <w:rFonts w:ascii="Times New Roman" w:eastAsia="Times New Roman" w:hAnsi="Times New Roman" w:cs="Times New Roman"/>
          <w:color w:val="252525"/>
          <w:sz w:val="20"/>
          <w:szCs w:val="20"/>
        </w:rPr>
        <w:t>.</w:t>
      </w:r>
    </w:p>
    <w:p w:rsidR="00CB35EA" w:rsidRDefault="00CB35EA" w:rsidP="00CB35EA">
      <w:pPr>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 xml:space="preserve">Ochrana </w:t>
      </w:r>
      <w:hyperlink r:id="rId9">
        <w:r w:rsidRPr="4E68F815">
          <w:rPr>
            <w:rStyle w:val="Hyperlink"/>
            <w:rFonts w:ascii="Times New Roman" w:eastAsia="Times New Roman" w:hAnsi="Times New Roman" w:cs="Times New Roman"/>
            <w:color w:val="FF4136"/>
            <w:sz w:val="20"/>
            <w:szCs w:val="20"/>
          </w:rPr>
          <w:t>vlastníka</w:t>
        </w:r>
      </w:hyperlink>
      <w:r w:rsidRPr="4E68F815">
        <w:rPr>
          <w:rFonts w:ascii="Times New Roman" w:eastAsia="Times New Roman" w:hAnsi="Times New Roman" w:cs="Times New Roman"/>
          <w:color w:val="252525"/>
          <w:sz w:val="20"/>
          <w:szCs w:val="20"/>
        </w:rPr>
        <w:t xml:space="preserve"> obchodního tajemství je dvojí:</w:t>
      </w:r>
    </w:p>
    <w:p w:rsidR="00CB35EA" w:rsidRDefault="00CB35EA" w:rsidP="00CB35EA">
      <w:pPr>
        <w:pStyle w:val="ListParagraph"/>
        <w:numPr>
          <w:ilvl w:val="0"/>
          <w:numId w:val="1"/>
        </w:numPr>
        <w:rPr>
          <w:rFonts w:ascii="Times New Roman" w:eastAsia="Times New Roman" w:hAnsi="Times New Roman" w:cs="Times New Roman"/>
          <w:b/>
          <w:bCs/>
          <w:color w:val="252525"/>
          <w:sz w:val="20"/>
          <w:szCs w:val="20"/>
        </w:rPr>
      </w:pPr>
      <w:r w:rsidRPr="4E68F815">
        <w:rPr>
          <w:rFonts w:ascii="Times New Roman" w:eastAsia="Times New Roman" w:hAnsi="Times New Roman" w:cs="Times New Roman"/>
          <w:b/>
          <w:bCs/>
          <w:color w:val="252525"/>
          <w:sz w:val="20"/>
          <w:szCs w:val="20"/>
        </w:rPr>
        <w:t>Absolutní ochrana</w:t>
      </w:r>
      <w:r w:rsidRPr="4E68F815">
        <w:rPr>
          <w:rFonts w:ascii="Times New Roman" w:eastAsia="Times New Roman" w:hAnsi="Times New Roman" w:cs="Times New Roman"/>
          <w:color w:val="252525"/>
          <w:sz w:val="20"/>
          <w:szCs w:val="20"/>
        </w:rPr>
        <w:t xml:space="preserve"> – ochrana vlastnického práva</w:t>
      </w:r>
    </w:p>
    <w:p w:rsidR="00CB35EA" w:rsidRDefault="00CB35EA" w:rsidP="00CB35EA">
      <w:pPr>
        <w:pStyle w:val="ListParagraph"/>
        <w:numPr>
          <w:ilvl w:val="0"/>
          <w:numId w:val="1"/>
        </w:numPr>
        <w:rPr>
          <w:rFonts w:ascii="Times New Roman" w:eastAsia="Times New Roman" w:hAnsi="Times New Roman" w:cs="Times New Roman"/>
          <w:b/>
          <w:bCs/>
          <w:color w:val="252525"/>
          <w:sz w:val="20"/>
          <w:szCs w:val="20"/>
        </w:rPr>
      </w:pPr>
      <w:r w:rsidRPr="4E68F815">
        <w:rPr>
          <w:rFonts w:ascii="Times New Roman" w:eastAsia="Times New Roman" w:hAnsi="Times New Roman" w:cs="Times New Roman"/>
          <w:b/>
          <w:bCs/>
          <w:color w:val="252525"/>
          <w:sz w:val="20"/>
          <w:szCs w:val="20"/>
        </w:rPr>
        <w:t>Relativní ochrana</w:t>
      </w:r>
      <w:r w:rsidRPr="4E68F815">
        <w:rPr>
          <w:rFonts w:ascii="Times New Roman" w:eastAsia="Times New Roman" w:hAnsi="Times New Roman" w:cs="Times New Roman"/>
          <w:color w:val="252525"/>
          <w:sz w:val="20"/>
          <w:szCs w:val="20"/>
        </w:rPr>
        <w:t xml:space="preserve"> (nekalosoutěžní) – upravena v §2988 a 2989 OZ</w:t>
      </w:r>
    </w:p>
    <w:p w:rsidR="00CB35EA" w:rsidRDefault="00CB35EA" w:rsidP="00CB35EA">
      <w:pPr>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Aby skutečně došlo k naplnění skutkové podstaty porušení obchodního tajemství je třeba aby byly splněny 3 podmínky:</w:t>
      </w:r>
    </w:p>
    <w:p w:rsidR="00CB35EA" w:rsidRDefault="00CB35EA" w:rsidP="00CB35EA">
      <w:pPr>
        <w:pStyle w:val="ListParagraph"/>
        <w:numPr>
          <w:ilvl w:val="0"/>
          <w:numId w:val="1"/>
        </w:numPr>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Jednající jiné osobě neoprávněně sdělí, zpřístupní či využije obchodní tajemství</w:t>
      </w:r>
    </w:p>
    <w:p w:rsidR="00CB35EA" w:rsidRDefault="00CB35EA" w:rsidP="00CB35EA">
      <w:pPr>
        <w:pStyle w:val="ListParagraph"/>
        <w:numPr>
          <w:ilvl w:val="0"/>
          <w:numId w:val="1"/>
        </w:numPr>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Obchodní tajemství může být využito v soutěži</w:t>
      </w:r>
    </w:p>
    <w:p w:rsidR="00CB35EA" w:rsidRDefault="00CB35EA" w:rsidP="00CB35EA">
      <w:pPr>
        <w:pStyle w:val="ListParagraph"/>
        <w:numPr>
          <w:ilvl w:val="0"/>
          <w:numId w:val="1"/>
        </w:numPr>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Jednající se o obchodním tajemstvím dozvěděl jedním ze způsobů uvedených pod písmeny a) a b) §2985 OZ</w:t>
      </w:r>
    </w:p>
    <w:p w:rsidR="00CB35EA" w:rsidRDefault="00CB35EA" w:rsidP="00CB35EA">
      <w:pPr>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 xml:space="preserve">Bývá těžké v praxi prokázat v jaké míře získal rušitel poznatky z obchodního tajemství, převážně se to týká situací, kdy je skončen </w:t>
      </w:r>
      <w:hyperlink r:id="rId10">
        <w:r w:rsidRPr="4E68F815">
          <w:rPr>
            <w:rStyle w:val="Hyperlink"/>
            <w:rFonts w:ascii="Times New Roman" w:eastAsia="Times New Roman" w:hAnsi="Times New Roman" w:cs="Times New Roman"/>
            <w:color w:val="0074D9"/>
            <w:sz w:val="20"/>
            <w:szCs w:val="20"/>
          </w:rPr>
          <w:t>pracovní poměr</w:t>
        </w:r>
      </w:hyperlink>
      <w:r w:rsidRPr="4E68F815">
        <w:rPr>
          <w:rFonts w:ascii="Times New Roman" w:eastAsia="Times New Roman" w:hAnsi="Times New Roman" w:cs="Times New Roman"/>
          <w:color w:val="252525"/>
          <w:sz w:val="20"/>
          <w:szCs w:val="20"/>
        </w:rPr>
        <w:t xml:space="preserve"> se zaměstnancem, který znal obchodní tajemství. V takových případech je doporučeno uzavírat </w:t>
      </w:r>
      <w:hyperlink r:id="rId11">
        <w:r w:rsidRPr="4E68F815">
          <w:rPr>
            <w:rStyle w:val="Hyperlink"/>
            <w:rFonts w:ascii="Times New Roman" w:eastAsia="Times New Roman" w:hAnsi="Times New Roman" w:cs="Times New Roman"/>
            <w:color w:val="FF4136"/>
            <w:sz w:val="20"/>
            <w:szCs w:val="20"/>
          </w:rPr>
          <w:t>konkurenční doložku</w:t>
        </w:r>
      </w:hyperlink>
      <w:r w:rsidRPr="4E68F815">
        <w:rPr>
          <w:rFonts w:ascii="Times New Roman" w:eastAsia="Times New Roman" w:hAnsi="Times New Roman" w:cs="Times New Roman"/>
          <w:color w:val="252525"/>
          <w:sz w:val="20"/>
          <w:szCs w:val="20"/>
        </w:rPr>
        <w:t>.</w:t>
      </w:r>
    </w:p>
    <w:p w:rsidR="00CB35EA" w:rsidRDefault="00CB35EA" w:rsidP="00CB35EA">
      <w:pPr>
        <w:pStyle w:val="Heading1"/>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Ohrožení zdraví nebo životního prostředí</w:t>
      </w:r>
    </w:p>
    <w:p w:rsidR="00CB35EA" w:rsidRDefault="00CB35EA" w:rsidP="00CB35EA">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 2987 OZ</w:t>
      </w:r>
      <w:r w:rsidRPr="4E68F815">
        <w:rPr>
          <w:rFonts w:ascii="Times New Roman" w:eastAsia="Times New Roman" w:hAnsi="Times New Roman" w:cs="Times New Roman"/>
          <w:color w:val="000000" w:themeColor="text1"/>
          <w:sz w:val="20"/>
          <w:szCs w:val="20"/>
        </w:rPr>
        <w:t>Ohrožení zdraví nebo životního prostředí je jednání, jímž soutěžitel zkresluje podmínky hospodářské soutěže tím, že provozuje výrobu, uvádí na trh výrobek nebo provádí výkon ohrožující zájem na ochraně zdraví nebo životního prostředí chráněný zákonem, aby tak získal pro sebe nebo pro jiného prospěch na úkor jiného soutěžitele nebo zákazníků.</w:t>
      </w:r>
    </w:p>
    <w:p w:rsidR="00CB35EA" w:rsidRDefault="00CB35EA" w:rsidP="00CB35EA">
      <w:pPr>
        <w:jc w:val="both"/>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 xml:space="preserve">Tato skutková podstata cílí na způsoby agresivního jednání, které je zvlášť zavrženihodné a týká se zdraví a životního prostředí. </w:t>
      </w:r>
      <w:hyperlink r:id="rId12">
        <w:r w:rsidRPr="4E68F815">
          <w:rPr>
            <w:rStyle w:val="Hyperlink"/>
            <w:rFonts w:ascii="Times New Roman" w:eastAsia="Times New Roman" w:hAnsi="Times New Roman" w:cs="Times New Roman"/>
            <w:color w:val="FF4136"/>
            <w:sz w:val="20"/>
            <w:szCs w:val="20"/>
          </w:rPr>
          <w:t>Zákonodárce</w:t>
        </w:r>
      </w:hyperlink>
      <w:r w:rsidRPr="4E68F815">
        <w:rPr>
          <w:rFonts w:ascii="Times New Roman" w:eastAsia="Times New Roman" w:hAnsi="Times New Roman" w:cs="Times New Roman"/>
          <w:color w:val="252525"/>
          <w:sz w:val="20"/>
          <w:szCs w:val="20"/>
        </w:rPr>
        <w:t xml:space="preserve"> se snažil vypíchnout tuto skutkovou podstatu a poukázat na tuto problematiku, jelikož i bez zakotvení ve speciální skutkové podstatě nekalé soutěže by bylo možné uskutečňovat ochranu v této oblasti za pomoci soukromoprávních institutů.</w:t>
      </w:r>
    </w:p>
    <w:p w:rsidR="00CB35EA" w:rsidRDefault="00CB35EA" w:rsidP="00CB35EA">
      <w:pPr>
        <w:jc w:val="both"/>
        <w:rPr>
          <w:rFonts w:ascii="Times New Roman" w:eastAsia="Times New Roman" w:hAnsi="Times New Roman" w:cs="Times New Roman"/>
          <w:color w:val="252525"/>
          <w:sz w:val="20"/>
          <w:szCs w:val="20"/>
        </w:rPr>
      </w:pPr>
      <w:r w:rsidRPr="4E68F815">
        <w:rPr>
          <w:rFonts w:ascii="Times New Roman" w:eastAsia="Times New Roman" w:hAnsi="Times New Roman" w:cs="Times New Roman"/>
          <w:color w:val="252525"/>
          <w:sz w:val="20"/>
          <w:szCs w:val="20"/>
        </w:rPr>
        <w:t>Tato skutková podstata má nejen povahu agresivní, ale i parazitickou. Formulací „ohrožující zájem“ je možno postihovat nejen skutky, kdy dojde ke způsobení škody na zdraví nebo životním prostředí, ale i případy, kdy dojde pouze k jejich ohrožení – jedná se tedy o ohrožovací delikt. Taktéž zde není třeba úmysl způsobit škodu, postačuje, že jednání je způsobilé přivodit újmu</w:t>
      </w:r>
    </w:p>
    <w:p w:rsidR="00CB35EA" w:rsidRDefault="00CB35EA" w:rsidP="00CB35EA">
      <w:pPr>
        <w:ind w:left="357" w:hanging="357"/>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Právní ochrana proti nekalé soutěži</w:t>
      </w:r>
    </w:p>
    <w:p w:rsidR="00CB35EA" w:rsidRDefault="00CB35EA" w:rsidP="00CB35EA">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soukromoprávní prostředky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zdržovací a odstraňovací nárok, náhrada škody, zadostiučinění</w:t>
      </w:r>
    </w:p>
    <w:p w:rsidR="00CB35EA" w:rsidRDefault="00CB35EA" w:rsidP="00CB35EA">
      <w:pPr>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otázka zadostiučinění – NS: </w:t>
      </w:r>
      <w:r w:rsidRPr="4E68F815">
        <w:rPr>
          <w:rFonts w:ascii="Times New Roman" w:eastAsia="Times New Roman" w:hAnsi="Times New Roman" w:cs="Times New Roman"/>
          <w:i/>
          <w:iCs/>
          <w:color w:val="000000" w:themeColor="text1"/>
          <w:sz w:val="20"/>
          <w:szCs w:val="20"/>
        </w:rPr>
        <w:t>„Zaplacení zadostiučinění by mělo pro rušitele představovat určitou finanční újmu, která má vyrovnat porušenou rovnováhu v postavení rušitele a nekalou soutěží dotčené osoby.“</w:t>
      </w:r>
    </w:p>
    <w:p w:rsidR="00F670DA" w:rsidRPr="00CB35EA" w:rsidRDefault="00F670DA">
      <w:bookmarkStart w:id="0" w:name="_GoBack"/>
      <w:bookmarkEnd w:id="0"/>
    </w:p>
    <w:sectPr w:rsidR="00F670DA" w:rsidRPr="00CB3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0A2DD8"/>
    <w:rsid w:val="003D2797"/>
    <w:rsid w:val="00514AEE"/>
    <w:rsid w:val="007A4EED"/>
    <w:rsid w:val="00AE30A8"/>
    <w:rsid w:val="00C65995"/>
    <w:rsid w:val="00CB35EA"/>
    <w:rsid w:val="00D246E8"/>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35EA"/>
  </w:style>
  <w:style w:type="paragraph" w:styleId="Heading1">
    <w:name w:val="heading 1"/>
    <w:basedOn w:val="Normal"/>
    <w:next w:val="Normal"/>
    <w:link w:val="Heading1Char"/>
    <w:uiPriority w:val="9"/>
    <w:qFormat/>
    <w:rsid w:val="00C65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 w:type="character" w:customStyle="1" w:styleId="Heading1Char">
    <w:name w:val="Heading 1 Char"/>
    <w:basedOn w:val="DefaultParagraphFont"/>
    <w:link w:val="Heading1"/>
    <w:uiPriority w:val="9"/>
    <w:rsid w:val="00C659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iurium.cz/index.php?title=Patent&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iurium.cz/w/Obchodn%C3%AD_tajemstv%C3%AD" TargetMode="External"/><Relationship Id="rId12" Type="http://schemas.openxmlformats.org/officeDocument/2006/relationships/hyperlink" Target="http://wiki.iurium.cz/index.php?title=Z%C3%A1konod%C3%A1rce&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iurium.cz/w/Zvl%C3%A1%C5%A1tn%C3%AD_skutkov%C3%A9_podstaty_nekal%C3%A9_sout%C4%9B%C5%BEe" TargetMode="External"/><Relationship Id="rId11" Type="http://schemas.openxmlformats.org/officeDocument/2006/relationships/hyperlink" Target="http://wiki.iurium.cz/index.php?title=Konkuren%C4%8Dn%C3%AD_dolo%C5%BEka&amp;action=edit&amp;redlink=1" TargetMode="External"/><Relationship Id="rId5" Type="http://schemas.openxmlformats.org/officeDocument/2006/relationships/hyperlink" Target="http://wiki.iurium.cz/w/Zvl%C3%A1%C5%A1tn%C3%AD_skutkov%C3%A9_podstaty_nekal%C3%A9_sout%C4%9B%C5%BEe" TargetMode="External"/><Relationship Id="rId10" Type="http://schemas.openxmlformats.org/officeDocument/2006/relationships/hyperlink" Target="http://wiki.iurium.cz/w/Pracovn%C3%AD_pom%C4%9Br" TargetMode="External"/><Relationship Id="rId4" Type="http://schemas.openxmlformats.org/officeDocument/2006/relationships/webSettings" Target="webSettings.xml"/><Relationship Id="rId9" Type="http://schemas.openxmlformats.org/officeDocument/2006/relationships/hyperlink" Target="http://wiki.iurium.cz/index.php?title=Vlastnictv%C3%AD&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1048</Words>
  <Characters>6185</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vyrábí / uvádí na trh nebo poskytuje výkony, které mohou ohrozit zájem na</vt:lpstr>
      <vt:lpstr>Porušení obchodního tajemství</vt:lpstr>
      <vt:lpstr>Ohrožení zdraví nebo životního prostředí</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2020-05-19T09:43:00Z</dcterms:created>
  <dcterms:modified xsi:type="dcterms:W3CDTF">2020-05-19T09:43:00Z</dcterms:modified>
</cp:coreProperties>
</file>