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EBF" w:rsidRDefault="00594EBF" w:rsidP="00594EB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E68F8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16. Veřejné zakázky (zadání veřejné zakázky, zadavatel a dodavatel, zásady zadávání veřejných zakázek, druhy a režimy veřejných zakázek, zadávací řízení, veřejné zakázky malého rozsahu). </w:t>
      </w:r>
    </w:p>
    <w:p w:rsidR="00594EBF" w:rsidRDefault="00594EBF" w:rsidP="00594EBF">
      <w:pPr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1. PRÁVNÍ ÚPRAVA A JEJÍ FUNKCE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je nutno chápat jako úpravu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zvláštního kontraktačního procesu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jehož zamýšleným výsledkem je uzavření obchodní smlouvy mezi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zadavatelem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na straně jedné a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dodavatelem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na straně druhé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§ 2 zákona o zadávání v.z. 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zadáním veřejné zakázky se rozumí uzavření úplatné smlouvy mezi zadavatelem a dodavatelem, z níž vyplývá povinnost dodavatele poskytnout dodávky, služby nebo stavební práce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důvodem zvláštní úpravy 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nutnost ochrany veřejných statků před jejich neefektivním vynakládáním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mbria Math" w:eastAsia="Cambria Math" w:hAnsi="Cambria Math" w:cs="Cambria Math"/>
          <w:color w:val="000000" w:themeColor="text1"/>
          <w:sz w:val="20"/>
          <w:szCs w:val="20"/>
        </w:rPr>
        <w:t xml:space="preserve">↪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potřeba zajistit, aby uzavřená smlouva odpovídala nejlepší možné nabídce + předcházení negativním vlivům jako je korupce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vyhrává ekonomicky nejvýhodnější nabídka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přísná a podrobná regulace celého kontraktačního procesu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ten je značně zformalizovaný a všechny jeho významné fáze jsou upraveny </w:t>
      </w: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(vyhlášené zadání, stanovení požadavků na uchazeče, způsob zpracování nabídek, postup hodnocení nabídek, informační povinnosti, uzavření smlouvy atd.)</w:t>
      </w:r>
    </w:p>
    <w:p w:rsidR="00594EBF" w:rsidRDefault="00594EBF" w:rsidP="00594EBF">
      <w:pPr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:rsidR="00594EBF" w:rsidRDefault="00594EBF" w:rsidP="00594EBF">
      <w:pPr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2. ZÁKLADNÍ ZÁSADY ZADÁVÁNÍ VEŘEJNÝCH ZAKÁZEK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jsou formulovány v § 6 ZZVZ: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i) zásada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transparentnosti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řada podrobných a formalizovaných informačních povinností zadavatele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ii) zásada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přiměřenosti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takové zadání, které bude odpovídat obsahu a rozsahu poptávaného plnění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iii) zásada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rovného zacházení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podrobná úprava vtahu zadavatele vzhledem ke všem uchazečům a veřejnou zakázku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iv) zásada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zákazu diskriminace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vyloučení uchazečů jen na základě zákonných důvodů a zákaz užití některých omezujících podmínek pro účast v zadávacím řízení</w:t>
      </w:r>
    </w:p>
    <w:p w:rsidR="00594EBF" w:rsidRDefault="00594EBF" w:rsidP="00594EBF">
      <w:pPr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3. PRAMENY PRÁVNÍ ÚPRAVY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řada směrnic EU, které upravují právní úpravu veřejných zakázek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mbria Math" w:eastAsia="Cambria Math" w:hAnsi="Cambria Math" w:cs="Cambria Math"/>
          <w:color w:val="000000" w:themeColor="text1"/>
          <w:sz w:val="20"/>
          <w:szCs w:val="20"/>
        </w:rPr>
        <w:t xml:space="preserve">↪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směrnice EP a Rady o zadávání veřejných zakázek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národní právní úpravou je zcela nový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zákon č. 134/2016 Sb., o zadávání veřejných zakázek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zpracoval relevantní unijní směrnice a zrušil starý zákon o veřejných zakázkách z r. 2006</w:t>
      </w:r>
    </w:p>
    <w:p w:rsidR="00594EBF" w:rsidRDefault="00594EBF" w:rsidP="00594EBF">
      <w:pPr>
        <w:ind w:left="357" w:hanging="357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dále je důležitá úprava tzv. nabídkových řízení, která se uplatní ve veřejných službách v přepravě cestujících 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zákon č. 194/2010 Sb., o veřejných službách v přepravě cestujících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cílem je efektivní a hospodárné nakládání s veřejnými zdroji při zjištění dopravní obslužnosti</w:t>
      </w:r>
    </w:p>
    <w:p w:rsidR="00594EBF" w:rsidRDefault="00594EBF" w:rsidP="00594EBF">
      <w:pPr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4. SMLUVNÍ STRANY VE VEŘEJNÝCH ZAKÁZKÁCH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zadavatel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= osoba, které má být na základě smlouvy upravené ustanoveními o zadávání veřejných zakázek poskytnuto plnění, a to za úplatu, jež bude vynaložena z veřejných zdrojů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zákon člení zadavatele na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veřejné zadavatele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a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zadavatele ostatní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(dotovaní a sektoroví)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veřejným zadavatelem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je ČR a org. složky státu, ČNB, státní příspěvkové organizace, ÚSC a jejich příspěvkové organizace a jiné PO, pokud byly založeny nebo zřízeny za účelem uspokojování potřeb veřejného zájmu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lastRenderedPageBreak/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dotovaným zadavatelem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je osoba, která získává veřejnou zakázku hrazenou z více než 50 % z peněžních prostředků poskytnutých z rozpočtu veřejného zadavatele, rozpočtu EU apod., nebo zdroje z těchto rozpočtů přesahují částku 200 mil. Kč; dále se nesmí jednat o zakázky malého rozsahu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sektorovým zadavatelem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je zadavatel disponující zvláštními nebo výhradními právy udělenými k tomu příslušným orgánem VM, a to k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relevantním činnostem ve specifických a v zákoně definovaných oblastech hospodářství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(např. plynárenství, energetika, drážní, veř. doprava apod.)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>možnost spolupráce zadavatelů, která může mít podobu: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a)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centralizované zadávání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provádí centrální zadavatel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b)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přímá spolupráce více zadavatelů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povinnost uzavřít písemnou smlouvu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dodavatel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FO/PO, které mohou potencionálně projevit zájem účastnit se zadávacího řízení, podat nabídku a následně poskytnou i poptávané plnění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pojem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uchazeč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je bezprostředně spojen se samotnou účastí v příslušném zadávacím řízení</w:t>
      </w:r>
    </w:p>
    <w:p w:rsidR="00594EBF" w:rsidRDefault="00594EBF" w:rsidP="00594EBF">
      <w:pPr>
        <w:ind w:left="357" w:hanging="357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vybraný dodavatel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je ten účastník zadávacího řízení, jehož nabídka byla zadavatelem vyhodnocena jako nejlepší a se kterým se rozhodl uzavřít smlouvu</w:t>
      </w:r>
    </w:p>
    <w:p w:rsidR="00594EBF" w:rsidRDefault="00594EBF" w:rsidP="00594EBF">
      <w:pPr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5. POVINNOST ZADAT VEŘEJNOU ZAKÁZKU V ZADÁVACÍM ŘÍZENÍ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zadavatel je ze zákona povinen zadat veřejnou zakázku v zadávacím řízení nebo použít některý z postupů, který je považován za srovnatelný z hlediska naplnění cílů a smyslu zákonné úpravy veřejných zakázek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a) </w:t>
      </w: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  <w:u w:val="single"/>
        </w:rPr>
        <w:t>nepravé výjimky, dané určitým druhem spolupráce zadavatele a dodavatelů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= zákonem předvídané formy spolupráce zadavatelů a dodavatelů, u nichž se díky jejich úzkému vztahu nepovažuje uzavření smlouvy za zadání veřejné zakázky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nebo takové případy, kdy dochází k uzavření smlouvy přímo mezi veřejnými zadavateli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b) </w:t>
      </w: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  <w:u w:val="single"/>
        </w:rPr>
        <w:t>pravé výjimky z povinnosti zadat veřejnou zakázku v zadávacím řízení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i) obecné – bez ohledu na druh zadávacího řízení a předmět veřejné zakázky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ii) zvláštní – vztahují se jen k určitému druhu zadávacího řízení/předmětu VZ</w:t>
      </w:r>
    </w:p>
    <w:p w:rsidR="00594EBF" w:rsidRDefault="00594EBF" w:rsidP="00594EBF">
      <w:pPr>
        <w:ind w:left="357" w:hanging="357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mbria Math" w:eastAsia="Cambria Math" w:hAnsi="Cambria Math" w:cs="Cambria Math"/>
          <w:color w:val="000000" w:themeColor="text1"/>
          <w:sz w:val="20"/>
          <w:szCs w:val="20"/>
        </w:rPr>
        <w:t xml:space="preserve">↪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výjimka pro zakázky malého rozsahu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ale i tak je povinen dodržovat základní zásady zadávacího řízení</w:t>
      </w:r>
    </w:p>
    <w:p w:rsidR="00594EBF" w:rsidRDefault="00594EBF" w:rsidP="00594EBF">
      <w:pPr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6. DRUHY VEŘEJNÝCH ZAKÁZEK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lze je členit ve smyslu zákonné úpravy podle dvou kategorií, a to: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a) </w:t>
      </w: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  <w:u w:val="single"/>
        </w:rPr>
        <w:t>podle předmětu plnění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určení druhu a rozsahu plnění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i)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veřejné zakázky na dodávky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předmětem je pořízení věci, zvířat nebo ovladatelných přírodních sil; pořízením se rozumí zejména koupě, nájem nebo pacht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ii)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veřejné zakázky na služby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plnění spočívá v poskytování služeb, jež nemají souvislost se stavebními pracemi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iii)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veřejné zakázky na stavební práce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zhotovení stavby a poskytnutí souvisejících projektových činností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 xml:space="preserve">b) </w:t>
      </w: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  <w:u w:val="single"/>
        </w:rPr>
        <w:t>podle předpokládané hodnoty veřejné zakázky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 xml:space="preserve"> (stanovuje nařízení vlády)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00594EBF" w:rsidTr="00E4211F">
        <w:tc>
          <w:tcPr>
            <w:tcW w:w="1805" w:type="dxa"/>
          </w:tcPr>
          <w:p w:rsidR="00594EBF" w:rsidRDefault="00594EBF" w:rsidP="00E4211F"/>
        </w:tc>
        <w:tc>
          <w:tcPr>
            <w:tcW w:w="1805" w:type="dxa"/>
          </w:tcPr>
          <w:p w:rsidR="00594EBF" w:rsidRDefault="00594EBF" w:rsidP="00E4211F">
            <w:pPr>
              <w:jc w:val="center"/>
            </w:pPr>
            <w:r w:rsidRPr="4E68F815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Veřejné zakázky na dodávky a služby</w:t>
            </w:r>
          </w:p>
        </w:tc>
        <w:tc>
          <w:tcPr>
            <w:tcW w:w="1805" w:type="dxa"/>
          </w:tcPr>
          <w:p w:rsidR="00594EBF" w:rsidRDefault="00594EBF" w:rsidP="00E4211F"/>
        </w:tc>
        <w:tc>
          <w:tcPr>
            <w:tcW w:w="1805" w:type="dxa"/>
          </w:tcPr>
          <w:p w:rsidR="00594EBF" w:rsidRDefault="00594EBF" w:rsidP="00E4211F">
            <w:pPr>
              <w:jc w:val="center"/>
            </w:pPr>
            <w:r w:rsidRPr="4E68F815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Veřejné zakázky na stavební práce</w:t>
            </w:r>
          </w:p>
        </w:tc>
        <w:tc>
          <w:tcPr>
            <w:tcW w:w="1805" w:type="dxa"/>
          </w:tcPr>
          <w:p w:rsidR="00594EBF" w:rsidRDefault="00594EBF" w:rsidP="00E4211F"/>
        </w:tc>
      </w:tr>
      <w:tr w:rsidR="00594EBF" w:rsidTr="00E4211F">
        <w:tc>
          <w:tcPr>
            <w:tcW w:w="1805" w:type="dxa"/>
          </w:tcPr>
          <w:p w:rsidR="00594EBF" w:rsidRDefault="00594EBF" w:rsidP="00E4211F">
            <w:r w:rsidRPr="4E68F81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805" w:type="dxa"/>
          </w:tcPr>
          <w:p w:rsidR="00594EBF" w:rsidRDefault="00594EBF" w:rsidP="00E4211F">
            <w:pPr>
              <w:jc w:val="center"/>
            </w:pPr>
            <w:r w:rsidRPr="4E68F81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od (včetně)</w:t>
            </w:r>
          </w:p>
        </w:tc>
        <w:tc>
          <w:tcPr>
            <w:tcW w:w="1805" w:type="dxa"/>
          </w:tcPr>
          <w:p w:rsidR="00594EBF" w:rsidRDefault="00594EBF" w:rsidP="00E4211F">
            <w:pPr>
              <w:jc w:val="center"/>
            </w:pPr>
            <w:r w:rsidRPr="4E68F81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do</w:t>
            </w:r>
          </w:p>
        </w:tc>
        <w:tc>
          <w:tcPr>
            <w:tcW w:w="1805" w:type="dxa"/>
          </w:tcPr>
          <w:p w:rsidR="00594EBF" w:rsidRDefault="00594EBF" w:rsidP="00E4211F">
            <w:pPr>
              <w:jc w:val="center"/>
            </w:pPr>
            <w:r w:rsidRPr="4E68F81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od (včetně)</w:t>
            </w:r>
          </w:p>
        </w:tc>
        <w:tc>
          <w:tcPr>
            <w:tcW w:w="1805" w:type="dxa"/>
          </w:tcPr>
          <w:p w:rsidR="00594EBF" w:rsidRDefault="00594EBF" w:rsidP="00E4211F">
            <w:pPr>
              <w:jc w:val="center"/>
            </w:pPr>
            <w:r w:rsidRPr="4E68F81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do</w:t>
            </w:r>
          </w:p>
        </w:tc>
      </w:tr>
      <w:tr w:rsidR="00594EBF" w:rsidTr="00E4211F">
        <w:tc>
          <w:tcPr>
            <w:tcW w:w="1805" w:type="dxa"/>
          </w:tcPr>
          <w:p w:rsidR="00594EBF" w:rsidRDefault="00594EBF" w:rsidP="00E4211F">
            <w:r w:rsidRPr="4E68F815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Veřejná zakázka malého rozsahu</w:t>
            </w:r>
          </w:p>
        </w:tc>
        <w:tc>
          <w:tcPr>
            <w:tcW w:w="1805" w:type="dxa"/>
          </w:tcPr>
          <w:p w:rsidR="00594EBF" w:rsidRDefault="00594EBF" w:rsidP="00E4211F">
            <w:pPr>
              <w:jc w:val="center"/>
            </w:pPr>
            <w:r w:rsidRPr="4E68F81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805" w:type="dxa"/>
          </w:tcPr>
          <w:p w:rsidR="00594EBF" w:rsidRDefault="00594EBF" w:rsidP="00E4211F">
            <w:pPr>
              <w:jc w:val="center"/>
            </w:pPr>
            <w:r w:rsidRPr="4E68F81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2 000 000 Kč</w:t>
            </w:r>
          </w:p>
        </w:tc>
        <w:tc>
          <w:tcPr>
            <w:tcW w:w="1805" w:type="dxa"/>
          </w:tcPr>
          <w:p w:rsidR="00594EBF" w:rsidRDefault="00594EBF" w:rsidP="00E4211F">
            <w:pPr>
              <w:jc w:val="center"/>
            </w:pPr>
            <w:r w:rsidRPr="4E68F81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805" w:type="dxa"/>
          </w:tcPr>
          <w:p w:rsidR="00594EBF" w:rsidRDefault="00594EBF" w:rsidP="00E4211F">
            <w:pPr>
              <w:jc w:val="center"/>
            </w:pPr>
            <w:r w:rsidRPr="4E68F81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6 000 000 Kč</w:t>
            </w:r>
          </w:p>
        </w:tc>
      </w:tr>
      <w:tr w:rsidR="00594EBF" w:rsidTr="00E4211F">
        <w:tc>
          <w:tcPr>
            <w:tcW w:w="1805" w:type="dxa"/>
          </w:tcPr>
          <w:p w:rsidR="00594EBF" w:rsidRDefault="00594EBF" w:rsidP="00E4211F">
            <w:r w:rsidRPr="4E68F815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Podlimitní veřejná zakázka</w:t>
            </w:r>
          </w:p>
        </w:tc>
        <w:tc>
          <w:tcPr>
            <w:tcW w:w="1805" w:type="dxa"/>
          </w:tcPr>
          <w:p w:rsidR="00594EBF" w:rsidRDefault="00594EBF" w:rsidP="00E4211F">
            <w:pPr>
              <w:jc w:val="center"/>
            </w:pPr>
            <w:r w:rsidRPr="4E68F81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2 000 000 Kč</w:t>
            </w:r>
          </w:p>
        </w:tc>
        <w:tc>
          <w:tcPr>
            <w:tcW w:w="1805" w:type="dxa"/>
          </w:tcPr>
          <w:p w:rsidR="00594EBF" w:rsidRDefault="00594EBF" w:rsidP="00E4211F">
            <w:pPr>
              <w:jc w:val="center"/>
            </w:pPr>
            <w:r w:rsidRPr="4E68F81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3 686 000 Kč</w:t>
            </w:r>
          </w:p>
        </w:tc>
        <w:tc>
          <w:tcPr>
            <w:tcW w:w="1805" w:type="dxa"/>
          </w:tcPr>
          <w:p w:rsidR="00594EBF" w:rsidRDefault="00594EBF" w:rsidP="00E4211F">
            <w:pPr>
              <w:jc w:val="center"/>
            </w:pPr>
            <w:r w:rsidRPr="4E68F81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6 000 000 Kč</w:t>
            </w:r>
          </w:p>
        </w:tc>
        <w:tc>
          <w:tcPr>
            <w:tcW w:w="1805" w:type="dxa"/>
          </w:tcPr>
          <w:p w:rsidR="00594EBF" w:rsidRDefault="00594EBF" w:rsidP="00E4211F">
            <w:pPr>
              <w:jc w:val="center"/>
            </w:pPr>
            <w:r w:rsidRPr="4E68F81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142 668 000</w:t>
            </w:r>
          </w:p>
        </w:tc>
      </w:tr>
      <w:tr w:rsidR="00594EBF" w:rsidTr="00E4211F">
        <w:tc>
          <w:tcPr>
            <w:tcW w:w="1805" w:type="dxa"/>
          </w:tcPr>
          <w:p w:rsidR="00594EBF" w:rsidRDefault="00594EBF" w:rsidP="00E4211F">
            <w:r w:rsidRPr="4E68F815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Nadlimitní veřejná zakázka</w:t>
            </w:r>
          </w:p>
        </w:tc>
        <w:tc>
          <w:tcPr>
            <w:tcW w:w="1805" w:type="dxa"/>
          </w:tcPr>
          <w:p w:rsidR="00594EBF" w:rsidRDefault="00594EBF" w:rsidP="00E4211F">
            <w:pPr>
              <w:jc w:val="center"/>
            </w:pPr>
            <w:r w:rsidRPr="4E68F81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3 686 000 Kč</w:t>
            </w:r>
          </w:p>
        </w:tc>
        <w:tc>
          <w:tcPr>
            <w:tcW w:w="1805" w:type="dxa"/>
          </w:tcPr>
          <w:p w:rsidR="00594EBF" w:rsidRDefault="00594EBF" w:rsidP="00E4211F">
            <w:pPr>
              <w:jc w:val="center"/>
            </w:pPr>
            <w:r w:rsidRPr="4E68F81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neurčeno</w:t>
            </w:r>
          </w:p>
        </w:tc>
        <w:tc>
          <w:tcPr>
            <w:tcW w:w="1805" w:type="dxa"/>
          </w:tcPr>
          <w:p w:rsidR="00594EBF" w:rsidRDefault="00594EBF" w:rsidP="00E4211F">
            <w:pPr>
              <w:jc w:val="center"/>
            </w:pPr>
            <w:r w:rsidRPr="4E68F81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142 668 000 Kč</w:t>
            </w:r>
          </w:p>
        </w:tc>
        <w:tc>
          <w:tcPr>
            <w:tcW w:w="1805" w:type="dxa"/>
          </w:tcPr>
          <w:p w:rsidR="00594EBF" w:rsidRDefault="00594EBF" w:rsidP="00E4211F">
            <w:pPr>
              <w:jc w:val="center"/>
            </w:pPr>
            <w:r w:rsidRPr="4E68F81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neurčeno</w:t>
            </w:r>
          </w:p>
        </w:tc>
      </w:tr>
    </w:tbl>
    <w:p w:rsidR="00594EBF" w:rsidRDefault="00594EBF" w:rsidP="00594EBF">
      <w:pPr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7. DRUHY ZADÁVACÍCH ŘÍZENÍ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u </w:t>
      </w: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  <w:u w:val="single"/>
        </w:rPr>
        <w:t>nadlimitních VZ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je základním druhem zadávacích řízení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otevřené řízení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a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užší řízení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mbria Math" w:eastAsia="Cambria Math" w:hAnsi="Cambria Math" w:cs="Cambria Math"/>
          <w:color w:val="000000" w:themeColor="text1"/>
          <w:sz w:val="20"/>
          <w:szCs w:val="20"/>
        </w:rPr>
        <w:t>↪</w:t>
      </w: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otevřené řízení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zveřejnění ve Věstníku veřejných zakázek a Úředním věstníku EU; zadavatel musí stanovit lhůtu pro podání nabídek (min. 30 dní, lze i zkrátit, nesmí být kratší než 22 dnů)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mbria Math" w:eastAsia="Cambria Math" w:hAnsi="Cambria Math" w:cs="Cambria Math"/>
          <w:color w:val="000000" w:themeColor="text1"/>
          <w:sz w:val="20"/>
          <w:szCs w:val="20"/>
        </w:rPr>
        <w:t>↪</w:t>
      </w: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užší řízení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zadavatel taktéž vyzívá neomezený počet dodavatelů, avšak ne k podání nabídky, ale k podání žádosti o účast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nevyloučení dodavatelé poté podávají své nabídky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dále existuje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jednací řízení s uveřejněním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odeslání oznámení vyzývající neomezený počet dodavatelů k podání žádosti o účast v jednacím řízení; poté lze dodavatele zkrátit na počtu a nevyloučení dodavatelé poté podávají své nabídky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dále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jednací řízení bez uveřejnění, soutěžní dialog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(je vyzýván neomezený počet dodavatelů k podání žádosti o účast; s účastníky pak zadavatel vede soutěžní dialog s cílem nalézt řešení způsobilé splnit jeho potřeby)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, inovační partnerství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(zadavatel vymezí fáze inovačního partnerství – proces výzkumu a vývoje + stanovení pravidel pro poskytování odměn partnerům za dosažení dílčích cílů)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u </w:t>
      </w: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  <w:u w:val="single"/>
        </w:rPr>
        <w:t>podlimitních VZ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zjednodušené podlimitní řízení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zadavatel uveřejní výzvu k podání nabídek na svém profilu (lhůta pro podání nabídek nesmí být menší než 11 dnů)</w:t>
      </w:r>
    </w:p>
    <w:p w:rsidR="00594EBF" w:rsidRDefault="00594EBF" w:rsidP="00594EBF">
      <w:pPr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8. PODMÍNKY ÚČASTI V ZADÁVACÍM ŘÍZENÍ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zadávací podmínky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určuje a vymezuje zadavatel 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 xml:space="preserve">veškeré podmínky průběhu zadávacího řízení, </w:t>
      </w: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  <w:u w:val="single"/>
        </w:rPr>
        <w:t>podmínky stanovené pro účast v zadávacím řízení</w:t>
      </w: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, pravidla pro snížení počtu účastníků v zadávacím řízení, pravidla pro hodnocení nabídek, jakož i veškeré další podmínky, které zadavatel vymezil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zadávací podmínky musí být stanoveny komplexně v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zadávacím dokumentaci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, přičemž zadávací podmínky nesmí být stanoveny tak, aby určitým dodavatelům bezdůvodně přímo či nepřímo zaručovaly konkurenční výhodu nebo aby jakkoli vytvářely bezdůvodné překážky pro volnou účast v zadávacím řízení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zadávací dokumentací se rozumí veškeré písemné dokumenty obsahující zadávací podmínky 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primárním obsahem zadávací dokumentace jsou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podmínky účasti v zadávacím řízení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mbria Math" w:eastAsia="Cambria Math" w:hAnsi="Cambria Math" w:cs="Cambria Math"/>
          <w:color w:val="000000" w:themeColor="text1"/>
          <w:sz w:val="20"/>
          <w:szCs w:val="20"/>
        </w:rPr>
        <w:t xml:space="preserve">↪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mezi podmínky účasti v zadávacím řízení patří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podmínky kvalifikace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ty se dělí na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obligatorní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(základní a profesní způsobilost) a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fakultativní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(další profesní způsobilost, ekonomická a technická kvalifikace)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mbria Math" w:eastAsia="Cambria Math" w:hAnsi="Cambria Math" w:cs="Cambria Math"/>
          <w:color w:val="000000" w:themeColor="text1"/>
          <w:sz w:val="20"/>
          <w:szCs w:val="20"/>
        </w:rPr>
        <w:t xml:space="preserve">↪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dále mezi ně patří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technické podmínky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požadavky na vlastnosti předmětu VZ</w:t>
      </w:r>
    </w:p>
    <w:p w:rsidR="00594EBF" w:rsidRDefault="00594EBF" w:rsidP="00594EBF">
      <w:pPr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9. OBRANA PROTI POSTUPU ZADAVATELE A DOZOR NAD ZADÁVÁNÍM VZ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prostředkem obrany dodavatele proti nesprávnému postupu zadavatele je podání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námitek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(do 15 dnů)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námitky lze podat proti: </w:t>
      </w: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všem úkonům nebo opomenutím zadavatele v ZŘ, volbě druhu ZŘ nebo režimu VZ, postupu zadavatele, který směřuje k zadání VZ mimo ZŘ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v námitkách musí dodavatel uvést, kdo je podává, proti čemu směřují a čeho se dodavatel domáhá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zadavatel je povinen o námitkách rozhodnout (pro oba subjekty je zde dána lhůta 15 dnů)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a odeslat rozhodnutí o námitkách (součástí musí být odůvodnění)</w:t>
      </w:r>
    </w:p>
    <w:p w:rsidR="00594EBF" w:rsidRDefault="00594EBF" w:rsidP="00594EBF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pokud zadavatel námitky odmítne, může dodavatel podat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návrh na zahájení řízení o přezkoumání úkonů zadavatele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u ÚOHS (součástí návrhu musí být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kauce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1% z nabídkové ceny navrhovatele – 50k až 1 mil. Kč)</w:t>
      </w:r>
    </w:p>
    <w:p w:rsidR="00F670DA" w:rsidRPr="00553370" w:rsidRDefault="00594EBF" w:rsidP="00594EBF"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na dodržování ZZVZ dohlíží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Úřad pro ochranu hosp. soutěže</w:t>
      </w:r>
      <w:bookmarkStart w:id="0" w:name="_GoBack"/>
      <w:bookmarkEnd w:id="0"/>
    </w:p>
    <w:sectPr w:rsidR="00F670DA" w:rsidRPr="00553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A1800"/>
    <w:multiLevelType w:val="hybridMultilevel"/>
    <w:tmpl w:val="E1506B2A"/>
    <w:lvl w:ilvl="0" w:tplc="CBF0426C">
      <w:start w:val="1"/>
      <w:numFmt w:val="lowerLetter"/>
      <w:lvlText w:val="%1."/>
      <w:lvlJc w:val="left"/>
      <w:pPr>
        <w:ind w:left="720" w:hanging="360"/>
      </w:pPr>
    </w:lvl>
    <w:lvl w:ilvl="1" w:tplc="BCE66F64">
      <w:start w:val="1"/>
      <w:numFmt w:val="lowerLetter"/>
      <w:lvlText w:val="%2."/>
      <w:lvlJc w:val="left"/>
      <w:pPr>
        <w:ind w:left="1440" w:hanging="360"/>
      </w:pPr>
    </w:lvl>
    <w:lvl w:ilvl="2" w:tplc="BAB2EAEA">
      <w:start w:val="1"/>
      <w:numFmt w:val="lowerRoman"/>
      <w:lvlText w:val="%3."/>
      <w:lvlJc w:val="right"/>
      <w:pPr>
        <w:ind w:left="2160" w:hanging="180"/>
      </w:pPr>
    </w:lvl>
    <w:lvl w:ilvl="3" w:tplc="9EF232D8">
      <w:start w:val="1"/>
      <w:numFmt w:val="decimal"/>
      <w:lvlText w:val="%4."/>
      <w:lvlJc w:val="left"/>
      <w:pPr>
        <w:ind w:left="2880" w:hanging="360"/>
      </w:pPr>
    </w:lvl>
    <w:lvl w:ilvl="4" w:tplc="0A78DF70">
      <w:start w:val="1"/>
      <w:numFmt w:val="lowerLetter"/>
      <w:lvlText w:val="%5."/>
      <w:lvlJc w:val="left"/>
      <w:pPr>
        <w:ind w:left="3600" w:hanging="360"/>
      </w:pPr>
    </w:lvl>
    <w:lvl w:ilvl="5" w:tplc="5C405890">
      <w:start w:val="1"/>
      <w:numFmt w:val="lowerRoman"/>
      <w:lvlText w:val="%6."/>
      <w:lvlJc w:val="right"/>
      <w:pPr>
        <w:ind w:left="4320" w:hanging="180"/>
      </w:pPr>
    </w:lvl>
    <w:lvl w:ilvl="6" w:tplc="2146E0AC">
      <w:start w:val="1"/>
      <w:numFmt w:val="decimal"/>
      <w:lvlText w:val="%7."/>
      <w:lvlJc w:val="left"/>
      <w:pPr>
        <w:ind w:left="5040" w:hanging="360"/>
      </w:pPr>
    </w:lvl>
    <w:lvl w:ilvl="7" w:tplc="D8D631BC">
      <w:start w:val="1"/>
      <w:numFmt w:val="lowerLetter"/>
      <w:lvlText w:val="%8."/>
      <w:lvlJc w:val="left"/>
      <w:pPr>
        <w:ind w:left="5760" w:hanging="360"/>
      </w:pPr>
    </w:lvl>
    <w:lvl w:ilvl="8" w:tplc="64D0F7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42899"/>
    <w:multiLevelType w:val="hybridMultilevel"/>
    <w:tmpl w:val="5E22D976"/>
    <w:lvl w:ilvl="0" w:tplc="2BF85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E2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9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CD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E0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23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AC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67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4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EE"/>
    <w:rsid w:val="000A2DD8"/>
    <w:rsid w:val="003032A3"/>
    <w:rsid w:val="003D2797"/>
    <w:rsid w:val="00514AEE"/>
    <w:rsid w:val="00553370"/>
    <w:rsid w:val="00594EBF"/>
    <w:rsid w:val="005B229A"/>
    <w:rsid w:val="006B4025"/>
    <w:rsid w:val="00751AA8"/>
    <w:rsid w:val="007A4EED"/>
    <w:rsid w:val="00AE30A8"/>
    <w:rsid w:val="00BC612F"/>
    <w:rsid w:val="00C65995"/>
    <w:rsid w:val="00CB35EA"/>
    <w:rsid w:val="00D246E8"/>
    <w:rsid w:val="00F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0E60"/>
  <w15:chartTrackingRefBased/>
  <w15:docId w15:val="{3B5365F2-96A3-4ACC-AB1C-1C71F80B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229A"/>
  </w:style>
  <w:style w:type="paragraph" w:styleId="Heading1">
    <w:name w:val="heading 1"/>
    <w:basedOn w:val="Normal"/>
    <w:next w:val="Normal"/>
    <w:link w:val="Heading1Char"/>
    <w:uiPriority w:val="9"/>
    <w:qFormat/>
    <w:rsid w:val="00C65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5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59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1354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2020-05-19T09:49:00Z</dcterms:created>
  <dcterms:modified xsi:type="dcterms:W3CDTF">2020-05-19T09:49:00Z</dcterms:modified>
</cp:coreProperties>
</file>