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35" w:rsidRDefault="00131AD5" w:rsidP="007A0DAE">
      <w:r>
        <w:t xml:space="preserve">21. </w:t>
      </w:r>
      <w:bookmarkStart w:id="0" w:name="_GoBack"/>
      <w:bookmarkEnd w:id="0"/>
      <w:r>
        <w:t xml:space="preserve">Společnost podle občanského práva, tichá společnost </w:t>
      </w:r>
    </w:p>
    <w:p w:rsidR="00131AD5" w:rsidRPr="0073149B" w:rsidRDefault="00131AD5" w:rsidP="00131AD5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73149B">
        <w:rPr>
          <w:rFonts w:cstheme="minorHAnsi"/>
          <w:b/>
          <w:sz w:val="20"/>
          <w:u w:val="single"/>
        </w:rPr>
        <w:t>1. SMLOUVA O SPOLEČNOSTI</w:t>
      </w:r>
    </w:p>
    <w:p w:rsidR="00131AD5" w:rsidRPr="009D687A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Pr="009D687A">
        <w:rPr>
          <w:rFonts w:cstheme="minorHAnsi"/>
          <w:sz w:val="20"/>
        </w:rPr>
        <w:t xml:space="preserve">A) </w:t>
      </w:r>
      <w:r w:rsidRPr="009D687A">
        <w:rPr>
          <w:rFonts w:cstheme="minorHAnsi"/>
          <w:b/>
          <w:sz w:val="20"/>
          <w:u w:val="dotted"/>
        </w:rPr>
        <w:t>pojem a význam společnost</w:t>
      </w:r>
    </w:p>
    <w:p w:rsidR="00131AD5" w:rsidRPr="003F03DE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F03DE">
        <w:rPr>
          <w:rFonts w:cstheme="minorHAnsi"/>
          <w:b/>
          <w:sz w:val="20"/>
          <w:u w:val="single"/>
        </w:rPr>
        <w:t>zaváže-li se smlouvou několik osob sdružit jako společníci za společným účelem činnosti nebo věci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podstatné náležitosti:</w:t>
      </w:r>
      <w:r>
        <w:rPr>
          <w:rFonts w:cstheme="minorHAnsi"/>
          <w:sz w:val="20"/>
        </w:rPr>
        <w:t xml:space="preserve"> a) dohoda o společném účelu, b) ujednání o vkladu či závazku k činnosti</w:t>
      </w:r>
    </w:p>
    <w:p w:rsidR="00131AD5" w:rsidRPr="00B0462B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společnost mohou založit nejméně 2 osoby (FO či PO), „společnost občanského práva“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forma není předepsána (</w:t>
      </w:r>
      <w:r>
        <w:rPr>
          <w:rFonts w:cstheme="minorHAnsi"/>
          <w:b/>
          <w:sz w:val="20"/>
        </w:rPr>
        <w:t>X</w:t>
      </w:r>
      <w:r>
        <w:rPr>
          <w:rFonts w:cstheme="minorHAnsi"/>
          <w:sz w:val="20"/>
        </w:rPr>
        <w:t xml:space="preserve"> pokud je majetkový vklad </w:t>
      </w:r>
      <w:r w:rsidRPr="001223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soupis vkladu společníků s podpisy)</w:t>
      </w:r>
    </w:p>
    <w:p w:rsidR="00131AD5" w:rsidRPr="006F02B6" w:rsidRDefault="00131AD5" w:rsidP="00131AD5">
      <w:pPr>
        <w:pStyle w:val="ListParagraph"/>
        <w:numPr>
          <w:ilvl w:val="1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1. nemá právní subjektivitu</w:t>
      </w:r>
      <w:r>
        <w:rPr>
          <w:rFonts w:cstheme="minorHAnsi"/>
          <w:sz w:val="20"/>
        </w:rPr>
        <w:t xml:space="preserve"> (jde o obligaci)</w:t>
      </w:r>
    </w:p>
    <w:p w:rsidR="00131AD5" w:rsidRPr="006F02B6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410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podílové</w:t>
      </w:r>
      <w:r w:rsidRPr="006F02B6">
        <w:rPr>
          <w:rFonts w:cstheme="minorHAnsi"/>
          <w:sz w:val="20"/>
        </w:rPr>
        <w:t xml:space="preserve"> spoluvlastnictví společníků </w:t>
      </w:r>
      <w:r>
        <w:rPr>
          <w:rFonts w:cstheme="minorHAnsi"/>
          <w:sz w:val="20"/>
        </w:rPr>
        <w:t>(vložený majetek), solidární ručení za dluhy</w:t>
      </w:r>
    </w:p>
    <w:p w:rsidR="00131AD5" w:rsidRDefault="00131AD5" w:rsidP="00131AD5">
      <w:pPr>
        <w:pStyle w:val="ListParagraph"/>
        <w:numPr>
          <w:ilvl w:val="1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270A16">
        <w:rPr>
          <w:rFonts w:cstheme="minorHAnsi"/>
          <w:b/>
          <w:sz w:val="20"/>
        </w:rPr>
        <w:t>2.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společný účel</w:t>
      </w:r>
      <w:r>
        <w:rPr>
          <w:rFonts w:cstheme="minorHAnsi"/>
          <w:sz w:val="20"/>
        </w:rPr>
        <w:t xml:space="preserve"> (výdělečný i nevýdělečný, krátkodobý i dlouhodobý, musí být dovolený)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úprava v OZ převážně </w:t>
      </w:r>
      <w:r>
        <w:rPr>
          <w:rFonts w:cstheme="minorHAnsi"/>
          <w:b/>
          <w:sz w:val="20"/>
        </w:rPr>
        <w:t xml:space="preserve">dispozitivní charakter </w:t>
      </w:r>
      <w:r w:rsidRPr="003F2E63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X </w:t>
      </w:r>
      <w:r w:rsidRPr="003F2E63">
        <w:rPr>
          <w:rFonts w:cstheme="minorHAnsi"/>
          <w:sz w:val="20"/>
        </w:rPr>
        <w:t>z</w:t>
      </w:r>
      <w:r>
        <w:rPr>
          <w:rFonts w:cstheme="minorHAnsi"/>
          <w:sz w:val="20"/>
        </w:rPr>
        <w:t>ákaz lví společnosti, omezení p. na informace)</w:t>
      </w:r>
    </w:p>
    <w:p w:rsidR="00131AD5" w:rsidRPr="00FB0288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výhoda: </w:t>
      </w:r>
      <w:r>
        <w:rPr>
          <w:rFonts w:cstheme="minorHAnsi"/>
          <w:sz w:val="20"/>
        </w:rPr>
        <w:t xml:space="preserve">neformálnost založení </w:t>
      </w:r>
      <w:r w:rsidRPr="0052077F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bez nutnosti smlouvy v kvalifikované formě a registrace v určeném rejstříku X </w:t>
      </w:r>
      <w:r w:rsidRPr="00FB0288">
        <w:rPr>
          <w:rFonts w:cstheme="minorHAnsi"/>
          <w:b/>
          <w:sz w:val="20"/>
        </w:rPr>
        <w:t>nevýhod</w:t>
      </w:r>
      <w:r>
        <w:rPr>
          <w:rFonts w:cstheme="minorHAnsi"/>
          <w:b/>
          <w:sz w:val="20"/>
        </w:rPr>
        <w:t>a:</w:t>
      </w:r>
      <w:r w:rsidRPr="00FB0288">
        <w:rPr>
          <w:rFonts w:cstheme="minorHAnsi"/>
          <w:sz w:val="20"/>
        </w:rPr>
        <w:t xml:space="preserve"> absence právní osobnosti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AB0107">
        <w:rPr>
          <w:rFonts w:cstheme="minorHAnsi"/>
          <w:b/>
          <w:sz w:val="20"/>
          <w:u w:val="single"/>
        </w:rPr>
        <w:t>využití</w:t>
      </w:r>
      <w:r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např. v oblasti veřejných zakázek </w:t>
      </w:r>
      <w:r w:rsidRPr="00CF737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dodavatelé nejsou schopni plnit samostatně, a tak uzavřou smlouvu o společnosti; i </w:t>
      </w:r>
      <w:r w:rsidRPr="009D687A">
        <w:rPr>
          <w:rFonts w:cstheme="minorHAnsi"/>
          <w:sz w:val="20"/>
        </w:rPr>
        <w:t xml:space="preserve">v rámci </w:t>
      </w:r>
      <w:r>
        <w:rPr>
          <w:rFonts w:cstheme="minorHAnsi"/>
          <w:sz w:val="20"/>
        </w:rPr>
        <w:t xml:space="preserve">OK: </w:t>
      </w:r>
      <w:r w:rsidRPr="009D687A">
        <w:rPr>
          <w:rFonts w:cstheme="minorHAnsi"/>
          <w:sz w:val="20"/>
        </w:rPr>
        <w:t xml:space="preserve">např. </w:t>
      </w:r>
      <w:r>
        <w:rPr>
          <w:rFonts w:cstheme="minorHAnsi"/>
          <w:sz w:val="20"/>
        </w:rPr>
        <w:t xml:space="preserve">dohoda o </w:t>
      </w:r>
      <w:r w:rsidRPr="009D687A">
        <w:rPr>
          <w:rFonts w:cstheme="minorHAnsi"/>
          <w:sz w:val="20"/>
        </w:rPr>
        <w:t>hlasování akcionářů</w:t>
      </w:r>
      <w:r>
        <w:rPr>
          <w:rFonts w:cstheme="minorHAnsi"/>
          <w:sz w:val="20"/>
        </w:rPr>
        <w:t>, pomocná funkce u jiných PJ</w:t>
      </w:r>
      <w:r w:rsidRPr="009D687A">
        <w:rPr>
          <w:rFonts w:cstheme="minorHAnsi"/>
        </w:rPr>
        <w:t xml:space="preserve"> </w:t>
      </w:r>
      <w:r w:rsidRPr="009D687A">
        <w:rPr>
          <w:rFonts w:cstheme="minorHAnsi"/>
          <w:sz w:val="20"/>
        </w:rPr>
        <w:t>(na spolek, kt. nebyl zapsán do VR, se použije úprava společnosti)</w:t>
      </w:r>
    </w:p>
    <w:p w:rsidR="00131AD5" w:rsidRPr="009D687A" w:rsidRDefault="00131AD5" w:rsidP="00131AD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pacing w:val="-2"/>
          <w:sz w:val="20"/>
        </w:rPr>
      </w:pPr>
      <w:r w:rsidRPr="009D687A">
        <w:rPr>
          <w:rFonts w:cstheme="minorHAnsi"/>
          <w:spacing w:val="-2"/>
          <w:sz w:val="20"/>
        </w:rPr>
        <w:t>i jako subsidiární úprava u OK (hlavně u osobních společností, u kapitálových max. povinnost loajality)</w:t>
      </w:r>
    </w:p>
    <w:p w:rsidR="00131AD5" w:rsidRPr="00C814DC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B) </w:t>
      </w:r>
      <w:r>
        <w:rPr>
          <w:rFonts w:cstheme="minorHAnsi"/>
          <w:b/>
          <w:sz w:val="20"/>
          <w:u w:val="dotted"/>
        </w:rPr>
        <w:t>P@P</w:t>
      </w:r>
      <w:r w:rsidRPr="00C814DC">
        <w:rPr>
          <w:rFonts w:cstheme="minorHAnsi"/>
          <w:b/>
          <w:sz w:val="20"/>
          <w:u w:val="dotted"/>
        </w:rPr>
        <w:t xml:space="preserve"> společníků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členství</w:t>
      </w:r>
      <w:r w:rsidRPr="00F66B2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je osobní povahy, účast nelze převést na jiného (je to obligace); obsah: vzájemná P@P</w:t>
      </w:r>
    </w:p>
    <w:p w:rsidR="00131AD5" w:rsidRPr="00750C34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>podporovat dosažení společného účelu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loajality</w:t>
      </w:r>
      <w:r w:rsidRPr="00750C34">
        <w:rPr>
          <w:rFonts w:cstheme="minorHAnsi"/>
          <w:sz w:val="20"/>
        </w:rPr>
        <w:t xml:space="preserve"> vůči ostatním společníkům</w:t>
      </w:r>
    </w:p>
    <w:p w:rsidR="00131AD5" w:rsidRPr="00750C34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750C34">
        <w:rPr>
          <w:rFonts w:cstheme="minorHAnsi"/>
          <w:b/>
          <w:sz w:val="20"/>
        </w:rPr>
        <w:t>povinnost přispět</w:t>
      </w:r>
      <w:r>
        <w:rPr>
          <w:rFonts w:cstheme="minorHAnsi"/>
          <w:sz w:val="20"/>
        </w:rPr>
        <w:t>:</w:t>
      </w:r>
      <w:r w:rsidRPr="00750C34">
        <w:rPr>
          <w:rFonts w:cstheme="minorHAnsi"/>
          <w:sz w:val="20"/>
        </w:rPr>
        <w:t xml:space="preserve"> vnést vklad či se zavázat k určité činnosti </w:t>
      </w:r>
      <w:r w:rsidRPr="00B058FD">
        <w:sym w:font="Wingdings" w:char="F0E0"/>
      </w:r>
      <w:r w:rsidRPr="00750C34">
        <w:rPr>
          <w:rFonts w:cstheme="minorHAnsi"/>
          <w:i/>
          <w:sz w:val="20"/>
        </w:rPr>
        <w:t xml:space="preserve">pracovní X kapitálová X smíšená </w:t>
      </w:r>
      <w:r>
        <w:rPr>
          <w:rFonts w:cstheme="minorHAnsi"/>
          <w:i/>
          <w:sz w:val="20"/>
        </w:rPr>
        <w:t>sp.</w:t>
      </w:r>
    </w:p>
    <w:p w:rsidR="00131AD5" w:rsidRPr="00F05D4B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b/>
          <w:sz w:val="20"/>
        </w:rPr>
      </w:pPr>
      <w:r w:rsidRPr="00F05D4B">
        <w:rPr>
          <w:rFonts w:cstheme="minorHAnsi"/>
          <w:sz w:val="20"/>
        </w:rPr>
        <w:t xml:space="preserve">za činnost &gt; právo na podíl na zisku, u věcí &gt; stávají se spoluvlastníky nebo právo užívat/požívat 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zákaz konkurence</w:t>
      </w:r>
      <w:r w:rsidRPr="00F05D4B">
        <w:rPr>
          <w:rFonts w:cstheme="minorHAnsi"/>
          <w:sz w:val="20"/>
        </w:rPr>
        <w:t>: nic, co konkuruje společnému účelu (X výslovný souhlas společníků)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843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1. zdrží se, 2. nahradí škodu, 3. vyloučen, 4. aby jednání bylo prohlášeno „na společný účet“ , 5. postoupení práva na odměnu</w:t>
      </w:r>
    </w:p>
    <w:p w:rsidR="00131AD5" w:rsidRPr="006D3AAC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F05D4B">
        <w:rPr>
          <w:rFonts w:cstheme="minorHAnsi"/>
          <w:b/>
          <w:sz w:val="20"/>
        </w:rPr>
        <w:t>právo na rozdělení majetku</w:t>
      </w:r>
      <w:r>
        <w:rPr>
          <w:rFonts w:cstheme="minorHAnsi"/>
          <w:sz w:val="20"/>
        </w:rPr>
        <w:t xml:space="preserve"> nabytého za trvání společnosti (nejsou-li spoluvl. podíly určeny &gt; jsou stejné) </w:t>
      </w:r>
      <w:r w:rsidRPr="005342E8">
        <w:rPr>
          <w:b/>
        </w:rPr>
        <w:t>X</w:t>
      </w:r>
      <w:r>
        <w:t xml:space="preserve"> </w:t>
      </w:r>
      <w:r w:rsidRPr="00472243">
        <w:rPr>
          <w:rFonts w:cstheme="minorHAnsi"/>
          <w:sz w:val="20"/>
        </w:rPr>
        <w:t xml:space="preserve">zákaz </w:t>
      </w:r>
      <w:r w:rsidRPr="005342E8">
        <w:rPr>
          <w:rFonts w:cstheme="minorHAnsi"/>
          <w:sz w:val="20"/>
          <w:u w:val="single"/>
        </w:rPr>
        <w:t>tzv. lvího podílu</w:t>
      </w:r>
      <w:r w:rsidRPr="00472243">
        <w:rPr>
          <w:rFonts w:cstheme="minorHAnsi"/>
          <w:sz w:val="20"/>
        </w:rPr>
        <w:t xml:space="preserve"> </w:t>
      </w:r>
      <w:r w:rsidRPr="00472243">
        <w:rPr>
          <w:rFonts w:cstheme="minorHAnsi"/>
          <w:i/>
          <w:sz w:val="20"/>
        </w:rPr>
        <w:t>(societas leonina)</w:t>
      </w:r>
      <w:r>
        <w:rPr>
          <w:rFonts w:cstheme="minorHAnsi"/>
          <w:b/>
          <w:i/>
          <w:sz w:val="20"/>
        </w:rPr>
        <w:t xml:space="preserve"> </w:t>
      </w:r>
      <w:r w:rsidRPr="006D3AAC">
        <w:rPr>
          <w:rFonts w:cstheme="minorHAnsi"/>
          <w:sz w:val="20"/>
        </w:rPr>
        <w:t>(</w:t>
      </w:r>
      <w:r>
        <w:rPr>
          <w:rFonts w:cstheme="minorHAnsi"/>
          <w:b/>
          <w:i/>
          <w:sz w:val="20"/>
        </w:rPr>
        <w:t xml:space="preserve">= </w:t>
      </w:r>
      <w:r>
        <w:rPr>
          <w:rFonts w:cstheme="minorHAnsi"/>
          <w:sz w:val="20"/>
        </w:rPr>
        <w:t>vyloučení</w:t>
      </w:r>
      <w:r w:rsidRPr="006D3AAC">
        <w:rPr>
          <w:rFonts w:cstheme="minorHAnsi"/>
          <w:sz w:val="20"/>
        </w:rPr>
        <w:t xml:space="preserve"> společníka z práva na podílu</w:t>
      </w:r>
      <w:r>
        <w:rPr>
          <w:rFonts w:cstheme="minorHAnsi"/>
          <w:sz w:val="20"/>
        </w:rPr>
        <w:t>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>povinnost nést ztrátu</w:t>
      </w:r>
      <w:r>
        <w:rPr>
          <w:rFonts w:cstheme="minorHAnsi"/>
          <w:sz w:val="20"/>
        </w:rPr>
        <w:t xml:space="preserve"> – rovným dílem, lze upravit; vyloučit ji lze, ale nemá účinky proti 3. osobám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2D6">
        <w:rPr>
          <w:rFonts w:cstheme="minorHAnsi"/>
          <w:b/>
          <w:sz w:val="20"/>
        </w:rPr>
        <w:t xml:space="preserve">právo rozhodovat </w:t>
      </w:r>
      <w:r w:rsidRPr="00EF52D6">
        <w:rPr>
          <w:rFonts w:cstheme="minorHAnsi"/>
          <w:sz w:val="20"/>
        </w:rPr>
        <w:t>o záležitostech společnosti</w:t>
      </w:r>
      <w:r>
        <w:rPr>
          <w:rFonts w:cstheme="minorHAnsi"/>
          <w:sz w:val="20"/>
        </w:rPr>
        <w:t xml:space="preserve"> </w:t>
      </w:r>
      <w:r w:rsidRPr="009E4923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většina hlasů </w:t>
      </w:r>
      <w:r>
        <w:rPr>
          <w:rFonts w:cstheme="minorHAnsi"/>
          <w:b/>
          <w:sz w:val="20"/>
        </w:rPr>
        <w:t xml:space="preserve">X </w:t>
      </w:r>
      <w:r>
        <w:rPr>
          <w:rFonts w:cstheme="minorHAnsi"/>
          <w:sz w:val="20"/>
        </w:rPr>
        <w:t>změna smlouvy– jednomyslně; kvórum i počet hlasů na společníka lze smluvně upravit</w:t>
      </w:r>
    </w:p>
    <w:p w:rsidR="00131AD5" w:rsidRPr="00472243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správy</w:t>
      </w:r>
      <w:r>
        <w:rPr>
          <w:rFonts w:cstheme="minorHAnsi"/>
          <w:sz w:val="20"/>
        </w:rPr>
        <w:t xml:space="preserve"> společné věci – ale mohou pověřit správce (může být i třetí osoba)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na informace</w:t>
      </w:r>
      <w:r>
        <w:rPr>
          <w:rFonts w:cstheme="minorHAnsi"/>
          <w:sz w:val="20"/>
        </w:rPr>
        <w:t xml:space="preserve"> – od správce (pravidelná vyúčtování)</w:t>
      </w:r>
    </w:p>
    <w:p w:rsidR="00131AD5" w:rsidRPr="00242C08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C) </w:t>
      </w:r>
      <w:r w:rsidRPr="00242C08">
        <w:rPr>
          <w:rFonts w:cstheme="minorHAnsi"/>
          <w:b/>
          <w:sz w:val="20"/>
          <w:u w:val="dotted"/>
        </w:rPr>
        <w:t>společnost jako organizace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je to obligace, přesto má určité </w:t>
      </w:r>
      <w:r>
        <w:rPr>
          <w:rFonts w:cstheme="minorHAnsi"/>
          <w:b/>
          <w:sz w:val="20"/>
        </w:rPr>
        <w:t>organizační rysy</w:t>
      </w:r>
      <w:r>
        <w:rPr>
          <w:rFonts w:cstheme="minorHAnsi"/>
          <w:sz w:val="20"/>
        </w:rPr>
        <w:t>:</w:t>
      </w:r>
      <w:r>
        <w:rPr>
          <w:rFonts w:cstheme="minorHAnsi"/>
          <w:i/>
          <w:sz w:val="20"/>
        </w:rPr>
        <w:t xml:space="preserve"> </w:t>
      </w:r>
    </w:p>
    <w:p w:rsidR="00131AD5" w:rsidRDefault="00131AD5" w:rsidP="00131AD5">
      <w:pPr>
        <w:pStyle w:val="ListParagraph"/>
        <w:numPr>
          <w:ilvl w:val="1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995D1D">
        <w:rPr>
          <w:rFonts w:cstheme="minorHAnsi"/>
          <w:b/>
          <w:sz w:val="20"/>
        </w:rPr>
        <w:t xml:space="preserve">rozhodování o </w:t>
      </w:r>
      <w:r>
        <w:rPr>
          <w:rFonts w:cstheme="minorHAnsi"/>
          <w:b/>
          <w:sz w:val="20"/>
        </w:rPr>
        <w:t xml:space="preserve">nejvýznamnějších otázkách </w:t>
      </w:r>
      <w:r>
        <w:rPr>
          <w:rFonts w:cstheme="minorHAnsi"/>
          <w:sz w:val="20"/>
        </w:rPr>
        <w:t>– vždy všichni společníci (paralela s nejvyš. orgánem OK)</w:t>
      </w:r>
    </w:p>
    <w:p w:rsidR="00131AD5" w:rsidRDefault="00131AD5" w:rsidP="00131AD5">
      <w:pPr>
        <w:pStyle w:val="ListParagraph"/>
        <w:numPr>
          <w:ilvl w:val="1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správa společnosti</w:t>
      </w:r>
      <w:r>
        <w:rPr>
          <w:rFonts w:cstheme="minorHAnsi"/>
          <w:sz w:val="20"/>
        </w:rPr>
        <w:t xml:space="preserve"> (spol. záležitostí) – všichni společně, popřípadě některý z nich či třetí osoba (záleží na smlouvě); vnitřní záležitosti (plánování výroby, účetnictví), nakládání se spol. majetkem</w:t>
      </w:r>
    </w:p>
    <w:p w:rsidR="00131AD5" w:rsidRDefault="00131AD5" w:rsidP="00131AD5">
      <w:pPr>
        <w:pStyle w:val="ListParagraph"/>
        <w:numPr>
          <w:ilvl w:val="1"/>
          <w:numId w:val="4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zastupování společnosti </w:t>
      </w:r>
      <w:r w:rsidRPr="00865D67">
        <w:rPr>
          <w:rFonts w:cstheme="minorHAnsi"/>
          <w:sz w:val="20"/>
        </w:rPr>
        <w:t xml:space="preserve">(jednání vůči </w:t>
      </w:r>
      <w:r>
        <w:rPr>
          <w:rFonts w:cstheme="minorHAnsi"/>
          <w:sz w:val="20"/>
        </w:rPr>
        <w:t>3.</w:t>
      </w:r>
      <w:r w:rsidRPr="00865D67">
        <w:rPr>
          <w:rFonts w:cstheme="minorHAnsi"/>
          <w:sz w:val="20"/>
        </w:rPr>
        <w:t xml:space="preserve"> osobám)</w:t>
      </w:r>
      <w:r>
        <w:rPr>
          <w:rFonts w:cstheme="minorHAnsi"/>
          <w:sz w:val="20"/>
        </w:rPr>
        <w:t xml:space="preserve"> – všichni společně, jelikož společnost nemá právní subjektivitu, ledaže je smlouvou o zastupování pověřen některý z nich či třetí osoba</w:t>
      </w:r>
    </w:p>
    <w:p w:rsidR="00131AD5" w:rsidRPr="0000248D" w:rsidRDefault="00131AD5" w:rsidP="00131AD5">
      <w:pPr>
        <w:pStyle w:val="ListParagraph"/>
        <w:spacing w:after="6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zde je výjimka – jedná-li kterýkoliv společník </w:t>
      </w:r>
      <w:r w:rsidRPr="00F51D95">
        <w:rPr>
          <w:rFonts w:cstheme="minorHAnsi"/>
          <w:sz w:val="20"/>
          <w:u w:val="single"/>
        </w:rPr>
        <w:t>ve společné záležitosti</w:t>
      </w:r>
      <w:r>
        <w:rPr>
          <w:rFonts w:cstheme="minorHAnsi"/>
          <w:sz w:val="20"/>
        </w:rPr>
        <w:t xml:space="preserve"> se třetí osobou, považuje se za </w:t>
      </w:r>
      <w:r w:rsidRPr="0000248D">
        <w:rPr>
          <w:rFonts w:cstheme="minorHAnsi"/>
          <w:sz w:val="20"/>
        </w:rPr>
        <w:t>příkazníka všech společníků a jeho jednání zavazuje všechny společníky</w:t>
      </w:r>
    </w:p>
    <w:p w:rsidR="00131AD5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D) </w:t>
      </w:r>
      <w:r w:rsidRPr="00EB5736">
        <w:rPr>
          <w:rFonts w:cstheme="minorHAnsi"/>
          <w:b/>
          <w:sz w:val="20"/>
          <w:u w:val="dotted"/>
        </w:rPr>
        <w:t>vznik a záni</w:t>
      </w:r>
      <w:r>
        <w:rPr>
          <w:rFonts w:cstheme="minorHAnsi"/>
          <w:b/>
          <w:sz w:val="20"/>
          <w:u w:val="dotted"/>
        </w:rPr>
        <w:t>k</w:t>
      </w:r>
    </w:p>
    <w:p w:rsidR="00131AD5" w:rsidRPr="00261AE3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261AE3">
        <w:rPr>
          <w:rFonts w:cstheme="minorHAnsi"/>
          <w:b/>
          <w:spacing w:val="-2"/>
          <w:sz w:val="20"/>
        </w:rPr>
        <w:t>vznik</w:t>
      </w:r>
      <w:r w:rsidRPr="00261AE3">
        <w:rPr>
          <w:rFonts w:cstheme="minorHAnsi"/>
          <w:spacing w:val="-2"/>
          <w:sz w:val="20"/>
        </w:rPr>
        <w:t xml:space="preserve">: uzavřením smlouvy </w:t>
      </w:r>
      <w:r w:rsidRPr="00261AE3">
        <w:rPr>
          <w:rFonts w:cstheme="minorHAnsi"/>
          <w:spacing w:val="-2"/>
          <w:sz w:val="20"/>
        </w:rPr>
        <w:sym w:font="Wingdings" w:char="F0E0"/>
      </w:r>
      <w:r w:rsidRPr="00261AE3">
        <w:rPr>
          <w:rFonts w:cstheme="minorHAnsi"/>
          <w:spacing w:val="-2"/>
          <w:sz w:val="20"/>
        </w:rPr>
        <w:t xml:space="preserve"> není předepsaná forma (</w:t>
      </w:r>
      <w:r w:rsidRPr="00261AE3">
        <w:rPr>
          <w:rFonts w:cstheme="minorHAnsi"/>
          <w:b/>
          <w:spacing w:val="-2"/>
          <w:sz w:val="20"/>
        </w:rPr>
        <w:t>X</w:t>
      </w:r>
      <w:r w:rsidRPr="00261AE3">
        <w:rPr>
          <w:rFonts w:cstheme="minorHAnsi"/>
          <w:spacing w:val="-2"/>
          <w:sz w:val="20"/>
        </w:rPr>
        <w:t xml:space="preserve"> zpřísnění formy zvl. zákony – př. z. o advokacii)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lastRenderedPageBreak/>
        <w:t>zánik</w:t>
      </w:r>
      <w:r w:rsidRPr="00032F35">
        <w:rPr>
          <w:rFonts w:cstheme="minorHAnsi"/>
          <w:b/>
          <w:sz w:val="20"/>
        </w:rPr>
        <w:t xml:space="preserve"> členství</w:t>
      </w:r>
      <w:r>
        <w:rPr>
          <w:rFonts w:cstheme="minorHAnsi"/>
          <w:sz w:val="20"/>
        </w:rPr>
        <w:t xml:space="preserve"> </w:t>
      </w:r>
      <w:r w:rsidRPr="00C25952">
        <w:rPr>
          <w:rFonts w:cstheme="minorHAnsi"/>
          <w:sz w:val="20"/>
        </w:rPr>
        <w:t>společníka</w:t>
      </w:r>
      <w:r>
        <w:rPr>
          <w:rFonts w:cstheme="minorHAnsi"/>
          <w:sz w:val="20"/>
        </w:rPr>
        <w:t xml:space="preserve"> &gt; společnost trvá (krom zániku 1 ze 2 společníků &gt; nemůže být 1 společník)</w:t>
      </w:r>
    </w:p>
    <w:p w:rsidR="00131AD5" w:rsidRPr="00032F3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sz w:val="20"/>
        </w:rPr>
      </w:pPr>
      <w:r w:rsidRPr="00032F35">
        <w:rPr>
          <w:rFonts w:cstheme="minorHAnsi"/>
          <w:b/>
          <w:sz w:val="20"/>
        </w:rPr>
        <w:t>vystoupit</w:t>
      </w:r>
      <w:r>
        <w:rPr>
          <w:rFonts w:cstheme="minorHAnsi"/>
          <w:sz w:val="20"/>
        </w:rPr>
        <w:t xml:space="preserve"> </w:t>
      </w: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>
        <w:rPr>
          <w:rFonts w:cstheme="minorHAnsi"/>
          <w:b/>
          <w:sz w:val="20"/>
        </w:rPr>
        <w:t xml:space="preserve">kdykoliv </w:t>
      </w:r>
      <w:r>
        <w:rPr>
          <w:rFonts w:cstheme="minorHAnsi"/>
          <w:sz w:val="20"/>
        </w:rPr>
        <w:t>a to z </w:t>
      </w:r>
      <w:r w:rsidRPr="00032F35">
        <w:rPr>
          <w:rFonts w:cstheme="minorHAnsi"/>
          <w:sz w:val="20"/>
        </w:rPr>
        <w:t xml:space="preserve">jakéhokoliv </w:t>
      </w:r>
      <w:r>
        <w:rPr>
          <w:rFonts w:cstheme="minorHAnsi"/>
          <w:sz w:val="20"/>
        </w:rPr>
        <w:t>či bez důvodu (omezení: nevhodná doba pro společnost, hrozící újma ostatním &gt; pak jen když má vážný důvod</w:t>
      </w:r>
      <w:r w:rsidRPr="00032F35">
        <w:rPr>
          <w:rFonts w:cstheme="minorHAnsi"/>
          <w:sz w:val="20"/>
        </w:rPr>
        <w:t>)</w:t>
      </w:r>
    </w:p>
    <w:p w:rsidR="00131AD5" w:rsidRPr="00C25952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032F35">
        <w:rPr>
          <w:rFonts w:cstheme="minorHAnsi"/>
          <w:b/>
          <w:sz w:val="20"/>
        </w:rPr>
        <w:t>lze</w:t>
      </w:r>
      <w:r>
        <w:rPr>
          <w:rFonts w:cstheme="minorHAnsi"/>
          <w:sz w:val="20"/>
        </w:rPr>
        <w:t xml:space="preserve"> </w:t>
      </w:r>
      <w:r w:rsidRPr="00FB0288">
        <w:rPr>
          <w:rFonts w:cstheme="minorHAnsi"/>
          <w:b/>
          <w:sz w:val="20"/>
        </w:rPr>
        <w:t>vyloučit</w:t>
      </w:r>
      <w:r>
        <w:rPr>
          <w:rFonts w:cstheme="minorHAnsi"/>
          <w:sz w:val="20"/>
        </w:rPr>
        <w:t xml:space="preserve"> (podstatné porušení povinnosti, insolvenční řízení na jeho majetek)</w:t>
      </w:r>
    </w:p>
    <w:p w:rsidR="00131AD5" w:rsidRPr="00C25952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smrtí</w:t>
      </w:r>
      <w:r>
        <w:rPr>
          <w:rFonts w:cstheme="minorHAnsi"/>
          <w:sz w:val="20"/>
        </w:rPr>
        <w:t xml:space="preserve"> (není-li ujednáno, že platí pro dědice jako p. nástupce)</w:t>
      </w:r>
    </w:p>
    <w:p w:rsidR="00131AD5" w:rsidRPr="00C25952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zánik společnosti</w:t>
      </w:r>
      <w:r>
        <w:rPr>
          <w:rFonts w:cstheme="minorHAnsi"/>
          <w:sz w:val="20"/>
        </w:rPr>
        <w:t xml:space="preserve"> – ze zákona:</w:t>
      </w:r>
    </w:p>
    <w:p w:rsidR="00131AD5" w:rsidRPr="0048604B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985"/>
        <w:jc w:val="both"/>
        <w:rPr>
          <w:rFonts w:cstheme="minorHAnsi"/>
          <w:b/>
          <w:sz w:val="20"/>
        </w:rPr>
      </w:pPr>
      <w:r w:rsidRPr="0048604B">
        <w:rPr>
          <w:rFonts w:cstheme="minorHAnsi"/>
          <w:sz w:val="20"/>
        </w:rPr>
        <w:t xml:space="preserve">1. </w:t>
      </w:r>
      <w:r>
        <w:rPr>
          <w:rFonts w:cstheme="minorHAnsi"/>
          <w:b/>
          <w:sz w:val="20"/>
        </w:rPr>
        <w:t xml:space="preserve">dohoda </w:t>
      </w:r>
      <w:r>
        <w:rPr>
          <w:rFonts w:cstheme="minorHAnsi"/>
          <w:sz w:val="20"/>
        </w:rPr>
        <w:t xml:space="preserve">o zániku, 2. </w:t>
      </w:r>
      <w:r>
        <w:rPr>
          <w:rFonts w:cstheme="minorHAnsi"/>
          <w:b/>
          <w:sz w:val="20"/>
        </w:rPr>
        <w:t>splnění</w:t>
      </w:r>
      <w:r>
        <w:rPr>
          <w:rFonts w:cstheme="minorHAnsi"/>
          <w:sz w:val="20"/>
        </w:rPr>
        <w:t xml:space="preserve"> podmínek smlouvy, 3. </w:t>
      </w:r>
      <w:r>
        <w:rPr>
          <w:rFonts w:cstheme="minorHAnsi"/>
          <w:b/>
          <w:sz w:val="20"/>
        </w:rPr>
        <w:t>dosažení účelu</w:t>
      </w:r>
      <w:r>
        <w:rPr>
          <w:rFonts w:cstheme="minorHAnsi"/>
          <w:sz w:val="20"/>
        </w:rPr>
        <w:t xml:space="preserve">, 4. dosažení účelu se stane </w:t>
      </w:r>
      <w:r w:rsidRPr="0048604B">
        <w:rPr>
          <w:rFonts w:cstheme="minorHAnsi"/>
          <w:b/>
          <w:sz w:val="20"/>
        </w:rPr>
        <w:t>nemožným</w:t>
      </w:r>
      <w:r>
        <w:rPr>
          <w:rFonts w:cstheme="minorHAnsi"/>
          <w:sz w:val="20"/>
        </w:rPr>
        <w:t xml:space="preserve">, 5. </w:t>
      </w:r>
      <w:r w:rsidRPr="0048604B">
        <w:rPr>
          <w:rFonts w:cstheme="minorHAnsi"/>
          <w:sz w:val="20"/>
        </w:rPr>
        <w:t>uplynutí</w:t>
      </w:r>
      <w:r>
        <w:rPr>
          <w:rFonts w:cstheme="minorHAnsi"/>
          <w:sz w:val="20"/>
        </w:rPr>
        <w:t xml:space="preserve"> doby, 6. zaniklo členství 1 společníka u 2členné spol.</w:t>
      </w:r>
    </w:p>
    <w:p w:rsidR="00131AD5" w:rsidRPr="00FB0288" w:rsidRDefault="00131AD5" w:rsidP="00131AD5">
      <w:pPr>
        <w:tabs>
          <w:tab w:val="left" w:pos="1135"/>
        </w:tabs>
        <w:spacing w:after="0" w:line="240" w:lineRule="auto"/>
        <w:ind w:left="1080"/>
        <w:jc w:val="both"/>
        <w:rPr>
          <w:rFonts w:cstheme="minorHAnsi"/>
          <w:sz w:val="20"/>
        </w:rPr>
      </w:pPr>
    </w:p>
    <w:p w:rsidR="00131AD5" w:rsidRPr="00FB0288" w:rsidRDefault="00131AD5" w:rsidP="00131AD5">
      <w:pPr>
        <w:tabs>
          <w:tab w:val="left" w:pos="1135"/>
        </w:tabs>
        <w:spacing w:after="60" w:line="240" w:lineRule="auto"/>
        <w:jc w:val="both"/>
        <w:rPr>
          <w:rFonts w:cstheme="minorHAnsi"/>
          <w:b/>
          <w:sz w:val="20"/>
          <w:u w:val="single"/>
        </w:rPr>
      </w:pPr>
      <w:r w:rsidRPr="00FB0288">
        <w:rPr>
          <w:rFonts w:cstheme="minorHAnsi"/>
          <w:b/>
          <w:sz w:val="20"/>
          <w:u w:val="single"/>
        </w:rPr>
        <w:t>2. SMLOUVA O TICHÉ SPOLEČNOSTI</w:t>
      </w:r>
    </w:p>
    <w:p w:rsidR="00131AD5" w:rsidRPr="00FB0288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A) </w:t>
      </w:r>
      <w:r w:rsidRPr="00FB0288">
        <w:rPr>
          <w:rFonts w:cstheme="minorHAnsi"/>
          <w:b/>
          <w:sz w:val="20"/>
          <w:u w:val="dotted"/>
        </w:rPr>
        <w:t>obsah, forma, povaha a funkce</w:t>
      </w:r>
    </w:p>
    <w:p w:rsidR="00131AD5" w:rsidRPr="004D7F36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pacing w:val="-2"/>
          <w:sz w:val="20"/>
        </w:rPr>
      </w:pPr>
      <w:r w:rsidRPr="004D7F36">
        <w:rPr>
          <w:rFonts w:cstheme="minorHAnsi"/>
          <w:spacing w:val="-2"/>
          <w:sz w:val="20"/>
        </w:rPr>
        <w:t xml:space="preserve">tichý společník se </w:t>
      </w:r>
      <w:r w:rsidRPr="004D7F36">
        <w:rPr>
          <w:rFonts w:cstheme="minorHAnsi"/>
          <w:b/>
          <w:spacing w:val="-2"/>
          <w:sz w:val="20"/>
        </w:rPr>
        <w:t>zavazuje k vkladu, kterým se bude podílet</w:t>
      </w:r>
      <w:r w:rsidRPr="004D7F36">
        <w:rPr>
          <w:rFonts w:cstheme="minorHAnsi"/>
          <w:spacing w:val="-2"/>
          <w:sz w:val="20"/>
        </w:rPr>
        <w:t xml:space="preserve"> po celou dobu trvání tiché společnosti </w:t>
      </w:r>
      <w:r w:rsidRPr="00423EC4">
        <w:rPr>
          <w:rFonts w:cstheme="minorHAnsi"/>
          <w:b/>
          <w:i/>
          <w:spacing w:val="-2"/>
          <w:sz w:val="20"/>
        </w:rPr>
        <w:t>na výsledcích</w:t>
      </w:r>
      <w:r w:rsidRPr="004D7F36">
        <w:rPr>
          <w:rFonts w:cstheme="minorHAnsi"/>
          <w:spacing w:val="-2"/>
          <w:sz w:val="20"/>
        </w:rPr>
        <w:t xml:space="preserve"> </w:t>
      </w:r>
      <w:r w:rsidRPr="004D7F36">
        <w:rPr>
          <w:rFonts w:cstheme="minorHAnsi"/>
          <w:b/>
          <w:spacing w:val="-2"/>
          <w:sz w:val="20"/>
        </w:rPr>
        <w:t>podnikání podnikatele</w:t>
      </w:r>
      <w:r w:rsidRPr="004D7F36">
        <w:rPr>
          <w:rFonts w:cstheme="minorHAnsi"/>
          <w:spacing w:val="-2"/>
          <w:sz w:val="20"/>
        </w:rPr>
        <w:t xml:space="preserve">, a podnikatel </w:t>
      </w:r>
      <w:r w:rsidRPr="004D7F36">
        <w:rPr>
          <w:rFonts w:cstheme="minorHAnsi"/>
          <w:b/>
          <w:spacing w:val="-2"/>
          <w:sz w:val="20"/>
        </w:rPr>
        <w:t>se zavazuje platit</w:t>
      </w:r>
      <w:r w:rsidRPr="004D7F36">
        <w:rPr>
          <w:rFonts w:cstheme="minorHAnsi"/>
          <w:spacing w:val="-2"/>
          <w:sz w:val="20"/>
        </w:rPr>
        <w:t xml:space="preserve"> tichému společníkovi </w:t>
      </w:r>
      <w:r w:rsidRPr="004D7F36">
        <w:rPr>
          <w:rFonts w:cstheme="minorHAnsi"/>
          <w:b/>
          <w:spacing w:val="-2"/>
          <w:sz w:val="20"/>
        </w:rPr>
        <w:t>podíl na zisku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  <w:u w:val="single"/>
        </w:rPr>
        <w:t>podstatné náležitosti:</w:t>
      </w:r>
      <w:r>
        <w:rPr>
          <w:rFonts w:cstheme="minorHAnsi"/>
          <w:sz w:val="20"/>
        </w:rPr>
        <w:t xml:space="preserve"> a) povinnost tichého společníka k vkladu</w:t>
      </w:r>
    </w:p>
    <w:p w:rsidR="00131AD5" w:rsidRPr="00355A1E" w:rsidRDefault="00131AD5" w:rsidP="00131AD5">
      <w:pPr>
        <w:spacing w:after="0" w:line="240" w:lineRule="auto"/>
        <w:ind w:left="3261"/>
        <w:jc w:val="both"/>
        <w:rPr>
          <w:rFonts w:cstheme="minorHAnsi"/>
          <w:sz w:val="20"/>
        </w:rPr>
      </w:pPr>
      <w:r w:rsidRPr="00355A1E">
        <w:rPr>
          <w:rFonts w:cstheme="minorHAnsi"/>
          <w:sz w:val="20"/>
        </w:rPr>
        <w:t xml:space="preserve">b) závazek podnikatele platit </w:t>
      </w:r>
      <w:r>
        <w:rPr>
          <w:rFonts w:cstheme="minorHAnsi"/>
          <w:sz w:val="20"/>
        </w:rPr>
        <w:t xml:space="preserve">mu </w:t>
      </w:r>
      <w:r w:rsidRPr="00355A1E">
        <w:rPr>
          <w:rFonts w:cstheme="minorHAnsi"/>
          <w:sz w:val="20"/>
        </w:rPr>
        <w:t>podíl na zisku</w:t>
      </w:r>
    </w:p>
    <w:p w:rsidR="00131AD5" w:rsidRPr="004747A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časté vedlejší náležitosti: výše</w:t>
      </w:r>
      <w:r w:rsidRPr="004747A5">
        <w:rPr>
          <w:rFonts w:cstheme="minorHAnsi"/>
          <w:sz w:val="20"/>
        </w:rPr>
        <w:t xml:space="preserve"> podílu na zisku, </w:t>
      </w:r>
      <w:r>
        <w:rPr>
          <w:rFonts w:cstheme="minorHAnsi"/>
          <w:sz w:val="20"/>
        </w:rPr>
        <w:t>splatnost</w:t>
      </w:r>
      <w:r w:rsidRPr="004747A5">
        <w:rPr>
          <w:rFonts w:cstheme="minorHAnsi"/>
          <w:sz w:val="20"/>
        </w:rPr>
        <w:t>, způsob vložení předmětu vkladu atd.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4747A5">
        <w:rPr>
          <w:rFonts w:cstheme="minorHAnsi"/>
          <w:sz w:val="20"/>
        </w:rPr>
        <w:t>obecný rámec</w:t>
      </w:r>
      <w:r>
        <w:rPr>
          <w:rFonts w:cstheme="minorHAnsi"/>
          <w:sz w:val="20"/>
        </w:rPr>
        <w:t xml:space="preserve"> jednání </w:t>
      </w:r>
      <w:r w:rsidRPr="00401514">
        <w:rPr>
          <w:rFonts w:cstheme="minorHAnsi"/>
          <w:sz w:val="20"/>
        </w:rPr>
        <w:sym w:font="Wingdings" w:char="F0E0"/>
      </w:r>
      <w:r>
        <w:rPr>
          <w:rFonts w:cstheme="minorHAnsi"/>
          <w:b/>
          <w:sz w:val="20"/>
        </w:rPr>
        <w:t>povinnost jednat poctivě</w:t>
      </w:r>
    </w:p>
    <w:p w:rsidR="00131AD5" w:rsidRPr="00AE037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jde o obligační vztah mezi</w:t>
      </w:r>
      <w:r w:rsidRPr="00AE0375">
        <w:rPr>
          <w:rFonts w:cstheme="minorHAnsi"/>
          <w:sz w:val="20"/>
        </w:rPr>
        <w:t xml:space="preserve"> </w:t>
      </w:r>
      <w:r w:rsidRPr="00AE0375">
        <w:rPr>
          <w:rFonts w:cstheme="minorHAnsi"/>
          <w:sz w:val="20"/>
          <w:u w:val="single"/>
        </w:rPr>
        <w:t>podnikatelem</w:t>
      </w:r>
      <w:r>
        <w:rPr>
          <w:rFonts w:cstheme="minorHAnsi"/>
          <w:sz w:val="20"/>
        </w:rPr>
        <w:t xml:space="preserve"> a </w:t>
      </w:r>
      <w:r w:rsidRPr="00AE0375">
        <w:rPr>
          <w:rFonts w:cstheme="minorHAnsi"/>
          <w:sz w:val="20"/>
          <w:u w:val="single"/>
        </w:rPr>
        <w:t>tichým společníkem</w:t>
      </w:r>
      <w:r>
        <w:rPr>
          <w:rFonts w:cstheme="minorHAnsi"/>
          <w:sz w:val="20"/>
        </w:rPr>
        <w:t xml:space="preserve"> (jakákoli FO/PO)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forma není předepsána </w:t>
      </w:r>
    </w:p>
    <w:p w:rsidR="00131AD5" w:rsidRPr="002221C8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funkce: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AE0375">
        <w:rPr>
          <w:rFonts w:cstheme="minorHAnsi"/>
          <w:sz w:val="20"/>
        </w:rPr>
        <w:t>jedním z nástrojů financování podnikatelské činnosti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diskrétní formou účasti na podnikání (kapitálová investice), „tichá účast“ není veřejně deklarována</w:t>
      </w:r>
      <w:r w:rsidRPr="00CE608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není evidována v OR či jiném rejstříku, ani se nezakládá do sbírky listin</w:t>
      </w:r>
    </w:p>
    <w:p w:rsidR="00131AD5" w:rsidRDefault="00131AD5" w:rsidP="00131AD5">
      <w:pPr>
        <w:pStyle w:val="ListParagraph"/>
        <w:spacing w:after="0" w:line="240" w:lineRule="auto"/>
        <w:ind w:left="2977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 xml:space="preserve">možnost zneužití tiché smlouvy </w:t>
      </w:r>
      <w:r w:rsidRPr="00BD5D8A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avšak podléhá sankcím</w:t>
      </w:r>
    </w:p>
    <w:p w:rsidR="00131AD5" w:rsidRPr="00FB118C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B) </w:t>
      </w:r>
      <w:r w:rsidRPr="00FB118C">
        <w:rPr>
          <w:rFonts w:cstheme="minorHAnsi"/>
          <w:b/>
          <w:sz w:val="20"/>
          <w:u w:val="dotted"/>
        </w:rPr>
        <w:t>smluvní strany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 xml:space="preserve">osoba přijímající tichou </w:t>
      </w:r>
      <w:r>
        <w:rPr>
          <w:rFonts w:cstheme="minorHAnsi"/>
          <w:sz w:val="20"/>
        </w:rPr>
        <w:t>účast</w:t>
      </w:r>
      <w:r w:rsidRPr="006A38DA">
        <w:rPr>
          <w:rFonts w:cstheme="minorHAnsi"/>
          <w:b/>
          <w:sz w:val="20"/>
        </w:rPr>
        <w:t xml:space="preserve"> musí být</w:t>
      </w:r>
      <w:r>
        <w:rPr>
          <w:rFonts w:cstheme="minorHAnsi"/>
          <w:b/>
          <w:sz w:val="20"/>
        </w:rPr>
        <w:t xml:space="preserve"> vždy</w:t>
      </w:r>
      <w:r w:rsidRPr="006A38DA">
        <w:rPr>
          <w:rFonts w:cstheme="minorHAnsi"/>
          <w:b/>
          <w:sz w:val="20"/>
        </w:rPr>
        <w:t xml:space="preserve"> podnikatel</w:t>
      </w:r>
      <w:r w:rsidRPr="006A38DA">
        <w:rPr>
          <w:rFonts w:cstheme="minorHAnsi"/>
          <w:sz w:val="20"/>
        </w:rPr>
        <w:t xml:space="preserve"> (výjimka: </w:t>
      </w:r>
      <w:r>
        <w:rPr>
          <w:rFonts w:cstheme="minorHAnsi"/>
          <w:sz w:val="20"/>
        </w:rPr>
        <w:t>nesmí být v.o.s.</w:t>
      </w:r>
      <w:r w:rsidRPr="006A38DA">
        <w:rPr>
          <w:rFonts w:cstheme="minorHAnsi"/>
          <w:sz w:val="20"/>
        </w:rPr>
        <w:t>, musí celý zisk rozdělit mezi společníky)</w:t>
      </w:r>
      <w:r>
        <w:rPr>
          <w:rFonts w:cstheme="minorHAnsi"/>
          <w:sz w:val="20"/>
        </w:rPr>
        <w:t>; tichý společník: jakákoli česká/zahraniční FO/PO</w:t>
      </w:r>
    </w:p>
    <w:p w:rsidR="00131AD5" w:rsidRPr="006A38DA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268"/>
        <w:jc w:val="both"/>
        <w:rPr>
          <w:rFonts w:cstheme="minorHAnsi"/>
          <w:sz w:val="20"/>
        </w:rPr>
      </w:pPr>
      <w:r w:rsidRPr="006A38DA">
        <w:rPr>
          <w:rFonts w:cstheme="minorHAnsi"/>
          <w:sz w:val="20"/>
        </w:rPr>
        <w:t>smlouvu může s OK uzavřít i její společník; s podnikatelem i jeho ZC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podnikatel může uzavřít více smluv o tiché společnosti, nebo jednu smlouvu s více tichými společníky (pak jsou solidárními dlužníky i věřiteli)</w:t>
      </w:r>
    </w:p>
    <w:p w:rsidR="00131AD5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C) </w:t>
      </w:r>
      <w:r w:rsidRPr="00161289">
        <w:rPr>
          <w:rFonts w:cstheme="minorHAnsi"/>
          <w:b/>
          <w:sz w:val="20"/>
          <w:u w:val="dotted"/>
        </w:rPr>
        <w:t>vklad</w:t>
      </w:r>
      <w:r w:rsidRPr="00114E1C">
        <w:rPr>
          <w:rFonts w:cstheme="minorHAnsi"/>
          <w:b/>
          <w:sz w:val="20"/>
          <w:u w:val="dotted"/>
        </w:rPr>
        <w:t xml:space="preserve"> tichého společníka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vklad a předmět vkladu</w:t>
      </w:r>
      <w:r w:rsidRPr="00114E1C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vkladem se rozumí peněžní vyjádření hodnoty předmětu vkladu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F5525">
        <w:rPr>
          <w:rFonts w:cstheme="minorHAnsi"/>
          <w:sz w:val="20"/>
        </w:rPr>
        <w:t>před</w:t>
      </w:r>
      <w:r>
        <w:rPr>
          <w:rFonts w:cstheme="minorHAnsi"/>
          <w:sz w:val="20"/>
        </w:rPr>
        <w:t>mět vkladu = věc, kterou t. společník vkládá do t. společnosti (peníze či jiná (ne)movitá věc)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způsobilé jsou 1. obchodovatelné věci, 2. které lze ocenit v penězích, 3. s nimiž je T společník oprávněn nakládat</w:t>
      </w:r>
    </w:p>
    <w:p w:rsidR="00131AD5" w:rsidRPr="004747A5" w:rsidRDefault="00131AD5" w:rsidP="00131AD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dispozitivní pravidlo – je-li předmětem vkladu nemovitá věc </w:t>
      </w:r>
      <w:r w:rsidRPr="009F03A4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podnikatel nabývá (pouze) užívacího a požívacího práva k nemovitosti; je-li jím movitá věc &gt; má se za to, že se stal vlastníkem</w:t>
      </w:r>
    </w:p>
    <w:p w:rsidR="00131AD5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b/>
          <w:sz w:val="20"/>
          <w:u w:val="dotted"/>
        </w:rPr>
      </w:pPr>
      <w:r>
        <w:rPr>
          <w:rFonts w:cstheme="minorHAnsi"/>
          <w:sz w:val="20"/>
        </w:rPr>
        <w:tab/>
        <w:t xml:space="preserve">D) </w:t>
      </w:r>
      <w:r>
        <w:rPr>
          <w:rFonts w:cstheme="minorHAnsi"/>
          <w:b/>
          <w:sz w:val="20"/>
          <w:u w:val="dotted"/>
        </w:rPr>
        <w:t>P@P</w:t>
      </w:r>
      <w:r w:rsidRPr="00381BC4">
        <w:rPr>
          <w:rFonts w:cstheme="minorHAnsi"/>
          <w:b/>
          <w:sz w:val="20"/>
          <w:u w:val="dotted"/>
        </w:rPr>
        <w:t xml:space="preserve"> smluvních stran</w:t>
      </w:r>
    </w:p>
    <w:p w:rsidR="00131AD5" w:rsidRPr="00B22EC8" w:rsidRDefault="00131AD5" w:rsidP="00131AD5">
      <w:pPr>
        <w:pStyle w:val="ListParagraph"/>
        <w:numPr>
          <w:ilvl w:val="0"/>
          <w:numId w:val="17"/>
        </w:numPr>
        <w:spacing w:after="0" w:line="240" w:lineRule="auto"/>
        <w:ind w:left="993"/>
        <w:jc w:val="both"/>
        <w:rPr>
          <w:rFonts w:cstheme="minorHAnsi"/>
          <w:sz w:val="20"/>
        </w:rPr>
      </w:pPr>
      <w:r w:rsidRPr="00B22EC8">
        <w:rPr>
          <w:rFonts w:cstheme="minorHAnsi"/>
          <w:sz w:val="20"/>
        </w:rPr>
        <w:t>P@P tichého společníka:</w:t>
      </w:r>
    </w:p>
    <w:p w:rsidR="00131AD5" w:rsidRPr="00E9353D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E9353D">
        <w:rPr>
          <w:rFonts w:cstheme="minorHAnsi"/>
          <w:b/>
          <w:sz w:val="20"/>
        </w:rPr>
        <w:t>vkladová povinnost t. společníka:</w:t>
      </w:r>
      <w:r>
        <w:rPr>
          <w:rFonts w:cstheme="minorHAnsi"/>
          <w:sz w:val="20"/>
        </w:rPr>
        <w:t xml:space="preserve"> předat předmět vkladu anebo umožnit s ním nakládat, (nevyplývá-li ze smlouvy jinak) bez zbytečného odkladu po vzniku tiché společnosti</w:t>
      </w:r>
    </w:p>
    <w:p w:rsidR="00131AD5" w:rsidRPr="00A45422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povinnost </w:t>
      </w:r>
      <w:r w:rsidRPr="00A45422">
        <w:rPr>
          <w:rFonts w:cstheme="minorHAnsi"/>
          <w:b/>
          <w:sz w:val="20"/>
        </w:rPr>
        <w:t>ručení</w:t>
      </w:r>
      <w:r>
        <w:rPr>
          <w:rFonts w:cstheme="minorHAnsi"/>
          <w:sz w:val="20"/>
        </w:rPr>
        <w:t xml:space="preserve">: NE, ani primárně ani akcesoricky </w:t>
      </w:r>
      <w:r w:rsidRPr="00A45422">
        <w:rPr>
          <w:rFonts w:cstheme="minorHAnsi"/>
          <w:sz w:val="20"/>
        </w:rPr>
        <w:t>(</w:t>
      </w:r>
      <w:r>
        <w:rPr>
          <w:rFonts w:cstheme="minorHAnsi"/>
          <w:sz w:val="20"/>
        </w:rPr>
        <w:t xml:space="preserve">X </w:t>
      </w:r>
      <w:r w:rsidRPr="00A45422">
        <w:rPr>
          <w:rFonts w:cstheme="minorHAnsi"/>
          <w:sz w:val="20"/>
        </w:rPr>
        <w:t>výjimky: dojde k deklaraci spojení: 1) jeho jméno je obsaženo ve jménu či obch. firmě podnikatele &gt; ručí za všechny dluhy; 2) deklarace jím samotným vůči konkrétní třetí osobě &gt; ručí za dluhy ze smlouvy s touto osobou)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právo kontroly</w:t>
      </w:r>
      <w:r>
        <w:rPr>
          <w:rFonts w:cstheme="minorHAnsi"/>
          <w:sz w:val="20"/>
        </w:rPr>
        <w:t>: dispozitivní právo nahlížet do obchodních dokladů a účetních záznamů (kogentní jen, když prokáže, že záznamy nejsou vedeny správně, poctivě – což prokáže stěží)</w:t>
      </w:r>
    </w:p>
    <w:p w:rsidR="00131AD5" w:rsidRPr="00A45422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A45422">
        <w:rPr>
          <w:rFonts w:cstheme="minorHAnsi"/>
          <w:b/>
          <w:sz w:val="20"/>
        </w:rPr>
        <w:t>právo na stejnopis účetní závěrky</w:t>
      </w:r>
      <w:r>
        <w:rPr>
          <w:rFonts w:cstheme="minorHAnsi"/>
          <w:sz w:val="20"/>
        </w:rPr>
        <w:t>:</w:t>
      </w:r>
      <w:r w:rsidRPr="00A45422">
        <w:rPr>
          <w:rFonts w:cstheme="minorHAnsi"/>
          <w:sz w:val="20"/>
        </w:rPr>
        <w:t xml:space="preserve"> bez zbytečného odkladu po jejím schválení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B22EC8">
        <w:rPr>
          <w:rFonts w:cstheme="minorHAnsi"/>
          <w:b/>
          <w:sz w:val="20"/>
        </w:rPr>
        <w:t>právo na podíl na zisku</w:t>
      </w:r>
      <w:r>
        <w:rPr>
          <w:rFonts w:cstheme="minorHAnsi"/>
          <w:sz w:val="20"/>
        </w:rPr>
        <w:t>: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není-li výše</w:t>
      </w:r>
      <w:r w:rsidRPr="00B22EC8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stanovena smluvně</w:t>
      </w:r>
      <w:r w:rsidRPr="00DC05C9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určí se vzhledem k výši jeho vkladu a zavedené praxi stran, popřípadě vzhledem ke zvyklostem (ale ty se uplatní těžko, když jsou „tiché“)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povinnost</w:t>
      </w:r>
      <w:r w:rsidRPr="00B22EC8">
        <w:rPr>
          <w:rFonts w:cstheme="minorHAnsi"/>
          <w:b/>
          <w:sz w:val="20"/>
        </w:rPr>
        <w:t xml:space="preserve"> n</w:t>
      </w:r>
      <w:r>
        <w:rPr>
          <w:rFonts w:cstheme="minorHAnsi"/>
          <w:b/>
          <w:sz w:val="20"/>
        </w:rPr>
        <w:t>ést</w:t>
      </w:r>
      <w:r w:rsidRPr="00B22EC8">
        <w:rPr>
          <w:rFonts w:cstheme="minorHAnsi"/>
          <w:b/>
          <w:sz w:val="20"/>
        </w:rPr>
        <w:t xml:space="preserve"> podíl na </w:t>
      </w:r>
      <w:r>
        <w:rPr>
          <w:rFonts w:cstheme="minorHAnsi"/>
          <w:b/>
          <w:sz w:val="20"/>
        </w:rPr>
        <w:t>ztrátě</w:t>
      </w:r>
      <w:r>
        <w:rPr>
          <w:rFonts w:cstheme="minorHAnsi"/>
          <w:sz w:val="20"/>
        </w:rPr>
        <w:t xml:space="preserve">: kogentní: </w:t>
      </w:r>
      <w:r w:rsidRPr="00D31F6C">
        <w:rPr>
          <w:rFonts w:cstheme="minorHAnsi"/>
          <w:sz w:val="20"/>
          <w:u w:val="single"/>
        </w:rPr>
        <w:t>podíl na ztrátě je stejný jako podíl na zisku</w:t>
      </w:r>
      <w:r>
        <w:rPr>
          <w:rFonts w:cstheme="minorHAnsi"/>
          <w:sz w:val="20"/>
        </w:rPr>
        <w:t>; jeho vklad se o podíl na ztrátě snižuje &gt; tj. může tak dojít až ke konzumaci vkladu a tím zániku t. společnosti (mohou si ale sjednat, že vklad se nebude snižovat, že uhradí podíl na ztrátě z jiných prostředků)</w:t>
      </w:r>
    </w:p>
    <w:p w:rsidR="00131AD5" w:rsidRPr="00C2014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mlčenlivosti</w:t>
      </w:r>
      <w:r>
        <w:rPr>
          <w:rFonts w:cstheme="minorHAnsi"/>
          <w:sz w:val="20"/>
        </w:rPr>
        <w:t xml:space="preserve"> – mají obě strany</w:t>
      </w:r>
    </w:p>
    <w:p w:rsidR="00131AD5" w:rsidRDefault="00131AD5" w:rsidP="00131AD5">
      <w:pPr>
        <w:pStyle w:val="ListParagraph"/>
        <w:numPr>
          <w:ilvl w:val="0"/>
          <w:numId w:val="17"/>
        </w:numPr>
        <w:spacing w:after="0" w:line="240" w:lineRule="auto"/>
        <w:ind w:left="993"/>
        <w:jc w:val="both"/>
        <w:rPr>
          <w:rFonts w:cstheme="minorHAnsi"/>
          <w:b/>
          <w:sz w:val="20"/>
        </w:rPr>
      </w:pPr>
      <w:r w:rsidRPr="00B22EC8">
        <w:rPr>
          <w:rFonts w:cstheme="minorHAnsi"/>
          <w:sz w:val="20"/>
        </w:rPr>
        <w:t xml:space="preserve">P@P </w:t>
      </w:r>
      <w:r>
        <w:rPr>
          <w:rFonts w:cstheme="minorHAnsi"/>
          <w:sz w:val="20"/>
        </w:rPr>
        <w:t>podnikatele:</w:t>
      </w:r>
    </w:p>
    <w:p w:rsidR="00131AD5" w:rsidRPr="00C20145" w:rsidRDefault="00131AD5" w:rsidP="00131AD5">
      <w:pPr>
        <w:pStyle w:val="ListParagraph"/>
        <w:numPr>
          <w:ilvl w:val="0"/>
          <w:numId w:val="1"/>
        </w:numPr>
        <w:spacing w:after="60" w:line="240" w:lineRule="auto"/>
        <w:ind w:left="1417" w:hanging="357"/>
        <w:jc w:val="both"/>
        <w:rPr>
          <w:rFonts w:cstheme="minorHAnsi"/>
          <w:b/>
          <w:sz w:val="20"/>
        </w:rPr>
      </w:pPr>
      <w:r w:rsidRPr="00C20145">
        <w:rPr>
          <w:rFonts w:cstheme="minorHAnsi"/>
          <w:b/>
          <w:sz w:val="20"/>
        </w:rPr>
        <w:t>povinnost podnikatele podnikat</w:t>
      </w:r>
      <w:r>
        <w:rPr>
          <w:rFonts w:cstheme="minorHAnsi"/>
          <w:sz w:val="20"/>
        </w:rPr>
        <w:t xml:space="preserve"> – to plyne ale spíše z § 6/1: příkaz jednat v právním styku poctivě, dále z §1787/2: P@P se odvozují od účelu smlouvy, kt. má zřejmě sledovat</w:t>
      </w:r>
    </w:p>
    <w:p w:rsidR="00131AD5" w:rsidRPr="001447B0" w:rsidRDefault="00131AD5" w:rsidP="00131AD5">
      <w:pPr>
        <w:tabs>
          <w:tab w:val="left" w:pos="426"/>
        </w:tabs>
        <w:spacing w:after="0" w:line="240" w:lineRule="auto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ab/>
        <w:t xml:space="preserve">E) </w:t>
      </w:r>
      <w:r w:rsidRPr="001447B0">
        <w:rPr>
          <w:rFonts w:cstheme="minorHAnsi"/>
          <w:b/>
          <w:sz w:val="20"/>
          <w:u w:val="dotted"/>
        </w:rPr>
        <w:t>zánik tiché společnosti</w:t>
      </w:r>
    </w:p>
    <w:p w:rsidR="00131AD5" w:rsidRPr="0032061F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>obecná úprava zániku závazků v OZ</w:t>
      </w:r>
      <w:r w:rsidRPr="00C42F16">
        <w:rPr>
          <w:rFonts w:cstheme="minorHAnsi"/>
          <w:sz w:val="20"/>
        </w:rPr>
        <w:sym w:font="Wingdings" w:char="F0E0"/>
      </w:r>
      <w:r>
        <w:rPr>
          <w:rFonts w:cstheme="minorHAnsi"/>
          <w:i/>
          <w:sz w:val="20"/>
        </w:rPr>
        <w:t>např. dohoda stran, uplynutím času, splynutím práv a povinností v jedné osobě, odstoupením ze zákonných či sjednaných důvodů, výpověď smlouvy,…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 xml:space="preserve">↪ </w:t>
      </w:r>
      <w:r>
        <w:rPr>
          <w:rFonts w:cstheme="minorHAnsi"/>
          <w:sz w:val="20"/>
        </w:rPr>
        <w:t>speciální důvody zániku: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konzumace vkladu</w:t>
      </w:r>
      <w:r>
        <w:rPr>
          <w:rFonts w:cstheme="minorHAnsi"/>
          <w:sz w:val="20"/>
        </w:rPr>
        <w:t xml:space="preserve"> (ledaže tichý společník uhradí podíl na ztrátě jinak)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ukončení podnikání, </w:t>
      </w:r>
      <w:r w:rsidRPr="001323C4">
        <w:rPr>
          <w:rFonts w:cstheme="minorHAnsi"/>
          <w:sz w:val="20"/>
        </w:rPr>
        <w:t>kterého se tichá společnost týká</w:t>
      </w:r>
    </w:p>
    <w:p w:rsidR="00131AD5" w:rsidRPr="001323C4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2127"/>
        <w:jc w:val="both"/>
        <w:rPr>
          <w:rFonts w:cstheme="minorHAnsi"/>
          <w:sz w:val="20"/>
        </w:rPr>
      </w:pPr>
      <w:r>
        <w:rPr>
          <w:rFonts w:cstheme="minorHAnsi"/>
          <w:b/>
          <w:sz w:val="20"/>
        </w:rPr>
        <w:t>úpadek</w:t>
      </w:r>
      <w:r>
        <w:rPr>
          <w:rFonts w:cstheme="minorHAnsi"/>
          <w:sz w:val="20"/>
        </w:rPr>
        <w:t xml:space="preserve"> podnikatele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 w:rsidRPr="001323C4">
        <w:rPr>
          <w:rFonts w:cstheme="minorHAnsi"/>
          <w:b/>
          <w:sz w:val="20"/>
        </w:rPr>
        <w:t>vypořádání</w:t>
      </w:r>
      <w:r>
        <w:rPr>
          <w:rFonts w:cstheme="minorHAnsi"/>
          <w:b/>
          <w:sz w:val="20"/>
        </w:rPr>
        <w:t>:</w:t>
      </w:r>
      <w:r>
        <w:rPr>
          <w:rFonts w:cstheme="minorHAnsi"/>
          <w:sz w:val="20"/>
        </w:rPr>
        <w:t xml:space="preserve"> pouze vklad tichého společníka </w:t>
      </w:r>
      <w:r w:rsidRPr="00C811FB">
        <w:rPr>
          <w:rFonts w:cstheme="minorHAnsi"/>
          <w:sz w:val="20"/>
        </w:rPr>
        <w:sym w:font="Wingdings" w:char="F0E0"/>
      </w:r>
      <w:r>
        <w:rPr>
          <w:rFonts w:cstheme="minorHAnsi"/>
          <w:sz w:val="20"/>
        </w:rPr>
        <w:t xml:space="preserve"> povinnost podnikatele vydat mu bez zbytečného odkladu po zániku tiché společnosti jeho vklad upravený o podíl na výsledcích svého podnikání</w:t>
      </w:r>
    </w:p>
    <w:p w:rsidR="00131AD5" w:rsidRDefault="00131AD5" w:rsidP="00131AD5">
      <w:pPr>
        <w:pStyle w:val="ListParagraph"/>
        <w:numPr>
          <w:ilvl w:val="0"/>
          <w:numId w:val="1"/>
        </w:numPr>
        <w:spacing w:after="0" w:line="240" w:lineRule="auto"/>
        <w:ind w:left="1418"/>
        <w:jc w:val="both"/>
        <w:rPr>
          <w:rFonts w:cstheme="minorHAnsi"/>
          <w:sz w:val="20"/>
        </w:rPr>
      </w:pPr>
      <w:r>
        <w:rPr>
          <w:rFonts w:ascii="Cambria Math" w:hAnsi="Cambria Math" w:cs="Cambria Math"/>
          <w:sz w:val="20"/>
        </w:rPr>
        <w:t>↪</w:t>
      </w:r>
      <w:r w:rsidRPr="008D0E47">
        <w:rPr>
          <w:rFonts w:cstheme="minorHAnsi"/>
          <w:sz w:val="20"/>
        </w:rPr>
        <w:t xml:space="preserve"> </w:t>
      </w:r>
      <w:r>
        <w:rPr>
          <w:rFonts w:cstheme="minorHAnsi"/>
          <w:sz w:val="20"/>
        </w:rPr>
        <w:t>t. společníkovi tak vzniká peněžitá pohledávka ve výši vkladu snížená, případně zvýšená o podíl na ztrátě či zisku (+právo na vrácení dosud nevyplaceného podílu na zisku z minulých let)</w:t>
      </w:r>
    </w:p>
    <w:p w:rsidR="002E4735" w:rsidRPr="007A0DAE" w:rsidRDefault="002E4735" w:rsidP="007A0DAE"/>
    <w:sectPr w:rsidR="002E4735" w:rsidRPr="007A0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A611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55894"/>
    <w:multiLevelType w:val="hybridMultilevel"/>
    <w:tmpl w:val="3E6061C4"/>
    <w:lvl w:ilvl="0" w:tplc="0405000F">
      <w:start w:val="1"/>
      <w:numFmt w:val="decimal"/>
      <w:lvlText w:val="%1."/>
      <w:lvlJc w:val="left"/>
      <w:pPr>
        <w:ind w:left="1854" w:hanging="360"/>
      </w:pPr>
    </w:lvl>
    <w:lvl w:ilvl="1" w:tplc="04050019" w:tentative="1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3F972EF"/>
    <w:multiLevelType w:val="hybridMultilevel"/>
    <w:tmpl w:val="055ABC2E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0F33"/>
    <w:multiLevelType w:val="hybridMultilevel"/>
    <w:tmpl w:val="8ADA5EC2"/>
    <w:lvl w:ilvl="0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B6E6B"/>
    <w:multiLevelType w:val="hybridMultilevel"/>
    <w:tmpl w:val="EDAEF2DE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196F1F"/>
    <w:multiLevelType w:val="hybridMultilevel"/>
    <w:tmpl w:val="733E71FA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87E95"/>
    <w:multiLevelType w:val="hybridMultilevel"/>
    <w:tmpl w:val="FF724E12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A3AE2"/>
    <w:multiLevelType w:val="hybridMultilevel"/>
    <w:tmpl w:val="E9A607EC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80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451720"/>
    <w:multiLevelType w:val="hybridMultilevel"/>
    <w:tmpl w:val="C0864DF2"/>
    <w:lvl w:ilvl="0" w:tplc="C9520CFA">
      <w:start w:val="1"/>
      <w:numFmt w:val="bullet"/>
      <w:lvlText w:val="─"/>
      <w:lvlJc w:val="left"/>
      <w:pPr>
        <w:ind w:left="1141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9" w15:restartNumberingAfterBreak="0">
    <w:nsid w:val="3E270D4E"/>
    <w:multiLevelType w:val="hybridMultilevel"/>
    <w:tmpl w:val="5C46829C"/>
    <w:lvl w:ilvl="0" w:tplc="9356B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35D6A"/>
    <w:multiLevelType w:val="hybridMultilevel"/>
    <w:tmpl w:val="EEC21FC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E06647A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8D254C0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C9520CFA">
      <w:start w:val="1"/>
      <w:numFmt w:val="bullet"/>
      <w:lvlText w:val="─"/>
      <w:lvlJc w:val="left"/>
      <w:pPr>
        <w:ind w:left="2880" w:hanging="360"/>
      </w:pPr>
      <w:rPr>
        <w:rFonts w:ascii="Tahoma" w:hAnsi="Tahoma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414D2"/>
    <w:multiLevelType w:val="hybridMultilevel"/>
    <w:tmpl w:val="9208E3F2"/>
    <w:lvl w:ilvl="0" w:tplc="040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8C53355"/>
    <w:multiLevelType w:val="hybridMultilevel"/>
    <w:tmpl w:val="92381382"/>
    <w:lvl w:ilvl="0" w:tplc="4F4EB930">
      <w:start w:val="2"/>
      <w:numFmt w:val="bullet"/>
      <w:pStyle w:val="Bullets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8D254C0">
      <w:start w:val="2"/>
      <w:numFmt w:val="bullet"/>
      <w:lvlText w:val="-"/>
      <w:lvlJc w:val="left"/>
      <w:pPr>
        <w:ind w:left="720" w:hanging="363"/>
      </w:pPr>
      <w:rPr>
        <w:rFonts w:ascii="Times New Roman" w:eastAsia="Times New Roman" w:hAnsi="Times New Roman" w:cs="Times New Roman" w:hint="default"/>
      </w:rPr>
    </w:lvl>
    <w:lvl w:ilvl="2" w:tplc="4DE47F92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3" w:tplc="AB464DC8">
      <w:start w:val="1"/>
      <w:numFmt w:val="bullet"/>
      <w:lvlText w:val="-"/>
      <w:lvlJc w:val="left"/>
      <w:pPr>
        <w:ind w:left="720" w:hanging="363"/>
      </w:pPr>
      <w:rPr>
        <w:rFonts w:ascii="Times New Roman" w:hAnsi="Times New Roman" w:cs="Times New Roman" w:hint="default"/>
      </w:rPr>
    </w:lvl>
    <w:lvl w:ilvl="4" w:tplc="D28A900C">
      <w:start w:val="1"/>
      <w:numFmt w:val="bullet"/>
      <w:lvlText w:val="-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D4F75"/>
    <w:multiLevelType w:val="hybridMultilevel"/>
    <w:tmpl w:val="0DACCB18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763AB"/>
    <w:multiLevelType w:val="hybridMultilevel"/>
    <w:tmpl w:val="69EE4930"/>
    <w:lvl w:ilvl="0" w:tplc="C9520CFA">
      <w:start w:val="1"/>
      <w:numFmt w:val="bullet"/>
      <w:lvlText w:val="─"/>
      <w:lvlJc w:val="left"/>
      <w:pPr>
        <w:ind w:left="720" w:hanging="360"/>
      </w:pPr>
      <w:rPr>
        <w:rFonts w:ascii="Tahoma" w:hAnsi="Tahoma" w:hint="default"/>
      </w:rPr>
    </w:lvl>
    <w:lvl w:ilvl="1" w:tplc="C9520CFA">
      <w:start w:val="1"/>
      <w:numFmt w:val="bullet"/>
      <w:lvlText w:val="─"/>
      <w:lvlJc w:val="left"/>
      <w:pPr>
        <w:ind w:left="1440" w:hanging="360"/>
      </w:pPr>
      <w:rPr>
        <w:rFonts w:ascii="Tahoma" w:hAnsi="Tahoma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43616"/>
    <w:multiLevelType w:val="hybridMultilevel"/>
    <w:tmpl w:val="3744A620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E30BA7"/>
    <w:multiLevelType w:val="hybridMultilevel"/>
    <w:tmpl w:val="64D4A4F6"/>
    <w:lvl w:ilvl="0" w:tplc="C9520CFA">
      <w:start w:val="1"/>
      <w:numFmt w:val="bullet"/>
      <w:lvlText w:val="─"/>
      <w:lvlJc w:val="left"/>
      <w:pPr>
        <w:ind w:left="1080" w:hanging="360"/>
      </w:pPr>
      <w:rPr>
        <w:rFonts w:ascii="Tahoma" w:hAnsi="Tahom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16"/>
  </w:num>
  <w:num w:numId="6">
    <w:abstractNumId w:val="6"/>
  </w:num>
  <w:num w:numId="7">
    <w:abstractNumId w:val="7"/>
  </w:num>
  <w:num w:numId="8">
    <w:abstractNumId w:val="13"/>
  </w:num>
  <w:num w:numId="9">
    <w:abstractNumId w:val="3"/>
  </w:num>
  <w:num w:numId="10">
    <w:abstractNumId w:val="14"/>
  </w:num>
  <w:num w:numId="11">
    <w:abstractNumId w:val="2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9"/>
  </w:num>
  <w:num w:numId="17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0"/>
    <w:rsid w:val="001054F9"/>
    <w:rsid w:val="00131AD5"/>
    <w:rsid w:val="00133210"/>
    <w:rsid w:val="002E4735"/>
    <w:rsid w:val="007A0DAE"/>
    <w:rsid w:val="007F776D"/>
    <w:rsid w:val="00907695"/>
    <w:rsid w:val="00AF1EC4"/>
    <w:rsid w:val="00CA737B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51DE"/>
  <w15:chartTrackingRefBased/>
  <w15:docId w15:val="{34D803D4-50D4-4D05-B4A9-9ED9D89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1EC4"/>
  </w:style>
  <w:style w:type="paragraph" w:styleId="Heading1">
    <w:name w:val="heading 1"/>
    <w:basedOn w:val="Normal"/>
    <w:next w:val="Normal"/>
    <w:link w:val="Heading1Char"/>
    <w:uiPriority w:val="9"/>
    <w:qFormat/>
    <w:rsid w:val="007A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DAE"/>
    <w:pPr>
      <w:keepNext/>
      <w:keepLines/>
      <w:spacing w:before="120" w:after="0" w:line="240" w:lineRule="auto"/>
      <w:jc w:val="both"/>
      <w:outlineLvl w:val="1"/>
    </w:pPr>
    <w:rPr>
      <w:rFonts w:asciiTheme="majorHAnsi" w:eastAsiaTheme="majorEastAsia" w:hAnsiTheme="majorHAnsi" w:cstheme="majorBidi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DAE"/>
    <w:rPr>
      <w:rFonts w:asciiTheme="majorHAnsi" w:eastAsiaTheme="majorEastAsia" w:hAnsiTheme="majorHAnsi" w:cstheme="majorBidi"/>
      <w:sz w:val="28"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DAE"/>
  </w:style>
  <w:style w:type="paragraph" w:styleId="Footer">
    <w:name w:val="footer"/>
    <w:basedOn w:val="Normal"/>
    <w:link w:val="FooterChar"/>
    <w:uiPriority w:val="99"/>
    <w:unhideWhenUsed/>
    <w:rsid w:val="007A0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DAE"/>
  </w:style>
  <w:style w:type="paragraph" w:styleId="ListBullet">
    <w:name w:val="List Bullet"/>
    <w:basedOn w:val="Normal"/>
    <w:uiPriority w:val="99"/>
    <w:unhideWhenUsed/>
    <w:rsid w:val="007A0DAE"/>
    <w:pPr>
      <w:numPr>
        <w:numId w:val="2"/>
      </w:numPr>
      <w:contextualSpacing/>
    </w:pPr>
  </w:style>
  <w:style w:type="paragraph" w:customStyle="1" w:styleId="Bullets">
    <w:name w:val="Bullets"/>
    <w:basedOn w:val="ListParagraph"/>
    <w:qFormat/>
    <w:rsid w:val="007A0DAE"/>
    <w:pPr>
      <w:numPr>
        <w:numId w:val="3"/>
      </w:numPr>
      <w:spacing w:after="0" w:line="240" w:lineRule="auto"/>
      <w:jc w:val="both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1162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2020-05-19T08:47:00Z</dcterms:created>
  <dcterms:modified xsi:type="dcterms:W3CDTF">2020-05-19T08:47:00Z</dcterms:modified>
</cp:coreProperties>
</file>