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79B5B" w14:textId="6FB93110" w:rsidR="00462D63" w:rsidRPr="00B64659" w:rsidRDefault="00462D63" w:rsidP="00462D63">
      <w:pPr>
        <w:autoSpaceDE w:val="0"/>
        <w:autoSpaceDN w:val="0"/>
        <w:adjustRightInd w:val="0"/>
        <w:spacing w:after="0" w:line="240" w:lineRule="auto"/>
        <w:rPr>
          <w:rFonts w:ascii="Times New Roman" w:hAnsi="Times New Roman"/>
          <w:b/>
          <w:sz w:val="20"/>
          <w:szCs w:val="20"/>
          <w:u w:val="single"/>
        </w:rPr>
      </w:pPr>
      <w:r w:rsidRPr="00B64659">
        <w:rPr>
          <w:rFonts w:ascii="Times New Roman" w:hAnsi="Times New Roman"/>
          <w:b/>
          <w:sz w:val="20"/>
          <w:szCs w:val="20"/>
          <w:u w:val="single"/>
        </w:rPr>
        <w:t>2</w:t>
      </w:r>
      <w:r w:rsidR="00B97E5C">
        <w:rPr>
          <w:rFonts w:ascii="Times New Roman" w:hAnsi="Times New Roman"/>
          <w:b/>
          <w:sz w:val="20"/>
          <w:szCs w:val="20"/>
          <w:u w:val="single"/>
        </w:rPr>
        <w:t>7</w:t>
      </w:r>
      <w:bookmarkStart w:id="0" w:name="_GoBack"/>
      <w:bookmarkEnd w:id="0"/>
      <w:r w:rsidRPr="00B64659">
        <w:rPr>
          <w:rFonts w:ascii="Times New Roman" w:hAnsi="Times New Roman"/>
          <w:b/>
          <w:sz w:val="20"/>
          <w:szCs w:val="20"/>
          <w:u w:val="single"/>
        </w:rPr>
        <w:t xml:space="preserve">. </w:t>
      </w:r>
      <w:r w:rsidR="00B64659">
        <w:rPr>
          <w:rFonts w:ascii="Times New Roman" w:hAnsi="Times New Roman"/>
          <w:b/>
          <w:sz w:val="20"/>
          <w:szCs w:val="20"/>
          <w:u w:val="single"/>
        </w:rPr>
        <w:t>Druhy a formy akcíí. Práva a povinnosti akcionářů.</w:t>
      </w:r>
    </w:p>
    <w:p w14:paraId="1F1FCEBF" w14:textId="77777777" w:rsidR="00462D63" w:rsidRPr="00B64659" w:rsidRDefault="00462D63" w:rsidP="00462D63">
      <w:pPr>
        <w:rPr>
          <w:rFonts w:ascii="Times New Roman" w:hAnsi="Times New Roman"/>
          <w:b/>
          <w:sz w:val="20"/>
          <w:szCs w:val="20"/>
        </w:rPr>
      </w:pPr>
    </w:p>
    <w:p w14:paraId="224B4350" w14:textId="77777777" w:rsidR="00462D63" w:rsidRPr="00B64659" w:rsidRDefault="00462D63" w:rsidP="00462D63">
      <w:pPr>
        <w:spacing w:line="240" w:lineRule="auto"/>
        <w:rPr>
          <w:rFonts w:ascii="Times New Roman" w:hAnsi="Times New Roman"/>
          <w:sz w:val="20"/>
          <w:szCs w:val="20"/>
        </w:rPr>
      </w:pPr>
      <w:r w:rsidRPr="00B64659">
        <w:rPr>
          <w:rFonts w:ascii="Times New Roman" w:hAnsi="Times New Roman"/>
          <w:b/>
          <w:sz w:val="20"/>
          <w:szCs w:val="20"/>
        </w:rPr>
        <w:t>Akcie</w:t>
      </w:r>
      <w:r w:rsidRPr="00B64659">
        <w:rPr>
          <w:rFonts w:ascii="Times New Roman" w:hAnsi="Times New Roman"/>
          <w:sz w:val="20"/>
          <w:szCs w:val="20"/>
        </w:rPr>
        <w:t xml:space="preserve"> je jedním z CP které může vydávat pouze a.s., je soukromým CP, jelikož a.s. je PO soukromého práva, akcie téže a.s., které mají stejnou formu a podobu jsou zastupitelným CP, zni kají z nich stejná práva, zastupitelné nejsou listinné akcie na jméno – jejichž náležitostí je jméno jejich vlastníka.</w:t>
      </w:r>
    </w:p>
    <w:p w14:paraId="3C622A4E" w14:textId="77777777" w:rsidR="00462D63" w:rsidRPr="00B64659" w:rsidRDefault="00462D63" w:rsidP="00462D63">
      <w:pPr>
        <w:spacing w:line="240" w:lineRule="auto"/>
        <w:rPr>
          <w:rFonts w:ascii="Times New Roman" w:hAnsi="Times New Roman"/>
          <w:sz w:val="20"/>
          <w:szCs w:val="20"/>
        </w:rPr>
      </w:pPr>
      <w:r w:rsidRPr="00B64659">
        <w:rPr>
          <w:rFonts w:ascii="Times New Roman" w:hAnsi="Times New Roman"/>
          <w:sz w:val="20"/>
          <w:szCs w:val="20"/>
        </w:rPr>
        <w:t>Výnosy z akcie může mít dvojí podobu</w:t>
      </w:r>
    </w:p>
    <w:p w14:paraId="1CFDCECD" w14:textId="77777777" w:rsidR="00462D63" w:rsidRPr="00B64659" w:rsidRDefault="00462D63" w:rsidP="00462D63">
      <w:pPr>
        <w:pStyle w:val="ListParagraph"/>
        <w:numPr>
          <w:ilvl w:val="0"/>
          <w:numId w:val="1"/>
        </w:numPr>
        <w:spacing w:line="240" w:lineRule="auto"/>
        <w:rPr>
          <w:rFonts w:ascii="Times New Roman" w:hAnsi="Times New Roman"/>
          <w:sz w:val="20"/>
          <w:szCs w:val="20"/>
        </w:rPr>
      </w:pPr>
      <w:r w:rsidRPr="00B64659">
        <w:rPr>
          <w:rFonts w:ascii="Times New Roman" w:hAnsi="Times New Roman"/>
          <w:sz w:val="20"/>
          <w:szCs w:val="20"/>
        </w:rPr>
        <w:t>Podíl na zisku dosaženém z hospodaření a.s.</w:t>
      </w:r>
    </w:p>
    <w:p w14:paraId="4FF3477E" w14:textId="77777777" w:rsidR="00462D63" w:rsidRPr="00B64659" w:rsidRDefault="00462D63" w:rsidP="00462D63">
      <w:pPr>
        <w:pStyle w:val="ListParagraph"/>
        <w:numPr>
          <w:ilvl w:val="0"/>
          <w:numId w:val="1"/>
        </w:numPr>
        <w:spacing w:line="240" w:lineRule="auto"/>
        <w:rPr>
          <w:rFonts w:ascii="Times New Roman" w:hAnsi="Times New Roman"/>
          <w:sz w:val="20"/>
          <w:szCs w:val="20"/>
        </w:rPr>
      </w:pPr>
      <w:r w:rsidRPr="00B64659">
        <w:rPr>
          <w:rFonts w:ascii="Times New Roman" w:hAnsi="Times New Roman"/>
          <w:sz w:val="20"/>
          <w:szCs w:val="20"/>
        </w:rPr>
        <w:t>Dividendy – valná hromada a.s. mlže při splnění zákonem stanovených podmínek rozhodnout o rozdělení zisku mezi akcionáře</w:t>
      </w:r>
    </w:p>
    <w:p w14:paraId="430A8F61" w14:textId="77777777" w:rsidR="00462D63" w:rsidRPr="00B64659" w:rsidRDefault="00462D63" w:rsidP="00462D63">
      <w:pPr>
        <w:spacing w:line="240" w:lineRule="auto"/>
        <w:rPr>
          <w:rFonts w:ascii="Times New Roman" w:hAnsi="Times New Roman"/>
          <w:sz w:val="20"/>
          <w:szCs w:val="20"/>
        </w:rPr>
      </w:pPr>
      <w:r w:rsidRPr="00B64659">
        <w:rPr>
          <w:rFonts w:ascii="Times New Roman" w:hAnsi="Times New Roman"/>
          <w:sz w:val="20"/>
          <w:szCs w:val="20"/>
        </w:rPr>
        <w:t>Výnos z akcie není zaručený ale spekulativní.</w:t>
      </w:r>
    </w:p>
    <w:p w14:paraId="072B5794" w14:textId="77777777" w:rsidR="00462D63" w:rsidRPr="00B64659" w:rsidRDefault="00462D63" w:rsidP="00462D63">
      <w:pPr>
        <w:spacing w:after="0" w:line="240" w:lineRule="auto"/>
        <w:jc w:val="both"/>
        <w:rPr>
          <w:rFonts w:ascii="Times New Roman" w:hAnsi="Times New Roman"/>
          <w:b/>
          <w:sz w:val="20"/>
          <w:szCs w:val="20"/>
        </w:rPr>
      </w:pPr>
    </w:p>
    <w:p w14:paraId="24CB8C5A" w14:textId="77777777" w:rsidR="00462D63" w:rsidRPr="00B64659" w:rsidRDefault="00462D63" w:rsidP="00462D63">
      <w:pPr>
        <w:pStyle w:val="Heading3"/>
        <w:spacing w:before="0" w:after="0"/>
        <w:rPr>
          <w:rFonts w:ascii="Times New Roman" w:hAnsi="Times New Roman" w:cs="Times New Roman"/>
          <w:sz w:val="20"/>
          <w:szCs w:val="20"/>
        </w:rPr>
      </w:pPr>
      <w:r w:rsidRPr="00B64659">
        <w:rPr>
          <w:rFonts w:ascii="Times New Roman" w:hAnsi="Times New Roman" w:cs="Times New Roman"/>
          <w:sz w:val="20"/>
          <w:szCs w:val="20"/>
        </w:rPr>
        <w:t>Akcie</w:t>
      </w:r>
    </w:p>
    <w:p w14:paraId="2FD42C64" w14:textId="77777777" w:rsidR="00462D63" w:rsidRPr="00B64659" w:rsidRDefault="00462D63" w:rsidP="00462D63">
      <w:pPr>
        <w:pStyle w:val="goccl6"/>
        <w:spacing w:before="0" w:beforeAutospacing="0" w:after="0" w:afterAutospacing="0"/>
        <w:rPr>
          <w:sz w:val="20"/>
          <w:szCs w:val="20"/>
        </w:rPr>
      </w:pPr>
      <w:r w:rsidRPr="00B64659">
        <w:rPr>
          <w:sz w:val="20"/>
          <w:szCs w:val="20"/>
        </w:rPr>
        <w:t>Akcie je cenný papír nebo zaknihovaný cenný papír, s nímž jsou spojena práva akcionáře jako společníka podílet se na řízení, zisku a na likvidačním zůstatku při jejím zrušení s likvidací.</w:t>
      </w:r>
    </w:p>
    <w:p w14:paraId="79B7CE0B" w14:textId="77777777" w:rsidR="00462D63" w:rsidRPr="00B64659" w:rsidRDefault="00462D63" w:rsidP="00462D63">
      <w:pPr>
        <w:pStyle w:val="goccl6"/>
        <w:spacing w:before="0" w:beforeAutospacing="0" w:after="0" w:afterAutospacing="0"/>
        <w:rPr>
          <w:sz w:val="20"/>
          <w:szCs w:val="20"/>
        </w:rPr>
      </w:pPr>
    </w:p>
    <w:p w14:paraId="1B687469" w14:textId="77777777" w:rsidR="00462D63" w:rsidRPr="00B64659" w:rsidRDefault="00462D63" w:rsidP="00462D63">
      <w:pPr>
        <w:pStyle w:val="goccl7"/>
        <w:spacing w:before="0" w:beforeAutospacing="0" w:after="0" w:afterAutospacing="0"/>
        <w:rPr>
          <w:sz w:val="20"/>
          <w:szCs w:val="20"/>
        </w:rPr>
      </w:pPr>
      <w:r w:rsidRPr="00B64659">
        <w:rPr>
          <w:sz w:val="20"/>
          <w:szCs w:val="20"/>
        </w:rPr>
        <w:t xml:space="preserve">Do splacení emisního kursu akcie představují akcionářská práva a povinnosti nesplacenou akcii, nebyl-li vydán </w:t>
      </w:r>
      <w:r w:rsidRPr="00B64659">
        <w:rPr>
          <w:b/>
          <w:sz w:val="20"/>
          <w:szCs w:val="20"/>
        </w:rPr>
        <w:t>zatímní list.</w:t>
      </w:r>
      <w:r w:rsidRPr="00B64659">
        <w:rPr>
          <w:sz w:val="20"/>
          <w:szCs w:val="20"/>
        </w:rPr>
        <w:t xml:space="preserve"> ( práva a povinnosti spojená s nesplacenou akcií, cenný papír na řad)</w:t>
      </w:r>
    </w:p>
    <w:p w14:paraId="11468FBA" w14:textId="77777777" w:rsidR="00462D63" w:rsidRPr="00B64659" w:rsidRDefault="00462D63" w:rsidP="00462D63">
      <w:pPr>
        <w:pStyle w:val="goccl6"/>
        <w:spacing w:before="0" w:beforeAutospacing="0" w:after="0" w:afterAutospacing="0"/>
        <w:rPr>
          <w:sz w:val="20"/>
          <w:szCs w:val="20"/>
        </w:rPr>
      </w:pPr>
    </w:p>
    <w:p w14:paraId="5B049328" w14:textId="77777777" w:rsidR="00462D63" w:rsidRPr="00B64659" w:rsidRDefault="00462D63" w:rsidP="00462D63">
      <w:pPr>
        <w:pStyle w:val="Heading3"/>
        <w:spacing w:before="0" w:after="0"/>
        <w:rPr>
          <w:rFonts w:ascii="Times New Roman" w:hAnsi="Times New Roman" w:cs="Times New Roman"/>
          <w:sz w:val="20"/>
          <w:szCs w:val="20"/>
        </w:rPr>
      </w:pPr>
      <w:r w:rsidRPr="00B64659">
        <w:rPr>
          <w:rFonts w:ascii="Times New Roman" w:hAnsi="Times New Roman" w:cs="Times New Roman"/>
          <w:sz w:val="20"/>
          <w:szCs w:val="20"/>
        </w:rPr>
        <w:t>Kusové akcie</w:t>
      </w:r>
    </w:p>
    <w:p w14:paraId="598E5566" w14:textId="77777777" w:rsidR="00462D63" w:rsidRPr="00B64659" w:rsidRDefault="00462D63" w:rsidP="00462D63">
      <w:pPr>
        <w:pStyle w:val="goccl6"/>
        <w:spacing w:before="0" w:beforeAutospacing="0" w:after="0" w:afterAutospacing="0"/>
        <w:rPr>
          <w:sz w:val="20"/>
          <w:szCs w:val="20"/>
        </w:rPr>
      </w:pPr>
      <w:r w:rsidRPr="00B64659">
        <w:rPr>
          <w:sz w:val="20"/>
          <w:szCs w:val="20"/>
        </w:rPr>
        <w:t>Určí-li tak stanovy, může společnost vydat akcie, které nemají jmenovitou hodnotu a představují stejné podíly na základním kapitálu společnosti (dále jen „kusové akcie“).</w:t>
      </w:r>
    </w:p>
    <w:p w14:paraId="446F0B29" w14:textId="77777777" w:rsidR="00462D63" w:rsidRPr="00B64659" w:rsidRDefault="00462D63" w:rsidP="00462D63">
      <w:pPr>
        <w:pStyle w:val="goccl6"/>
        <w:spacing w:before="0" w:beforeAutospacing="0" w:after="0" w:afterAutospacing="0"/>
        <w:rPr>
          <w:sz w:val="20"/>
          <w:szCs w:val="20"/>
        </w:rPr>
      </w:pPr>
      <w:r w:rsidRPr="00B64659">
        <w:rPr>
          <w:sz w:val="20"/>
          <w:szCs w:val="20"/>
        </w:rPr>
        <w:t>Vydá-li společnost kusové akcie, nemůže vydat nebo mít vydány akcie se jmenovitou hodnotou.</w:t>
      </w:r>
    </w:p>
    <w:p w14:paraId="730C0D51" w14:textId="77777777" w:rsidR="00462D63" w:rsidRPr="00B64659" w:rsidRDefault="00462D63" w:rsidP="00462D63">
      <w:pPr>
        <w:pStyle w:val="goccl6"/>
        <w:spacing w:before="0" w:beforeAutospacing="0" w:after="0" w:afterAutospacing="0"/>
        <w:rPr>
          <w:rStyle w:val="HTMLVariable"/>
          <w:sz w:val="20"/>
          <w:szCs w:val="20"/>
        </w:rPr>
      </w:pPr>
    </w:p>
    <w:p w14:paraId="3067CC12" w14:textId="77777777" w:rsidR="00462D63" w:rsidRPr="00B64659" w:rsidRDefault="00462D63" w:rsidP="00462D63">
      <w:pPr>
        <w:pStyle w:val="goccl6"/>
        <w:spacing w:before="0" w:beforeAutospacing="0" w:after="0" w:afterAutospacing="0"/>
        <w:rPr>
          <w:sz w:val="20"/>
          <w:szCs w:val="20"/>
        </w:rPr>
      </w:pPr>
      <w:r w:rsidRPr="00B64659">
        <w:rPr>
          <w:sz w:val="20"/>
          <w:szCs w:val="20"/>
        </w:rPr>
        <w:t>Akcie obsahuje:</w:t>
      </w:r>
    </w:p>
    <w:p w14:paraId="190C9AE5" w14:textId="77777777" w:rsidR="00462D63" w:rsidRPr="00B64659" w:rsidRDefault="00462D63" w:rsidP="00462D63">
      <w:pPr>
        <w:pStyle w:val="goccl7"/>
        <w:spacing w:before="0" w:beforeAutospacing="0" w:after="0" w:afterAutospacing="0"/>
        <w:rPr>
          <w:sz w:val="20"/>
          <w:szCs w:val="20"/>
        </w:rPr>
      </w:pPr>
      <w:r w:rsidRPr="00B64659">
        <w:rPr>
          <w:rStyle w:val="HTMLVariable"/>
          <w:sz w:val="20"/>
          <w:szCs w:val="20"/>
        </w:rPr>
        <w:t>a)</w:t>
      </w:r>
      <w:r w:rsidRPr="00B64659">
        <w:rPr>
          <w:sz w:val="20"/>
          <w:szCs w:val="20"/>
        </w:rPr>
        <w:t xml:space="preserve"> označení, že jde o akcii,</w:t>
      </w:r>
    </w:p>
    <w:p w14:paraId="139EFA31" w14:textId="77777777" w:rsidR="00462D63" w:rsidRPr="00B64659" w:rsidRDefault="00462D63" w:rsidP="00462D63">
      <w:pPr>
        <w:pStyle w:val="goccl7"/>
        <w:spacing w:before="0" w:beforeAutospacing="0" w:after="0" w:afterAutospacing="0"/>
        <w:rPr>
          <w:sz w:val="20"/>
          <w:szCs w:val="20"/>
        </w:rPr>
      </w:pPr>
      <w:r w:rsidRPr="00B64659">
        <w:rPr>
          <w:rStyle w:val="HTMLVariable"/>
          <w:sz w:val="20"/>
          <w:szCs w:val="20"/>
        </w:rPr>
        <w:t>b)</w:t>
      </w:r>
      <w:r w:rsidRPr="00B64659">
        <w:rPr>
          <w:sz w:val="20"/>
          <w:szCs w:val="20"/>
        </w:rPr>
        <w:t xml:space="preserve"> jednoznačnou identifikaci společnosti,</w:t>
      </w:r>
    </w:p>
    <w:p w14:paraId="54F0E9B7" w14:textId="77777777" w:rsidR="00462D63" w:rsidRPr="00B64659" w:rsidRDefault="00462D63" w:rsidP="00462D63">
      <w:pPr>
        <w:pStyle w:val="goccl7"/>
        <w:spacing w:before="0" w:beforeAutospacing="0" w:after="0" w:afterAutospacing="0"/>
        <w:rPr>
          <w:sz w:val="20"/>
          <w:szCs w:val="20"/>
        </w:rPr>
      </w:pPr>
      <w:r w:rsidRPr="00B64659">
        <w:rPr>
          <w:rStyle w:val="HTMLVariable"/>
          <w:sz w:val="20"/>
          <w:szCs w:val="20"/>
        </w:rPr>
        <w:t>c)</w:t>
      </w:r>
      <w:r w:rsidRPr="00B64659">
        <w:rPr>
          <w:sz w:val="20"/>
          <w:szCs w:val="20"/>
        </w:rPr>
        <w:t xml:space="preserve"> jmenovitou hodnotu,</w:t>
      </w:r>
    </w:p>
    <w:p w14:paraId="3942E8FF" w14:textId="77777777" w:rsidR="00462D63" w:rsidRPr="00B64659" w:rsidRDefault="00462D63" w:rsidP="00462D63">
      <w:pPr>
        <w:pStyle w:val="goccl7"/>
        <w:spacing w:before="0" w:beforeAutospacing="0" w:after="0" w:afterAutospacing="0"/>
        <w:rPr>
          <w:sz w:val="20"/>
          <w:szCs w:val="20"/>
        </w:rPr>
      </w:pPr>
      <w:r w:rsidRPr="00B64659">
        <w:rPr>
          <w:rStyle w:val="HTMLVariable"/>
          <w:sz w:val="20"/>
          <w:szCs w:val="20"/>
        </w:rPr>
        <w:t>d)</w:t>
      </w:r>
      <w:r w:rsidRPr="00B64659">
        <w:rPr>
          <w:sz w:val="20"/>
          <w:szCs w:val="20"/>
        </w:rPr>
        <w:t xml:space="preserve"> označení formy akcie, ledaže akcie byla vydána jako zaknihovaný cenný papír, a</w:t>
      </w:r>
    </w:p>
    <w:p w14:paraId="56F15E78" w14:textId="77777777" w:rsidR="00462D63" w:rsidRPr="00B64659" w:rsidRDefault="00462D63" w:rsidP="00462D63">
      <w:pPr>
        <w:pStyle w:val="goccl7"/>
        <w:spacing w:before="0" w:beforeAutospacing="0" w:after="0" w:afterAutospacing="0"/>
        <w:rPr>
          <w:sz w:val="20"/>
          <w:szCs w:val="20"/>
        </w:rPr>
      </w:pPr>
      <w:r w:rsidRPr="00B64659">
        <w:rPr>
          <w:rStyle w:val="HTMLVariable"/>
          <w:sz w:val="20"/>
          <w:szCs w:val="20"/>
        </w:rPr>
        <w:t>e)</w:t>
      </w:r>
      <w:r w:rsidRPr="00B64659">
        <w:rPr>
          <w:sz w:val="20"/>
          <w:szCs w:val="20"/>
        </w:rPr>
        <w:t xml:space="preserve"> u akcie na jméno jednoznačnou identifikaci akcionáře a</w:t>
      </w:r>
    </w:p>
    <w:p w14:paraId="04C207A6" w14:textId="77777777" w:rsidR="00462D63" w:rsidRPr="00B64659" w:rsidRDefault="00462D63" w:rsidP="00462D63">
      <w:pPr>
        <w:pStyle w:val="goccl7"/>
        <w:spacing w:before="0" w:beforeAutospacing="0" w:after="0" w:afterAutospacing="0"/>
        <w:rPr>
          <w:sz w:val="20"/>
          <w:szCs w:val="20"/>
        </w:rPr>
      </w:pPr>
      <w:r w:rsidRPr="00B64659">
        <w:rPr>
          <w:rStyle w:val="HTMLVariable"/>
          <w:sz w:val="20"/>
          <w:szCs w:val="20"/>
        </w:rPr>
        <w:t>f)</w:t>
      </w:r>
      <w:r w:rsidRPr="00B64659">
        <w:rPr>
          <w:sz w:val="20"/>
          <w:szCs w:val="20"/>
        </w:rPr>
        <w:t xml:space="preserve"> údaje o druhu akcie, popřípadě i s odkazem na stanovy.</w:t>
      </w:r>
    </w:p>
    <w:p w14:paraId="22AC2DEB" w14:textId="77777777" w:rsidR="00462D63" w:rsidRPr="00B64659" w:rsidRDefault="00462D63" w:rsidP="00462D63">
      <w:pPr>
        <w:pStyle w:val="goccl6"/>
        <w:spacing w:before="0" w:beforeAutospacing="0" w:after="0" w:afterAutospacing="0"/>
        <w:rPr>
          <w:sz w:val="20"/>
          <w:szCs w:val="20"/>
        </w:rPr>
      </w:pPr>
      <w:r w:rsidRPr="00B64659">
        <w:rPr>
          <w:sz w:val="20"/>
          <w:szCs w:val="20"/>
        </w:rPr>
        <w:t xml:space="preserve">Akcie obsahuje i číselné označení a podpis člena nebo členů představenstva. </w:t>
      </w:r>
    </w:p>
    <w:p w14:paraId="426A5634" w14:textId="77777777" w:rsidR="00462D63" w:rsidRPr="00B64659" w:rsidRDefault="00462D63" w:rsidP="00462D63">
      <w:pPr>
        <w:pStyle w:val="paragoccl5"/>
        <w:spacing w:before="0" w:beforeAutospacing="0" w:after="0" w:afterAutospacing="0"/>
        <w:rPr>
          <w:sz w:val="20"/>
          <w:szCs w:val="20"/>
        </w:rPr>
      </w:pPr>
    </w:p>
    <w:p w14:paraId="0479EDD3" w14:textId="77777777" w:rsidR="00462D63" w:rsidRPr="00B64659" w:rsidRDefault="00462D63" w:rsidP="00462D63">
      <w:pPr>
        <w:spacing w:after="0" w:line="240" w:lineRule="auto"/>
        <w:jc w:val="both"/>
        <w:rPr>
          <w:rFonts w:ascii="Times New Roman" w:hAnsi="Times New Roman"/>
          <w:b/>
          <w:sz w:val="20"/>
          <w:szCs w:val="20"/>
        </w:rPr>
      </w:pPr>
      <w:r w:rsidRPr="00B64659">
        <w:rPr>
          <w:rFonts w:ascii="Times New Roman" w:hAnsi="Times New Roman"/>
          <w:b/>
          <w:sz w:val="20"/>
          <w:szCs w:val="20"/>
        </w:rPr>
        <w:t>Třídění CP - dle:</w:t>
      </w:r>
    </w:p>
    <w:p w14:paraId="54A55E77" w14:textId="77777777" w:rsidR="00462D63" w:rsidRPr="00B64659" w:rsidRDefault="00462D63" w:rsidP="00462D63">
      <w:pPr>
        <w:pStyle w:val="ListParagraph"/>
        <w:spacing w:after="0" w:line="240" w:lineRule="auto"/>
        <w:ind w:left="0"/>
        <w:contextualSpacing w:val="0"/>
        <w:jc w:val="both"/>
        <w:rPr>
          <w:rFonts w:ascii="Times New Roman" w:hAnsi="Times New Roman"/>
          <w:sz w:val="20"/>
          <w:szCs w:val="20"/>
        </w:rPr>
      </w:pPr>
      <w:r w:rsidRPr="00B64659">
        <w:rPr>
          <w:rFonts w:ascii="Times New Roman" w:hAnsi="Times New Roman"/>
          <w:b/>
          <w:sz w:val="20"/>
          <w:szCs w:val="20"/>
        </w:rPr>
        <w:t xml:space="preserve">        </w:t>
      </w:r>
      <w:r w:rsidRPr="00B64659">
        <w:rPr>
          <w:rFonts w:ascii="Times New Roman" w:hAnsi="Times New Roman"/>
          <w:b/>
          <w:sz w:val="20"/>
          <w:szCs w:val="20"/>
          <w:u w:val="single"/>
        </w:rPr>
        <w:t>Podoby:</w:t>
      </w:r>
      <w:r w:rsidRPr="00B64659">
        <w:rPr>
          <w:rFonts w:ascii="Times New Roman" w:hAnsi="Times New Roman"/>
          <w:sz w:val="20"/>
          <w:szCs w:val="20"/>
        </w:rPr>
        <w:t xml:space="preserve"> Listinné, zaknihované</w:t>
      </w:r>
    </w:p>
    <w:p w14:paraId="6725D884" w14:textId="77777777" w:rsidR="00462D63" w:rsidRPr="00B64659" w:rsidRDefault="00462D63" w:rsidP="00462D63">
      <w:pPr>
        <w:spacing w:after="0" w:line="240" w:lineRule="auto"/>
        <w:ind w:left="1080"/>
        <w:rPr>
          <w:rFonts w:ascii="Times New Roman" w:hAnsi="Times New Roman"/>
          <w:sz w:val="20"/>
          <w:szCs w:val="20"/>
        </w:rPr>
      </w:pPr>
    </w:p>
    <w:p w14:paraId="31F01F43" w14:textId="77777777" w:rsidR="00462D63" w:rsidRPr="00B64659" w:rsidRDefault="00462D63" w:rsidP="00462D63">
      <w:pPr>
        <w:pStyle w:val="ListParagraph"/>
        <w:spacing w:after="0" w:line="240" w:lineRule="auto"/>
        <w:ind w:left="426"/>
        <w:contextualSpacing w:val="0"/>
        <w:jc w:val="both"/>
        <w:rPr>
          <w:rFonts w:ascii="Times New Roman" w:hAnsi="Times New Roman"/>
          <w:b/>
          <w:sz w:val="20"/>
          <w:szCs w:val="20"/>
        </w:rPr>
      </w:pPr>
      <w:r w:rsidRPr="00B64659">
        <w:rPr>
          <w:rFonts w:ascii="Times New Roman" w:hAnsi="Times New Roman"/>
          <w:b/>
          <w:sz w:val="20"/>
          <w:szCs w:val="20"/>
          <w:u w:val="single"/>
        </w:rPr>
        <w:t>Formy</w:t>
      </w:r>
      <w:r w:rsidRPr="00B64659">
        <w:rPr>
          <w:rFonts w:ascii="Times New Roman" w:hAnsi="Times New Roman"/>
          <w:sz w:val="20"/>
          <w:szCs w:val="20"/>
        </w:rPr>
        <w:t>:  na doručitele ,na řád , na jméno</w:t>
      </w:r>
      <w:r w:rsidRPr="00B64659">
        <w:rPr>
          <w:rFonts w:ascii="Times New Roman" w:hAnsi="Times New Roman"/>
          <w:b/>
          <w:sz w:val="20"/>
          <w:szCs w:val="20"/>
        </w:rPr>
        <w:t xml:space="preserve"> </w:t>
      </w:r>
    </w:p>
    <w:p w14:paraId="63EC28FA" w14:textId="77777777" w:rsidR="00462D63" w:rsidRPr="00B64659" w:rsidRDefault="00462D63" w:rsidP="00462D63">
      <w:pPr>
        <w:pStyle w:val="ListParagraph"/>
        <w:spacing w:after="0" w:line="240" w:lineRule="auto"/>
        <w:ind w:left="426"/>
        <w:contextualSpacing w:val="0"/>
        <w:jc w:val="both"/>
        <w:rPr>
          <w:rFonts w:ascii="Times New Roman" w:hAnsi="Times New Roman"/>
          <w:b/>
          <w:sz w:val="20"/>
          <w:szCs w:val="20"/>
          <w:u w:val="single"/>
        </w:rPr>
      </w:pPr>
    </w:p>
    <w:p w14:paraId="75ECDE47" w14:textId="77777777" w:rsidR="00462D63" w:rsidRPr="00B64659" w:rsidRDefault="00462D63" w:rsidP="00462D63">
      <w:pPr>
        <w:pStyle w:val="ListParagraph"/>
        <w:spacing w:after="0" w:line="240" w:lineRule="auto"/>
        <w:ind w:left="426"/>
        <w:contextualSpacing w:val="0"/>
        <w:jc w:val="both"/>
        <w:rPr>
          <w:rFonts w:ascii="Times New Roman" w:hAnsi="Times New Roman"/>
          <w:sz w:val="20"/>
          <w:szCs w:val="20"/>
        </w:rPr>
      </w:pPr>
      <w:r w:rsidRPr="00B64659">
        <w:rPr>
          <w:rFonts w:ascii="Times New Roman" w:hAnsi="Times New Roman"/>
          <w:b/>
          <w:sz w:val="20"/>
          <w:szCs w:val="20"/>
          <w:u w:val="single"/>
        </w:rPr>
        <w:t>mobility</w:t>
      </w:r>
      <w:r w:rsidRPr="00B64659">
        <w:rPr>
          <w:rFonts w:ascii="Times New Roman" w:hAnsi="Times New Roman"/>
          <w:sz w:val="20"/>
          <w:szCs w:val="20"/>
        </w:rPr>
        <w:t>: Zastupitelné a nezastupitelné; Cirkulační, úložné, spekulační; Obchodovatelné a neobchodovatelné; Hromadné a individuální</w:t>
      </w:r>
    </w:p>
    <w:p w14:paraId="1B18335F" w14:textId="77777777" w:rsidR="00462D63" w:rsidRPr="00B64659" w:rsidRDefault="00462D63" w:rsidP="00462D63">
      <w:pPr>
        <w:spacing w:after="0" w:line="240" w:lineRule="auto"/>
        <w:jc w:val="both"/>
        <w:rPr>
          <w:rFonts w:ascii="Times New Roman" w:hAnsi="Times New Roman"/>
          <w:b/>
          <w:sz w:val="20"/>
          <w:szCs w:val="20"/>
        </w:rPr>
      </w:pPr>
    </w:p>
    <w:p w14:paraId="0A777472" w14:textId="77777777" w:rsidR="00462D63" w:rsidRPr="00B64659" w:rsidRDefault="00462D63" w:rsidP="00462D63">
      <w:pPr>
        <w:spacing w:after="0" w:line="240" w:lineRule="auto"/>
        <w:jc w:val="both"/>
        <w:rPr>
          <w:rFonts w:ascii="Times New Roman" w:hAnsi="Times New Roman"/>
          <w:b/>
          <w:sz w:val="20"/>
          <w:szCs w:val="20"/>
        </w:rPr>
      </w:pPr>
      <w:r w:rsidRPr="00B64659">
        <w:rPr>
          <w:rFonts w:ascii="Times New Roman" w:hAnsi="Times New Roman"/>
          <w:b/>
          <w:sz w:val="20"/>
          <w:szCs w:val="20"/>
        </w:rPr>
        <w:t>Listinné CP</w:t>
      </w:r>
    </w:p>
    <w:p w14:paraId="23BADDFB" w14:textId="77777777" w:rsidR="00462D63" w:rsidRPr="00B64659" w:rsidRDefault="00462D63" w:rsidP="00462D63">
      <w:pPr>
        <w:pStyle w:val="ListParagraph"/>
        <w:widowControl w:val="0"/>
        <w:numPr>
          <w:ilvl w:val="0"/>
          <w:numId w:val="3"/>
        </w:numPr>
        <w:autoSpaceDE w:val="0"/>
        <w:autoSpaceDN w:val="0"/>
        <w:adjustRightInd w:val="0"/>
        <w:spacing w:after="0" w:line="240" w:lineRule="auto"/>
        <w:rPr>
          <w:rFonts w:ascii="Times New Roman" w:hAnsi="Times New Roman"/>
          <w:sz w:val="20"/>
          <w:szCs w:val="20"/>
        </w:rPr>
      </w:pPr>
      <w:r w:rsidRPr="00B64659">
        <w:rPr>
          <w:rFonts w:ascii="Times New Roman" w:hAnsi="Times New Roman"/>
          <w:b/>
          <w:sz w:val="20"/>
          <w:szCs w:val="20"/>
        </w:rPr>
        <w:t>-</w:t>
      </w:r>
      <w:r w:rsidRPr="00B64659">
        <w:rPr>
          <w:rFonts w:ascii="Times New Roman" w:hAnsi="Times New Roman"/>
          <w:sz w:val="20"/>
          <w:szCs w:val="20"/>
        </w:rPr>
        <w:t xml:space="preserve"> listiny (hmotné substráty), cenný papír ztělesňující (např. směnka)</w:t>
      </w:r>
    </w:p>
    <w:p w14:paraId="52E2B23C" w14:textId="77777777" w:rsidR="00462D63" w:rsidRPr="00B64659" w:rsidRDefault="00462D63" w:rsidP="00462D63">
      <w:pPr>
        <w:spacing w:after="0" w:line="240" w:lineRule="auto"/>
        <w:jc w:val="both"/>
        <w:rPr>
          <w:rFonts w:ascii="Times New Roman" w:hAnsi="Times New Roman"/>
          <w:b/>
          <w:sz w:val="20"/>
          <w:szCs w:val="20"/>
        </w:rPr>
      </w:pPr>
      <w:r w:rsidRPr="00B64659">
        <w:rPr>
          <w:rFonts w:ascii="Times New Roman" w:hAnsi="Times New Roman"/>
          <w:b/>
          <w:sz w:val="20"/>
          <w:szCs w:val="20"/>
        </w:rPr>
        <w:t>Zaknihované CP (podoba)</w:t>
      </w:r>
      <w:r w:rsidRPr="00B64659">
        <w:rPr>
          <w:rFonts w:ascii="Times New Roman" w:hAnsi="Times New Roman"/>
          <w:sz w:val="20"/>
          <w:szCs w:val="20"/>
        </w:rPr>
        <w:t>§ 525/1 NOZ</w:t>
      </w:r>
    </w:p>
    <w:p w14:paraId="5DDC8FA5" w14:textId="77777777" w:rsidR="00462D63" w:rsidRPr="00B64659" w:rsidRDefault="00462D63" w:rsidP="00462D63">
      <w:pPr>
        <w:pStyle w:val="Heading3"/>
        <w:spacing w:before="0"/>
        <w:rPr>
          <w:rFonts w:ascii="Times New Roman" w:hAnsi="Times New Roman" w:cs="Times New Roman"/>
          <w:b w:val="0"/>
          <w:sz w:val="20"/>
          <w:szCs w:val="20"/>
        </w:rPr>
      </w:pPr>
      <w:r w:rsidRPr="00B64659">
        <w:rPr>
          <w:rFonts w:ascii="Times New Roman" w:hAnsi="Times New Roman" w:cs="Times New Roman"/>
          <w:sz w:val="20"/>
          <w:szCs w:val="20"/>
        </w:rPr>
        <w:t xml:space="preserve">- </w:t>
      </w:r>
      <w:r w:rsidRPr="00B64659">
        <w:rPr>
          <w:rFonts w:ascii="Times New Roman" w:hAnsi="Times New Roman" w:cs="Times New Roman"/>
          <w:b w:val="0"/>
          <w:sz w:val="20"/>
          <w:szCs w:val="20"/>
        </w:rPr>
        <w:t>Je-li cenný papír nahrazen zápisem do příslušné evidence a nelze-li jej převést jinak než změnou zápisu v této evidenci, jedná se o zaknihovaný cenný papír. Zaknihované cenné papíry jsou zastupitelné, pokud byly vydány týmž emitentem a pokud z nich vznikají stejná práva</w:t>
      </w:r>
    </w:p>
    <w:p w14:paraId="717FA3B3" w14:textId="77777777" w:rsidR="00462D63" w:rsidRPr="00B64659" w:rsidRDefault="00462D63" w:rsidP="00462D63">
      <w:pPr>
        <w:pStyle w:val="Heading3"/>
        <w:spacing w:before="0"/>
        <w:rPr>
          <w:rFonts w:ascii="Times New Roman" w:hAnsi="Times New Roman" w:cs="Times New Roman"/>
          <w:sz w:val="20"/>
          <w:szCs w:val="20"/>
        </w:rPr>
      </w:pPr>
      <w:r w:rsidRPr="00B64659">
        <w:rPr>
          <w:rFonts w:ascii="Times New Roman" w:hAnsi="Times New Roman" w:cs="Times New Roman"/>
          <w:sz w:val="20"/>
          <w:szCs w:val="20"/>
        </w:rPr>
        <w:t>Forma akcie:</w:t>
      </w:r>
    </w:p>
    <w:p w14:paraId="48B80668" w14:textId="77777777" w:rsidR="00462D63" w:rsidRPr="00B64659" w:rsidRDefault="00462D63" w:rsidP="00462D63">
      <w:pPr>
        <w:numPr>
          <w:ilvl w:val="0"/>
          <w:numId w:val="2"/>
        </w:numPr>
        <w:spacing w:after="0" w:line="240" w:lineRule="auto"/>
        <w:rPr>
          <w:rFonts w:ascii="Times New Roman" w:hAnsi="Times New Roman"/>
          <w:sz w:val="20"/>
          <w:szCs w:val="20"/>
        </w:rPr>
      </w:pPr>
      <w:r w:rsidRPr="00B64659">
        <w:rPr>
          <w:rStyle w:val="Emphasis"/>
          <w:rFonts w:ascii="Times New Roman" w:hAnsi="Times New Roman"/>
          <w:sz w:val="20"/>
          <w:szCs w:val="20"/>
        </w:rPr>
        <w:t>Akcie na doručitele/na majitele</w:t>
      </w:r>
    </w:p>
    <w:p w14:paraId="56DAB1B3" w14:textId="77777777" w:rsidR="00462D63" w:rsidRPr="00B64659" w:rsidRDefault="00462D63" w:rsidP="00462D63">
      <w:pPr>
        <w:numPr>
          <w:ilvl w:val="0"/>
          <w:numId w:val="2"/>
        </w:numPr>
        <w:spacing w:after="0" w:line="240" w:lineRule="auto"/>
        <w:rPr>
          <w:rFonts w:ascii="Times New Roman" w:hAnsi="Times New Roman"/>
          <w:sz w:val="20"/>
          <w:szCs w:val="20"/>
        </w:rPr>
      </w:pPr>
      <w:r w:rsidRPr="00B64659">
        <w:rPr>
          <w:rStyle w:val="Emphasis"/>
          <w:rFonts w:ascii="Times New Roman" w:hAnsi="Times New Roman"/>
          <w:sz w:val="20"/>
          <w:szCs w:val="20"/>
        </w:rPr>
        <w:t>Akcie na řad</w:t>
      </w:r>
      <w:r w:rsidRPr="00B64659">
        <w:rPr>
          <w:rFonts w:ascii="Times New Roman" w:hAnsi="Times New Roman"/>
          <w:sz w:val="20"/>
          <w:szCs w:val="20"/>
        </w:rPr>
        <w:t xml:space="preserve">/ </w:t>
      </w:r>
      <w:r w:rsidRPr="00B64659">
        <w:rPr>
          <w:rStyle w:val="Emphasis"/>
          <w:rFonts w:ascii="Times New Roman" w:hAnsi="Times New Roman"/>
          <w:sz w:val="20"/>
          <w:szCs w:val="20"/>
        </w:rPr>
        <w:t>na jméno</w:t>
      </w:r>
    </w:p>
    <w:p w14:paraId="1EE00BC7" w14:textId="77777777" w:rsidR="00462D63" w:rsidRPr="00B64659" w:rsidRDefault="00462D63" w:rsidP="00462D63">
      <w:pPr>
        <w:pStyle w:val="Heading3"/>
        <w:spacing w:before="0" w:after="0"/>
        <w:rPr>
          <w:rFonts w:ascii="Times New Roman" w:hAnsi="Times New Roman" w:cs="Times New Roman"/>
          <w:sz w:val="20"/>
          <w:szCs w:val="20"/>
        </w:rPr>
      </w:pPr>
    </w:p>
    <w:p w14:paraId="14308C6A" w14:textId="77777777" w:rsidR="00462D63" w:rsidRPr="00B64659" w:rsidRDefault="00462D63" w:rsidP="00462D63">
      <w:pPr>
        <w:pStyle w:val="goccl7"/>
        <w:spacing w:before="0" w:beforeAutospacing="0" w:after="0" w:afterAutospacing="0"/>
        <w:rPr>
          <w:sz w:val="20"/>
          <w:szCs w:val="20"/>
        </w:rPr>
      </w:pPr>
      <w:r w:rsidRPr="00B64659">
        <w:rPr>
          <w:sz w:val="20"/>
          <w:szCs w:val="20"/>
        </w:rPr>
        <w:t>Akcie na jméno se převádí rubopisem, v němž se uvede jednoznačná identifikace nabyvatele.</w:t>
      </w:r>
    </w:p>
    <w:p w14:paraId="25877E0D" w14:textId="77777777" w:rsidR="00462D63" w:rsidRPr="00B64659" w:rsidRDefault="00462D63" w:rsidP="00462D63">
      <w:pPr>
        <w:pStyle w:val="goccl7"/>
        <w:spacing w:before="0" w:beforeAutospacing="0" w:after="0" w:afterAutospacing="0"/>
        <w:rPr>
          <w:sz w:val="20"/>
          <w:szCs w:val="20"/>
        </w:rPr>
      </w:pPr>
      <w:r w:rsidRPr="00B64659">
        <w:rPr>
          <w:sz w:val="20"/>
          <w:szCs w:val="20"/>
        </w:rPr>
        <w:t>Akcie na majitele je neomezeně převoditelná.</w:t>
      </w:r>
    </w:p>
    <w:p w14:paraId="59FB6D65" w14:textId="77777777" w:rsidR="00462D63" w:rsidRPr="00B64659" w:rsidRDefault="00462D63" w:rsidP="00462D63">
      <w:pPr>
        <w:pStyle w:val="paragoccl6"/>
        <w:spacing w:before="0" w:beforeAutospacing="0" w:after="0" w:afterAutospacing="0"/>
        <w:rPr>
          <w:sz w:val="20"/>
          <w:szCs w:val="20"/>
        </w:rPr>
      </w:pPr>
    </w:p>
    <w:p w14:paraId="1DA0B022" w14:textId="77777777" w:rsidR="00462D63" w:rsidRPr="00B64659" w:rsidRDefault="00462D63" w:rsidP="00462D63">
      <w:pPr>
        <w:pStyle w:val="paragoccl6"/>
        <w:spacing w:before="0" w:beforeAutospacing="0" w:after="0" w:afterAutospacing="0"/>
        <w:rPr>
          <w:sz w:val="20"/>
          <w:szCs w:val="20"/>
        </w:rPr>
      </w:pPr>
      <w:r w:rsidRPr="00B64659">
        <w:rPr>
          <w:sz w:val="20"/>
          <w:szCs w:val="20"/>
        </w:rPr>
        <w:t>Druhy akcií:</w:t>
      </w:r>
    </w:p>
    <w:p w14:paraId="3891C62B" w14:textId="77777777" w:rsidR="00462D63" w:rsidRPr="00B64659" w:rsidRDefault="00462D63" w:rsidP="00462D63">
      <w:pPr>
        <w:pStyle w:val="goccl7"/>
        <w:spacing w:before="0" w:beforeAutospacing="0" w:after="0" w:afterAutospacing="0"/>
        <w:rPr>
          <w:sz w:val="20"/>
          <w:szCs w:val="20"/>
        </w:rPr>
      </w:pPr>
      <w:r w:rsidRPr="00B64659">
        <w:rPr>
          <w:sz w:val="20"/>
          <w:szCs w:val="20"/>
        </w:rPr>
        <w:t xml:space="preserve">Akcie se zvláštními právy, se kterými jsou spojena stejná práva, tvoří jeden druh. </w:t>
      </w:r>
    </w:p>
    <w:p w14:paraId="4B6C33D7" w14:textId="77777777" w:rsidR="00462D63" w:rsidRPr="00B64659" w:rsidRDefault="00462D63" w:rsidP="00462D63">
      <w:pPr>
        <w:pStyle w:val="goccl7"/>
        <w:spacing w:before="0" w:beforeAutospacing="0" w:after="0" w:afterAutospacing="0"/>
        <w:rPr>
          <w:b/>
          <w:sz w:val="20"/>
          <w:szCs w:val="20"/>
        </w:rPr>
      </w:pPr>
      <w:r w:rsidRPr="00B64659">
        <w:rPr>
          <w:sz w:val="20"/>
          <w:szCs w:val="20"/>
        </w:rPr>
        <w:lastRenderedPageBreak/>
        <w:t xml:space="preserve">Akcie, se kterými není spojeno žádné zvláštní právo, jsou </w:t>
      </w:r>
      <w:r w:rsidRPr="00B64659">
        <w:rPr>
          <w:b/>
          <w:sz w:val="20"/>
          <w:szCs w:val="20"/>
        </w:rPr>
        <w:t>akcie kmenové.</w:t>
      </w:r>
    </w:p>
    <w:p w14:paraId="110D9F3E" w14:textId="77777777" w:rsidR="00462D63" w:rsidRPr="00B64659" w:rsidRDefault="00462D63" w:rsidP="00462D63">
      <w:pPr>
        <w:pStyle w:val="goccl7"/>
        <w:spacing w:before="0" w:beforeAutospacing="0" w:after="0" w:afterAutospacing="0"/>
        <w:rPr>
          <w:sz w:val="20"/>
          <w:szCs w:val="20"/>
        </w:rPr>
      </w:pPr>
      <w:r w:rsidRPr="00B64659">
        <w:rPr>
          <w:sz w:val="20"/>
          <w:szCs w:val="20"/>
        </w:rPr>
        <w:t xml:space="preserve">Akcie, se kterou jsou spojena přednostní práva týkající se podílu na zisku nebo na jiných vlastních zdrojích nebo na likvidačním zůstatku společnosti, je </w:t>
      </w:r>
      <w:r w:rsidRPr="00B64659">
        <w:rPr>
          <w:b/>
          <w:sz w:val="20"/>
          <w:szCs w:val="20"/>
        </w:rPr>
        <w:t>prioritní akcie.</w:t>
      </w:r>
    </w:p>
    <w:p w14:paraId="52A2C2B9" w14:textId="77777777" w:rsidR="00462D63" w:rsidRPr="00B64659" w:rsidRDefault="00462D63" w:rsidP="00462D63">
      <w:pPr>
        <w:pStyle w:val="goccl6"/>
        <w:spacing w:before="0" w:beforeAutospacing="0" w:after="0" w:afterAutospacing="0"/>
        <w:rPr>
          <w:sz w:val="20"/>
          <w:szCs w:val="20"/>
        </w:rPr>
      </w:pPr>
      <w:r w:rsidRPr="00B64659">
        <w:rPr>
          <w:sz w:val="20"/>
          <w:szCs w:val="20"/>
        </w:rPr>
        <w:t xml:space="preserve">- uplatnění přednostního práva- </w:t>
      </w:r>
      <w:r w:rsidRPr="00B64659">
        <w:rPr>
          <w:b/>
          <w:sz w:val="20"/>
          <w:szCs w:val="20"/>
        </w:rPr>
        <w:t>opční list</w:t>
      </w:r>
      <w:r w:rsidRPr="00B64659">
        <w:rPr>
          <w:sz w:val="20"/>
          <w:szCs w:val="20"/>
        </w:rPr>
        <w:t>.- cenný papír na doručitele.</w:t>
      </w:r>
    </w:p>
    <w:p w14:paraId="49150BB2" w14:textId="77777777" w:rsidR="00462D63" w:rsidRPr="00B64659" w:rsidRDefault="00462D63" w:rsidP="00462D63">
      <w:pPr>
        <w:spacing w:line="240" w:lineRule="auto"/>
        <w:rPr>
          <w:rFonts w:ascii="Times New Roman" w:hAnsi="Times New Roman"/>
          <w:color w:val="000000"/>
          <w:sz w:val="20"/>
          <w:szCs w:val="20"/>
        </w:rPr>
      </w:pPr>
    </w:p>
    <w:p w14:paraId="476E995C" w14:textId="77777777" w:rsidR="00462D63" w:rsidRPr="00B64659" w:rsidRDefault="00462D63" w:rsidP="00462D63">
      <w:pPr>
        <w:spacing w:line="240" w:lineRule="auto"/>
        <w:rPr>
          <w:rFonts w:ascii="Times New Roman" w:hAnsi="Times New Roman"/>
          <w:sz w:val="20"/>
          <w:szCs w:val="20"/>
        </w:rPr>
      </w:pPr>
      <w:r w:rsidRPr="00B64659">
        <w:rPr>
          <w:rFonts w:ascii="Times New Roman" w:hAnsi="Times New Roman"/>
          <w:sz w:val="20"/>
          <w:szCs w:val="20"/>
        </w:rPr>
        <w:t>Akcie – představuje část základního kapitálu a.s., která je vyjádřena jako její jmenovitá hodnota – jejich souhrn představuje částku zákl.kap.</w:t>
      </w:r>
    </w:p>
    <w:p w14:paraId="78FE3543" w14:textId="77777777" w:rsidR="00462D63" w:rsidRPr="00B64659" w:rsidRDefault="00462D63" w:rsidP="00462D63">
      <w:pPr>
        <w:pStyle w:val="ListParagraph"/>
        <w:numPr>
          <w:ilvl w:val="0"/>
          <w:numId w:val="1"/>
        </w:numPr>
        <w:spacing w:line="240" w:lineRule="auto"/>
        <w:rPr>
          <w:rFonts w:ascii="Times New Roman" w:hAnsi="Times New Roman"/>
          <w:sz w:val="20"/>
          <w:szCs w:val="20"/>
        </w:rPr>
      </w:pPr>
      <w:r w:rsidRPr="00B64659">
        <w:rPr>
          <w:rFonts w:ascii="Times New Roman" w:hAnsi="Times New Roman"/>
          <w:sz w:val="20"/>
          <w:szCs w:val="20"/>
        </w:rPr>
        <w:t>Jsou v ní inkorporována práva a povinnosti akcionáře</w:t>
      </w:r>
    </w:p>
    <w:p w14:paraId="4B4E392F" w14:textId="77777777" w:rsidR="00462D63" w:rsidRPr="00B64659" w:rsidRDefault="00462D63" w:rsidP="00462D63">
      <w:pPr>
        <w:pStyle w:val="ListParagraph"/>
        <w:numPr>
          <w:ilvl w:val="0"/>
          <w:numId w:val="1"/>
        </w:numPr>
        <w:spacing w:line="240" w:lineRule="auto"/>
        <w:rPr>
          <w:rFonts w:ascii="Times New Roman" w:hAnsi="Times New Roman"/>
          <w:sz w:val="20"/>
          <w:szCs w:val="20"/>
        </w:rPr>
      </w:pPr>
      <w:r w:rsidRPr="00B64659">
        <w:rPr>
          <w:rFonts w:ascii="Times New Roman" w:hAnsi="Times New Roman"/>
          <w:sz w:val="20"/>
          <w:szCs w:val="20"/>
        </w:rPr>
        <w:t>Je osvědčením – legitimací – která dokládá společnický vztah akcionáře a a.s.</w:t>
      </w:r>
    </w:p>
    <w:p w14:paraId="12F4A501" w14:textId="77777777" w:rsidR="00462D63" w:rsidRPr="00B64659" w:rsidRDefault="00462D63" w:rsidP="00462D63">
      <w:pPr>
        <w:spacing w:line="240" w:lineRule="auto"/>
        <w:rPr>
          <w:rFonts w:ascii="Times New Roman" w:hAnsi="Times New Roman"/>
          <w:sz w:val="20"/>
          <w:szCs w:val="20"/>
        </w:rPr>
      </w:pPr>
      <w:r w:rsidRPr="00B64659">
        <w:rPr>
          <w:rFonts w:ascii="Times New Roman" w:hAnsi="Times New Roman"/>
          <w:b/>
          <w:sz w:val="20"/>
          <w:szCs w:val="20"/>
        </w:rPr>
        <w:t xml:space="preserve">Jmenovitá hodnota </w:t>
      </w:r>
      <w:r w:rsidRPr="00B64659">
        <w:rPr>
          <w:rFonts w:ascii="Times New Roman" w:hAnsi="Times New Roman"/>
          <w:sz w:val="20"/>
          <w:szCs w:val="20"/>
        </w:rPr>
        <w:t xml:space="preserve">akcie – </w:t>
      </w:r>
    </w:p>
    <w:p w14:paraId="4E6AE48A" w14:textId="77777777" w:rsidR="00462D63" w:rsidRPr="00B64659" w:rsidRDefault="00462D63" w:rsidP="00462D63">
      <w:pPr>
        <w:pStyle w:val="ListParagraph"/>
        <w:numPr>
          <w:ilvl w:val="0"/>
          <w:numId w:val="1"/>
        </w:numPr>
        <w:spacing w:line="240" w:lineRule="auto"/>
        <w:rPr>
          <w:rFonts w:ascii="Times New Roman" w:hAnsi="Times New Roman"/>
          <w:sz w:val="20"/>
          <w:szCs w:val="20"/>
        </w:rPr>
      </w:pPr>
      <w:r w:rsidRPr="00B64659">
        <w:rPr>
          <w:rFonts w:ascii="Times New Roman" w:hAnsi="Times New Roman"/>
          <w:sz w:val="20"/>
          <w:szCs w:val="20"/>
        </w:rPr>
        <w:t>Částka uvedená na akcii nebo ZCP</w:t>
      </w:r>
    </w:p>
    <w:p w14:paraId="75CE5F6A" w14:textId="77777777" w:rsidR="00462D63" w:rsidRPr="00B64659" w:rsidRDefault="00462D63" w:rsidP="00462D63">
      <w:pPr>
        <w:pStyle w:val="ListParagraph"/>
        <w:numPr>
          <w:ilvl w:val="0"/>
          <w:numId w:val="1"/>
        </w:numPr>
        <w:spacing w:line="240" w:lineRule="auto"/>
        <w:rPr>
          <w:rFonts w:ascii="Times New Roman" w:hAnsi="Times New Roman"/>
          <w:sz w:val="20"/>
          <w:szCs w:val="20"/>
        </w:rPr>
      </w:pPr>
      <w:r w:rsidRPr="00B64659">
        <w:rPr>
          <w:rFonts w:ascii="Times New Roman" w:hAnsi="Times New Roman"/>
          <w:sz w:val="20"/>
          <w:szCs w:val="20"/>
        </w:rPr>
        <w:t>Zákon neurčuje minimální jmenovitou hodnotu akcie, její stanovení je věcí zakladatelů či valné hromady</w:t>
      </w:r>
    </w:p>
    <w:p w14:paraId="092F6B2F" w14:textId="77777777" w:rsidR="00462D63" w:rsidRPr="00B64659" w:rsidRDefault="00462D63" w:rsidP="00462D63">
      <w:pPr>
        <w:pStyle w:val="ListParagraph"/>
        <w:numPr>
          <w:ilvl w:val="0"/>
          <w:numId w:val="1"/>
        </w:numPr>
        <w:spacing w:line="240" w:lineRule="auto"/>
        <w:rPr>
          <w:rFonts w:ascii="Times New Roman" w:hAnsi="Times New Roman"/>
          <w:sz w:val="20"/>
          <w:szCs w:val="20"/>
        </w:rPr>
      </w:pPr>
      <w:r w:rsidRPr="00B64659">
        <w:rPr>
          <w:rFonts w:ascii="Times New Roman" w:hAnsi="Times New Roman"/>
          <w:sz w:val="20"/>
          <w:szCs w:val="20"/>
        </w:rPr>
        <w:t>Akcie téže spol.můžou mít různou jmenovitou hodnotu</w:t>
      </w:r>
    </w:p>
    <w:p w14:paraId="7B2F9F58" w14:textId="77777777" w:rsidR="00462D63" w:rsidRPr="00B64659" w:rsidRDefault="00462D63" w:rsidP="00462D63">
      <w:pPr>
        <w:spacing w:line="240" w:lineRule="auto"/>
        <w:rPr>
          <w:rFonts w:ascii="Times New Roman" w:hAnsi="Times New Roman"/>
          <w:sz w:val="20"/>
          <w:szCs w:val="20"/>
        </w:rPr>
      </w:pPr>
      <w:r w:rsidRPr="00B64659">
        <w:rPr>
          <w:rFonts w:ascii="Times New Roman" w:hAnsi="Times New Roman"/>
          <w:sz w:val="20"/>
          <w:szCs w:val="20"/>
        </w:rPr>
        <w:t>Přijetí akcie na oficiální trh – zákon dovoluje organizátorovi regulovaného trhu přijmout akcie k obchodování byla-li jejich emise vydána v jedné podobě a všechny její kusy mají stejnou jmenovitou hodnotu a stejné označení</w:t>
      </w:r>
    </w:p>
    <w:p w14:paraId="6D00F8CA" w14:textId="77777777" w:rsidR="00462D63" w:rsidRPr="00B64659" w:rsidRDefault="00462D63" w:rsidP="00462D63">
      <w:pPr>
        <w:spacing w:line="240" w:lineRule="auto"/>
        <w:rPr>
          <w:rFonts w:ascii="Times New Roman" w:hAnsi="Times New Roman"/>
          <w:sz w:val="20"/>
          <w:szCs w:val="20"/>
        </w:rPr>
      </w:pPr>
      <w:r w:rsidRPr="00B64659">
        <w:rPr>
          <w:rFonts w:ascii="Times New Roman" w:hAnsi="Times New Roman"/>
          <w:sz w:val="20"/>
          <w:szCs w:val="20"/>
        </w:rPr>
        <w:t>Emisní kurz a emisní ážio</w:t>
      </w:r>
    </w:p>
    <w:p w14:paraId="5955471B" w14:textId="77777777" w:rsidR="00462D63" w:rsidRPr="00B64659" w:rsidRDefault="00462D63" w:rsidP="00462D63">
      <w:pPr>
        <w:pStyle w:val="ListParagraph"/>
        <w:numPr>
          <w:ilvl w:val="0"/>
          <w:numId w:val="1"/>
        </w:numPr>
        <w:spacing w:line="240" w:lineRule="auto"/>
        <w:rPr>
          <w:rFonts w:ascii="Times New Roman" w:hAnsi="Times New Roman"/>
          <w:sz w:val="20"/>
          <w:szCs w:val="20"/>
        </w:rPr>
      </w:pPr>
      <w:r w:rsidRPr="00B64659">
        <w:rPr>
          <w:rFonts w:ascii="Times New Roman" w:hAnsi="Times New Roman"/>
          <w:sz w:val="20"/>
          <w:szCs w:val="20"/>
        </w:rPr>
        <w:t>Emisním kurzem je vklad a případně ážio – je-li emisní kurz akcie vyšší než její jmenovitá hodnota – tvoří tento rozdíl emisní ážio. Kurs akcie nesmí být nižší než její jmenovitá hodnota – pod pari.</w:t>
      </w:r>
    </w:p>
    <w:p w14:paraId="3795BC0A" w14:textId="77777777" w:rsidR="00462D63" w:rsidRPr="00B64659" w:rsidRDefault="00462D63" w:rsidP="00462D63">
      <w:pPr>
        <w:pStyle w:val="ListParagraph"/>
        <w:numPr>
          <w:ilvl w:val="0"/>
          <w:numId w:val="1"/>
        </w:numPr>
        <w:spacing w:line="240" w:lineRule="auto"/>
        <w:rPr>
          <w:rFonts w:ascii="Times New Roman" w:hAnsi="Times New Roman"/>
          <w:sz w:val="20"/>
          <w:szCs w:val="20"/>
        </w:rPr>
      </w:pPr>
      <w:r w:rsidRPr="00B64659">
        <w:rPr>
          <w:rFonts w:ascii="Times New Roman" w:hAnsi="Times New Roman"/>
          <w:sz w:val="20"/>
          <w:szCs w:val="20"/>
        </w:rPr>
        <w:t>Akcie lze vydat až po splacení emisního kurzu, akcionář nabývá práva vznikem a.s. bez ohledu na to, zda splnil svou vkladovou povinnost.</w:t>
      </w:r>
    </w:p>
    <w:p w14:paraId="065B8E53" w14:textId="77777777" w:rsidR="00462D63" w:rsidRPr="00B64659" w:rsidRDefault="00462D63" w:rsidP="00462D63">
      <w:pPr>
        <w:spacing w:line="240" w:lineRule="auto"/>
        <w:rPr>
          <w:rFonts w:ascii="Times New Roman" w:hAnsi="Times New Roman"/>
          <w:sz w:val="20"/>
          <w:szCs w:val="20"/>
        </w:rPr>
      </w:pPr>
      <w:r w:rsidRPr="00B64659">
        <w:rPr>
          <w:rFonts w:ascii="Times New Roman" w:hAnsi="Times New Roman"/>
          <w:sz w:val="20"/>
          <w:szCs w:val="20"/>
        </w:rPr>
        <w:t>Další cenné papíry vydávané akciovou společností</w:t>
      </w:r>
    </w:p>
    <w:p w14:paraId="016FAC98" w14:textId="77777777" w:rsidR="00462D63" w:rsidRPr="00B64659" w:rsidRDefault="00462D63" w:rsidP="00462D63">
      <w:pPr>
        <w:pStyle w:val="ListParagraph"/>
        <w:numPr>
          <w:ilvl w:val="0"/>
          <w:numId w:val="1"/>
        </w:numPr>
        <w:spacing w:line="240" w:lineRule="auto"/>
        <w:rPr>
          <w:rFonts w:ascii="Times New Roman" w:hAnsi="Times New Roman"/>
          <w:sz w:val="20"/>
          <w:szCs w:val="20"/>
        </w:rPr>
      </w:pPr>
      <w:r w:rsidRPr="00B64659">
        <w:rPr>
          <w:rFonts w:ascii="Times New Roman" w:hAnsi="Times New Roman"/>
          <w:sz w:val="20"/>
          <w:szCs w:val="20"/>
        </w:rPr>
        <w:t>Kmenové akcie</w:t>
      </w:r>
    </w:p>
    <w:p w14:paraId="343CFDAA" w14:textId="77777777" w:rsidR="00462D63" w:rsidRPr="00B64659" w:rsidRDefault="00462D63" w:rsidP="00462D63">
      <w:pPr>
        <w:pStyle w:val="ListParagraph"/>
        <w:numPr>
          <w:ilvl w:val="0"/>
          <w:numId w:val="1"/>
        </w:numPr>
        <w:spacing w:line="240" w:lineRule="auto"/>
        <w:rPr>
          <w:rFonts w:ascii="Times New Roman" w:hAnsi="Times New Roman"/>
          <w:sz w:val="20"/>
          <w:szCs w:val="20"/>
        </w:rPr>
      </w:pPr>
      <w:r w:rsidRPr="00B64659">
        <w:rPr>
          <w:rFonts w:ascii="Times New Roman" w:hAnsi="Times New Roman"/>
          <w:sz w:val="20"/>
          <w:szCs w:val="20"/>
        </w:rPr>
        <w:t>Prioritní akcie</w:t>
      </w:r>
    </w:p>
    <w:p w14:paraId="22DC3050" w14:textId="77777777" w:rsidR="00462D63" w:rsidRPr="00B64659" w:rsidRDefault="00462D63" w:rsidP="00462D63">
      <w:pPr>
        <w:pStyle w:val="ListParagraph"/>
        <w:numPr>
          <w:ilvl w:val="0"/>
          <w:numId w:val="1"/>
        </w:numPr>
        <w:spacing w:line="240" w:lineRule="auto"/>
        <w:rPr>
          <w:rFonts w:ascii="Times New Roman" w:hAnsi="Times New Roman"/>
          <w:sz w:val="20"/>
          <w:szCs w:val="20"/>
        </w:rPr>
      </w:pPr>
      <w:r w:rsidRPr="00B64659">
        <w:rPr>
          <w:rFonts w:ascii="Times New Roman" w:hAnsi="Times New Roman"/>
          <w:sz w:val="20"/>
          <w:szCs w:val="20"/>
        </w:rPr>
        <w:t>U nás zakázány úrokové akcie</w:t>
      </w:r>
    </w:p>
    <w:p w14:paraId="74362BF6" w14:textId="77777777" w:rsidR="00462D63" w:rsidRPr="00B64659" w:rsidRDefault="00462D63" w:rsidP="00462D63">
      <w:pPr>
        <w:pStyle w:val="ListParagraph"/>
        <w:numPr>
          <w:ilvl w:val="0"/>
          <w:numId w:val="1"/>
        </w:numPr>
        <w:spacing w:line="240" w:lineRule="auto"/>
        <w:rPr>
          <w:rFonts w:ascii="Times New Roman" w:hAnsi="Times New Roman"/>
          <w:sz w:val="20"/>
          <w:szCs w:val="20"/>
        </w:rPr>
      </w:pPr>
      <w:r w:rsidRPr="00B64659">
        <w:rPr>
          <w:rFonts w:ascii="Times New Roman" w:hAnsi="Times New Roman"/>
          <w:sz w:val="20"/>
          <w:szCs w:val="20"/>
        </w:rPr>
        <w:t>Vyměnitelné a prioritní dluhopisy – místo akcií, podmíněno zvyšováním základního kapitálu</w:t>
      </w:r>
    </w:p>
    <w:p w14:paraId="5D417C15" w14:textId="77777777" w:rsidR="00462D63" w:rsidRPr="00B64659" w:rsidRDefault="00462D63" w:rsidP="00462D63">
      <w:pPr>
        <w:pStyle w:val="ListParagraph"/>
        <w:numPr>
          <w:ilvl w:val="0"/>
          <w:numId w:val="1"/>
        </w:numPr>
        <w:spacing w:line="240" w:lineRule="auto"/>
        <w:rPr>
          <w:rFonts w:ascii="Times New Roman" w:hAnsi="Times New Roman"/>
          <w:bCs/>
          <w:sz w:val="20"/>
          <w:szCs w:val="20"/>
        </w:rPr>
      </w:pPr>
      <w:r w:rsidRPr="00B64659">
        <w:rPr>
          <w:rFonts w:ascii="Times New Roman" w:hAnsi="Times New Roman"/>
          <w:sz w:val="20"/>
          <w:szCs w:val="20"/>
        </w:rPr>
        <w:t xml:space="preserve">Opční listy – ZCP na doručitele, lze zaknihovaný, </w:t>
      </w:r>
      <w:r w:rsidRPr="00B64659">
        <w:rPr>
          <w:rFonts w:ascii="Times New Roman" w:hAnsi="Times New Roman"/>
          <w:bCs/>
          <w:sz w:val="20"/>
          <w:szCs w:val="20"/>
        </w:rPr>
        <w:t>Cenný papír k uplatnění přednostních práv</w:t>
      </w:r>
    </w:p>
    <w:p w14:paraId="34420FAA" w14:textId="77777777" w:rsidR="00462D63" w:rsidRPr="00B64659" w:rsidRDefault="00462D63" w:rsidP="00462D63">
      <w:pPr>
        <w:pStyle w:val="ListParagraph"/>
        <w:spacing w:line="240" w:lineRule="auto"/>
        <w:rPr>
          <w:rFonts w:ascii="Times New Roman" w:hAnsi="Times New Roman"/>
          <w:sz w:val="20"/>
          <w:szCs w:val="20"/>
        </w:rPr>
      </w:pPr>
    </w:p>
    <w:p w14:paraId="655FC505" w14:textId="77777777" w:rsidR="00462D63" w:rsidRPr="00B64659" w:rsidRDefault="00462D63" w:rsidP="00462D63">
      <w:pPr>
        <w:spacing w:before="100" w:beforeAutospacing="1" w:after="100" w:afterAutospacing="1" w:line="240" w:lineRule="auto"/>
        <w:outlineLvl w:val="2"/>
        <w:rPr>
          <w:rFonts w:ascii="Times New Roman" w:eastAsia="Times New Roman" w:hAnsi="Times New Roman"/>
          <w:b/>
          <w:bCs/>
          <w:sz w:val="20"/>
          <w:szCs w:val="20"/>
          <w:lang w:eastAsia="cs-CZ"/>
        </w:rPr>
      </w:pPr>
      <w:r w:rsidRPr="00B64659">
        <w:rPr>
          <w:rFonts w:ascii="Times New Roman" w:eastAsia="Times New Roman" w:hAnsi="Times New Roman"/>
          <w:b/>
          <w:bCs/>
          <w:sz w:val="20"/>
          <w:szCs w:val="20"/>
          <w:lang w:eastAsia="cs-CZ"/>
        </w:rPr>
        <w:t>Práva a povinnosti akcionáře</w:t>
      </w:r>
    </w:p>
    <w:p w14:paraId="26164FF9" w14:textId="77777777" w:rsidR="00462D63" w:rsidRPr="00B64659" w:rsidRDefault="00462D63" w:rsidP="00462D63">
      <w:pPr>
        <w:spacing w:after="0" w:line="240" w:lineRule="auto"/>
        <w:outlineLvl w:val="2"/>
        <w:rPr>
          <w:rFonts w:ascii="Times New Roman" w:eastAsia="Times New Roman" w:hAnsi="Times New Roman"/>
          <w:b/>
          <w:bCs/>
          <w:sz w:val="20"/>
          <w:szCs w:val="20"/>
          <w:lang w:eastAsia="cs-CZ"/>
        </w:rPr>
      </w:pPr>
      <w:r w:rsidRPr="00B64659">
        <w:rPr>
          <w:rFonts w:ascii="Times New Roman" w:eastAsia="Times New Roman" w:hAnsi="Times New Roman"/>
          <w:b/>
          <w:bCs/>
          <w:sz w:val="20"/>
          <w:szCs w:val="20"/>
          <w:lang w:eastAsia="cs-CZ"/>
        </w:rPr>
        <w:t>Vkladová povinnost</w:t>
      </w:r>
    </w:p>
    <w:p w14:paraId="4106C04D"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sz w:val="20"/>
          <w:szCs w:val="20"/>
          <w:lang w:eastAsia="cs-CZ"/>
        </w:rPr>
        <w:t>Akcionář splatí emisní kurs jím upsaných akcií v době určené ve stanovách nebo v rozhodnutí valné hromady o zvýšení základního kapitálu, nejpozději však do 1 roku ode dne vzniku společnosti nebo od účinnosti zvýšení základního kapitálu. Vkladové povinnosti nemůže být akcionář zproštěn, ledaže se jedná o snížení základního kapitálu. Vyloučený akcionář ručí za splacení emisního kursu jím upsaných akcií.</w:t>
      </w:r>
    </w:p>
    <w:p w14:paraId="3B0C1055" w14:textId="77777777" w:rsidR="00462D63" w:rsidRPr="00B64659" w:rsidRDefault="00462D63" w:rsidP="00462D63">
      <w:pPr>
        <w:spacing w:after="0" w:line="240" w:lineRule="auto"/>
        <w:rPr>
          <w:rFonts w:ascii="Times New Roman" w:eastAsia="Times New Roman" w:hAnsi="Times New Roman"/>
          <w:b/>
          <w:sz w:val="20"/>
          <w:szCs w:val="20"/>
          <w:lang w:eastAsia="cs-CZ"/>
        </w:rPr>
      </w:pPr>
      <w:r w:rsidRPr="00B64659">
        <w:rPr>
          <w:rFonts w:ascii="Times New Roman" w:hAnsi="Times New Roman"/>
          <w:b/>
          <w:sz w:val="20"/>
          <w:szCs w:val="20"/>
        </w:rPr>
        <w:t>Podíl na zisku</w:t>
      </w:r>
    </w:p>
    <w:p w14:paraId="58DB55DC" w14:textId="77777777" w:rsidR="00462D63" w:rsidRPr="00B64659" w:rsidRDefault="00462D63" w:rsidP="00462D63">
      <w:pPr>
        <w:spacing w:after="0" w:line="240" w:lineRule="auto"/>
        <w:outlineLvl w:val="2"/>
        <w:rPr>
          <w:rFonts w:ascii="Times New Roman" w:eastAsia="Times New Roman" w:hAnsi="Times New Roman"/>
          <w:b/>
          <w:bCs/>
          <w:sz w:val="20"/>
          <w:szCs w:val="20"/>
          <w:lang w:eastAsia="cs-CZ"/>
        </w:rPr>
      </w:pPr>
      <w:r w:rsidRPr="00B64659">
        <w:rPr>
          <w:rFonts w:ascii="Times New Roman" w:eastAsia="Times New Roman" w:hAnsi="Times New Roman"/>
          <w:b/>
          <w:bCs/>
          <w:sz w:val="20"/>
          <w:szCs w:val="20"/>
          <w:lang w:eastAsia="cs-CZ"/>
        </w:rPr>
        <w:t>Hlasovací právo</w:t>
      </w:r>
    </w:p>
    <w:p w14:paraId="7179AF9C"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sz w:val="20"/>
          <w:szCs w:val="20"/>
          <w:lang w:eastAsia="cs-CZ"/>
        </w:rPr>
        <w:t>Akcionář je oprávněn účastnit se valné hromady a hlasovat na ní. Stanovy mohou omezit výkon hlasovacího práva stanovením nejvyššího počtu hlasů jednoho akcionáře, a to ve stejném rozsahu pro každého akcionáře nebo i pro jím ovládané osoby.</w:t>
      </w:r>
    </w:p>
    <w:p w14:paraId="6452F9F1" w14:textId="77777777" w:rsidR="00462D63" w:rsidRPr="00B64659" w:rsidRDefault="00462D63" w:rsidP="00462D63">
      <w:pPr>
        <w:spacing w:after="0" w:line="240" w:lineRule="auto"/>
        <w:outlineLvl w:val="2"/>
        <w:rPr>
          <w:rFonts w:ascii="Times New Roman" w:eastAsia="Times New Roman" w:hAnsi="Times New Roman"/>
          <w:b/>
          <w:bCs/>
          <w:sz w:val="20"/>
          <w:szCs w:val="20"/>
          <w:lang w:eastAsia="cs-CZ"/>
        </w:rPr>
      </w:pPr>
      <w:r w:rsidRPr="00B64659">
        <w:rPr>
          <w:rFonts w:ascii="Times New Roman" w:eastAsia="Times New Roman" w:hAnsi="Times New Roman"/>
          <w:b/>
          <w:bCs/>
          <w:sz w:val="20"/>
          <w:szCs w:val="20"/>
          <w:lang w:eastAsia="cs-CZ"/>
        </w:rPr>
        <w:t>Kumulativní hlasování</w:t>
      </w:r>
    </w:p>
    <w:p w14:paraId="5E4B7F92"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sz w:val="20"/>
          <w:szCs w:val="20"/>
          <w:lang w:eastAsia="cs-CZ"/>
        </w:rPr>
        <w:t>Určí-li tak stanovy, volí se členové orgánů společnosti kumulativním hlasováním. Pro účely kumulativního hlasování se počet hlasů akcionářů zjistí tak, že počet hlasů, jimiž akcionář nakládá na valné hromadě, se znásobí počtem volených členů orgánu společnosti. Jestliže se volí členové představenstva i členové dozorčí rady, zjišťuje se pro účely kumulativního hlasování počet hlasů akcionáře pro každý orgán odděleně.</w:t>
      </w:r>
    </w:p>
    <w:p w14:paraId="1169E8E5" w14:textId="77777777" w:rsidR="00462D63" w:rsidRPr="00B64659" w:rsidRDefault="00462D63" w:rsidP="00462D63">
      <w:pPr>
        <w:spacing w:after="0" w:line="240" w:lineRule="auto"/>
        <w:outlineLvl w:val="2"/>
        <w:rPr>
          <w:rFonts w:ascii="Times New Roman" w:eastAsia="Times New Roman" w:hAnsi="Times New Roman"/>
          <w:b/>
          <w:bCs/>
          <w:sz w:val="20"/>
          <w:szCs w:val="20"/>
          <w:lang w:eastAsia="cs-CZ"/>
        </w:rPr>
      </w:pPr>
      <w:r w:rsidRPr="00B64659">
        <w:rPr>
          <w:rFonts w:ascii="Times New Roman" w:eastAsia="Times New Roman" w:hAnsi="Times New Roman"/>
          <w:b/>
          <w:bCs/>
          <w:sz w:val="20"/>
          <w:szCs w:val="20"/>
          <w:lang w:eastAsia="cs-CZ"/>
        </w:rPr>
        <w:t>Právo na vysvětlení</w:t>
      </w:r>
    </w:p>
    <w:p w14:paraId="27185F67"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sz w:val="20"/>
          <w:szCs w:val="20"/>
          <w:lang w:eastAsia="cs-CZ"/>
        </w:rPr>
        <w:t>Akcionář je oprávněn požadovat a obdržet na valné hromadě od společnosti vysvětlení záležitostí týkajících se společnosti nebo jí ovládaných osob, je-li takové vysvětlení potřebné pro posouzení obsahu záležitostí zařazených na valnou hromadu nebo pro výkon jeho akcionářských práv na ní. Stanovy mohou určit, že každý akcionář má pro přednesení své žádosti přiměřené časové omezení.</w:t>
      </w:r>
    </w:p>
    <w:p w14:paraId="6D10AD76" w14:textId="77777777" w:rsidR="00462D63" w:rsidRPr="00B64659" w:rsidRDefault="00462D63" w:rsidP="00462D63">
      <w:pPr>
        <w:spacing w:after="0" w:line="240" w:lineRule="auto"/>
        <w:outlineLvl w:val="2"/>
        <w:rPr>
          <w:rFonts w:ascii="Times New Roman" w:eastAsia="Times New Roman" w:hAnsi="Times New Roman"/>
          <w:b/>
          <w:bCs/>
          <w:sz w:val="20"/>
          <w:szCs w:val="20"/>
          <w:lang w:eastAsia="cs-CZ"/>
        </w:rPr>
      </w:pPr>
      <w:r w:rsidRPr="00B64659">
        <w:rPr>
          <w:rFonts w:ascii="Times New Roman" w:eastAsia="Times New Roman" w:hAnsi="Times New Roman"/>
          <w:b/>
          <w:bCs/>
          <w:sz w:val="20"/>
          <w:szCs w:val="20"/>
          <w:lang w:eastAsia="cs-CZ"/>
        </w:rPr>
        <w:t>Právo uplatňovat návrhy a protinávrhy</w:t>
      </w:r>
    </w:p>
    <w:p w14:paraId="33DB66CD"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sz w:val="20"/>
          <w:szCs w:val="20"/>
          <w:lang w:eastAsia="cs-CZ"/>
        </w:rPr>
        <w:t>Akcionář je oprávněn uplatňovat návrhy a protinávrhy k záležitostem zařazeným na pořad valné hromady.</w:t>
      </w:r>
    </w:p>
    <w:p w14:paraId="0303A5B6" w14:textId="77777777" w:rsidR="00462D63" w:rsidRPr="00B64659" w:rsidRDefault="00462D63" w:rsidP="00462D63">
      <w:pPr>
        <w:spacing w:after="0" w:line="240" w:lineRule="auto"/>
        <w:outlineLvl w:val="2"/>
        <w:rPr>
          <w:rFonts w:ascii="Times New Roman" w:eastAsia="Times New Roman" w:hAnsi="Times New Roman"/>
          <w:b/>
          <w:bCs/>
          <w:sz w:val="20"/>
          <w:szCs w:val="20"/>
          <w:lang w:eastAsia="cs-CZ"/>
        </w:rPr>
      </w:pPr>
      <w:r w:rsidRPr="00B64659">
        <w:rPr>
          <w:rFonts w:ascii="Times New Roman" w:eastAsia="Times New Roman" w:hAnsi="Times New Roman"/>
          <w:b/>
          <w:bCs/>
          <w:sz w:val="20"/>
          <w:szCs w:val="20"/>
          <w:lang w:eastAsia="cs-CZ"/>
        </w:rPr>
        <w:t>Práva kvalifikovaných akcionářů</w:t>
      </w:r>
    </w:p>
    <w:p w14:paraId="3DF8E56C"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sz w:val="20"/>
          <w:szCs w:val="20"/>
          <w:lang w:eastAsia="cs-CZ"/>
        </w:rPr>
        <w:t>Akcionář nebo akcionáři společnosti, jejíž základní kapitál je vyšší než 100 000 000 Kč, kteří mají akcie, jejichž souhrnná jmenovitá hodnota nebo počet kusů dosáhne alespoň 3 % základního kapitálu, požívají zvláštních práv stanovených tímto zákonem (dále jen „kvalifikovaný akcionář“).</w:t>
      </w:r>
    </w:p>
    <w:p w14:paraId="108643D2"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sz w:val="20"/>
          <w:szCs w:val="20"/>
          <w:lang w:eastAsia="cs-CZ"/>
        </w:rPr>
        <w:t>Ve společnosti, jejíž základní kapitál je 100 000 000 Kč nebo nižší, se za kvalifikovaného akcionáře považuje ten akcionář nebo akcionáři, kteří mají akcie, jejichž souhrnná jmenovitá hodnota nebo počet kusů dosáhne alespoň 5 % základního kapitálu.</w:t>
      </w:r>
    </w:p>
    <w:p w14:paraId="09E482C5"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sz w:val="20"/>
          <w:szCs w:val="20"/>
          <w:lang w:eastAsia="cs-CZ"/>
        </w:rPr>
        <w:t>Ve společnosti, jejíž základní kapitál je 500 000 000 Kč nebo vyšší, se za kvalifikovaného akcionáře považuje ten akcionář nebo akcionáři, kteří mají akcie, jejichž souhrnná jmenovitá hodnota nebo počet kusů dosáhne alespoň 1 % základního kapitálu.</w:t>
      </w:r>
    </w:p>
    <w:p w14:paraId="1E796AE1"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sz w:val="20"/>
          <w:szCs w:val="20"/>
          <w:lang w:eastAsia="cs-CZ"/>
        </w:rPr>
        <w:t>Kvalifikovaní akcionáři mohou požádat představenstvo, aby svolalo k projednání jimi navržených záležitostí valnou hromadu. V žádosti uvedou návrh usnesení k navrženým záležitostem nebo je odůvodní.</w:t>
      </w:r>
    </w:p>
    <w:p w14:paraId="3305ECC4" w14:textId="77777777" w:rsidR="00462D63" w:rsidRPr="00B64659" w:rsidRDefault="00462D63" w:rsidP="00462D63">
      <w:pPr>
        <w:spacing w:after="0" w:line="240" w:lineRule="auto"/>
        <w:outlineLvl w:val="2"/>
        <w:rPr>
          <w:rFonts w:ascii="Times New Roman" w:eastAsia="Times New Roman" w:hAnsi="Times New Roman"/>
          <w:b/>
          <w:bCs/>
          <w:sz w:val="20"/>
          <w:szCs w:val="20"/>
          <w:lang w:eastAsia="cs-CZ"/>
        </w:rPr>
      </w:pPr>
    </w:p>
    <w:p w14:paraId="0558E96F" w14:textId="77777777" w:rsidR="00462D63" w:rsidRPr="00B64659" w:rsidRDefault="00462D63" w:rsidP="00462D63">
      <w:pPr>
        <w:spacing w:after="0" w:line="240" w:lineRule="auto"/>
        <w:outlineLvl w:val="2"/>
        <w:rPr>
          <w:rFonts w:ascii="Times New Roman" w:eastAsia="Times New Roman" w:hAnsi="Times New Roman"/>
          <w:b/>
          <w:bCs/>
          <w:sz w:val="20"/>
          <w:szCs w:val="20"/>
          <w:lang w:eastAsia="cs-CZ"/>
        </w:rPr>
      </w:pPr>
      <w:r w:rsidRPr="00B64659">
        <w:rPr>
          <w:rFonts w:ascii="Times New Roman" w:eastAsia="Times New Roman" w:hAnsi="Times New Roman"/>
          <w:b/>
          <w:bCs/>
          <w:sz w:val="20"/>
          <w:szCs w:val="20"/>
          <w:lang w:eastAsia="cs-CZ"/>
        </w:rPr>
        <w:t>Akcionářská žaloba</w:t>
      </w:r>
    </w:p>
    <w:p w14:paraId="3EFFECB7"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sz w:val="20"/>
          <w:szCs w:val="20"/>
          <w:lang w:eastAsia="cs-CZ"/>
        </w:rPr>
        <w:t>Každý kvalifikovaný akcionář je oprávněn se za společnost domáhat náhrady újmy proti členu představenstva nebo dozorčí rady, nebo splnění jejich případné povinnosti plynoucí z dohody podle § 53 odst. 3, anebo splacení emisního kursu proti akcionáři, který je v prodlení s jeho splácením, a v tomto řízení společnost zastupovat; to platí obdobně pro následný výkon rozhodnutí.</w:t>
      </w:r>
    </w:p>
    <w:p w14:paraId="7B28F474"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sz w:val="20"/>
          <w:szCs w:val="20"/>
          <w:lang w:eastAsia="cs-CZ"/>
        </w:rPr>
        <w:t>Kvalifikovaný akcionář právo domáhat se náhrady újmy podle § 371 nemá, bylo-li o újmě rozhodnuto podle § 53 odst. 3, ledaže ten, kdo újmu společnosti způsobil, je jejím jediným společníkem nebo osobou, která ji ovládá.</w:t>
      </w:r>
    </w:p>
    <w:p w14:paraId="6D370D62"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sz w:val="20"/>
          <w:szCs w:val="20"/>
          <w:lang w:eastAsia="cs-CZ"/>
        </w:rPr>
        <w:t>Akcionářskou žalobu lze podat také proti vlivné osobě, způsobí-li společnosti újmu.</w:t>
      </w:r>
    </w:p>
    <w:p w14:paraId="7409638E" w14:textId="77777777" w:rsidR="00462D63" w:rsidRPr="00B64659" w:rsidRDefault="00462D63" w:rsidP="00462D63">
      <w:pPr>
        <w:spacing w:after="0" w:line="240" w:lineRule="auto"/>
        <w:outlineLvl w:val="2"/>
        <w:rPr>
          <w:rFonts w:ascii="Times New Roman" w:eastAsia="Times New Roman" w:hAnsi="Times New Roman"/>
          <w:b/>
          <w:bCs/>
          <w:sz w:val="20"/>
          <w:szCs w:val="20"/>
          <w:lang w:eastAsia="cs-CZ"/>
        </w:rPr>
      </w:pPr>
      <w:r w:rsidRPr="00B64659">
        <w:rPr>
          <w:rFonts w:ascii="Times New Roman" w:eastAsia="Times New Roman" w:hAnsi="Times New Roman"/>
          <w:b/>
          <w:bCs/>
          <w:sz w:val="20"/>
          <w:szCs w:val="20"/>
          <w:lang w:eastAsia="cs-CZ"/>
        </w:rPr>
        <w:t>Nucený přechod účastnických cenných papírů</w:t>
      </w:r>
    </w:p>
    <w:p w14:paraId="273D41A3"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sz w:val="20"/>
          <w:szCs w:val="20"/>
          <w:lang w:eastAsia="cs-CZ"/>
        </w:rPr>
        <w:t>Akcionář je oprávněn požadovat, aby představenstvo svolalo valnou hromadu a předložilo jí k rozhodnutí návrh na přechod všech ostatních účastnických cenných papírů na tohoto akcionáře, jestliže vlastní ve společnosti akcie,</w:t>
      </w:r>
    </w:p>
    <w:p w14:paraId="740BD836"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i/>
          <w:iCs/>
          <w:sz w:val="20"/>
          <w:szCs w:val="20"/>
          <w:lang w:eastAsia="cs-CZ"/>
        </w:rPr>
        <w:t>a)</w:t>
      </w:r>
      <w:r w:rsidRPr="00B64659">
        <w:rPr>
          <w:rFonts w:ascii="Times New Roman" w:eastAsia="Times New Roman" w:hAnsi="Times New Roman"/>
          <w:sz w:val="20"/>
          <w:szCs w:val="20"/>
          <w:lang w:eastAsia="cs-CZ"/>
        </w:rPr>
        <w:t xml:space="preserve"> jejichž souhrnná jmenovitá hodnota činí alespoň 90 % základního kapitálu společnosti, na nějž byly vydány akcie s hlasovacími právy, a</w:t>
      </w:r>
    </w:p>
    <w:p w14:paraId="05729332"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i/>
          <w:iCs/>
          <w:sz w:val="20"/>
          <w:szCs w:val="20"/>
          <w:lang w:eastAsia="cs-CZ"/>
        </w:rPr>
        <w:t>b)</w:t>
      </w:r>
      <w:r w:rsidRPr="00B64659">
        <w:rPr>
          <w:rFonts w:ascii="Times New Roman" w:eastAsia="Times New Roman" w:hAnsi="Times New Roman"/>
          <w:sz w:val="20"/>
          <w:szCs w:val="20"/>
          <w:lang w:eastAsia="cs-CZ"/>
        </w:rPr>
        <w:t xml:space="preserve"> s nimiž je spojen alespoň 90% podíl na hlasovacích právech ve společnosti (dále jen „hlavní akcionář“).</w:t>
      </w:r>
    </w:p>
    <w:p w14:paraId="17859725" w14:textId="77777777" w:rsidR="00462D63" w:rsidRPr="00B64659" w:rsidRDefault="00462D63" w:rsidP="00462D63">
      <w:pPr>
        <w:spacing w:after="0" w:line="240" w:lineRule="auto"/>
        <w:rPr>
          <w:rFonts w:ascii="Times New Roman" w:eastAsia="Times New Roman" w:hAnsi="Times New Roman"/>
          <w:sz w:val="20"/>
          <w:szCs w:val="20"/>
          <w:lang w:eastAsia="cs-CZ"/>
        </w:rPr>
      </w:pPr>
      <w:r w:rsidRPr="00B64659">
        <w:rPr>
          <w:rFonts w:ascii="Times New Roman" w:eastAsia="Times New Roman" w:hAnsi="Times New Roman"/>
          <w:sz w:val="20"/>
          <w:szCs w:val="20"/>
          <w:lang w:eastAsia="cs-CZ"/>
        </w:rPr>
        <w:t>Vlastníci účastnických cenných papírů mají právo na přiměřené protiplnění v penězích, jehož výši určí valná hromada. Hlavní akcionář doloží přiměřenost protiplnění znaleckým posudkem nebo jej odůvodní podle § 391 odst. 1. Posudek nesmí být ke dni doručení žádosti podle § 375 starší než 3 měsíce.</w:t>
      </w:r>
    </w:p>
    <w:p w14:paraId="7B041FD5" w14:textId="77777777" w:rsidR="00462D63" w:rsidRPr="00B64659" w:rsidRDefault="00462D63" w:rsidP="00462D63">
      <w:pPr>
        <w:spacing w:after="0" w:line="240" w:lineRule="auto"/>
        <w:outlineLvl w:val="2"/>
        <w:rPr>
          <w:rFonts w:ascii="Times New Roman" w:eastAsia="Times New Roman" w:hAnsi="Times New Roman"/>
          <w:b/>
          <w:bCs/>
          <w:sz w:val="20"/>
          <w:szCs w:val="20"/>
          <w:lang w:eastAsia="cs-CZ"/>
        </w:rPr>
      </w:pPr>
      <w:r w:rsidRPr="00B64659">
        <w:rPr>
          <w:rFonts w:ascii="Times New Roman" w:eastAsia="Times New Roman" w:hAnsi="Times New Roman"/>
          <w:b/>
          <w:bCs/>
          <w:sz w:val="20"/>
          <w:szCs w:val="20"/>
          <w:lang w:eastAsia="cs-CZ"/>
        </w:rPr>
        <w:t>Právo odkupu</w:t>
      </w:r>
    </w:p>
    <w:p w14:paraId="684633D3" w14:textId="77777777" w:rsidR="00462D63" w:rsidRPr="00B64659" w:rsidRDefault="00462D63" w:rsidP="00462D63">
      <w:pPr>
        <w:spacing w:after="0" w:line="240" w:lineRule="auto"/>
        <w:rPr>
          <w:rFonts w:ascii="Times New Roman" w:hAnsi="Times New Roman"/>
          <w:sz w:val="20"/>
          <w:szCs w:val="20"/>
        </w:rPr>
      </w:pPr>
      <w:r w:rsidRPr="00B64659">
        <w:rPr>
          <w:rFonts w:ascii="Times New Roman" w:eastAsia="Times New Roman" w:hAnsi="Times New Roman"/>
          <w:sz w:val="20"/>
          <w:szCs w:val="20"/>
          <w:lang w:eastAsia="cs-CZ"/>
        </w:rPr>
        <w:t>Vlastníci účastnických cenných papírů, vůči kterým může hlavní akcionář uplatnit postup podle § 375, mohou požadovat, aby jejich účastnické cenné papíry hlavní akcionář odkoupil postupem podle ustanovení tohoto zákona o povinném veřejném návrhu smlouvy</w:t>
      </w:r>
    </w:p>
    <w:p w14:paraId="683F12D2"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56C1F514"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69E3E498"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66C57D5F"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4167A3C4"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40027284"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38F00367"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6ABF4AE6"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47A95A82"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4701F7DB"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318E631A"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3E7CAE6B"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503C0DC5"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2AE922AC"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4CE3EDBC"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5F24298D"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095AE16A"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7E865527"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027DBB79"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2C8DBFA4"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54FDB046" w14:textId="77777777" w:rsidR="00462D63" w:rsidRPr="00B64659" w:rsidRDefault="00462D63" w:rsidP="00462D63">
      <w:pPr>
        <w:autoSpaceDE w:val="0"/>
        <w:autoSpaceDN w:val="0"/>
        <w:adjustRightInd w:val="0"/>
        <w:spacing w:after="0" w:line="240" w:lineRule="auto"/>
        <w:rPr>
          <w:rFonts w:ascii="Times New Roman" w:hAnsi="Times New Roman"/>
          <w:sz w:val="20"/>
          <w:szCs w:val="20"/>
        </w:rPr>
      </w:pPr>
    </w:p>
    <w:p w14:paraId="23605907" w14:textId="77777777" w:rsidR="00CE01ED" w:rsidRPr="00B64659" w:rsidRDefault="00CE01ED">
      <w:pPr>
        <w:rPr>
          <w:rFonts w:ascii="Times New Roman" w:hAnsi="Times New Roman"/>
          <w:sz w:val="20"/>
          <w:szCs w:val="20"/>
        </w:rPr>
      </w:pPr>
    </w:p>
    <w:sectPr w:rsidR="00CE01ED" w:rsidRPr="00B64659"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247CD"/>
    <w:multiLevelType w:val="hybridMultilevel"/>
    <w:tmpl w:val="62ACE55E"/>
    <w:lvl w:ilvl="0" w:tplc="A5E8400C">
      <w:start w:val="13"/>
      <w:numFmt w:val="bullet"/>
      <w:lvlText w:val="-"/>
      <w:lvlJc w:val="left"/>
      <w:pPr>
        <w:ind w:left="720" w:hanging="360"/>
      </w:pPr>
      <w:rPr>
        <w:rFonts w:ascii="Calibri" w:eastAsia="Calibri" w:hAnsi="Calibri"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 w15:restartNumberingAfterBreak="0">
    <w:nsid w:val="5E120FC9"/>
    <w:multiLevelType w:val="multilevel"/>
    <w:tmpl w:val="8F80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432F55"/>
    <w:multiLevelType w:val="hybridMultilevel"/>
    <w:tmpl w:val="862CB650"/>
    <w:lvl w:ilvl="0" w:tplc="FD80A154">
      <w:start w:val="15"/>
      <w:numFmt w:val="bullet"/>
      <w:lvlText w:val="-"/>
      <w:lvlJc w:val="left"/>
      <w:pPr>
        <w:ind w:left="720" w:hanging="360"/>
      </w:pPr>
      <w:rPr>
        <w:rFonts w:ascii="Times New Roman" w:eastAsia="Calibr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D63"/>
    <w:rsid w:val="004262E0"/>
    <w:rsid w:val="00462D63"/>
    <w:rsid w:val="00A97A3C"/>
    <w:rsid w:val="00B64659"/>
    <w:rsid w:val="00B97E5C"/>
    <w:rsid w:val="00CE01E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E2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D63"/>
    <w:pPr>
      <w:spacing w:after="200" w:line="276" w:lineRule="auto"/>
    </w:pPr>
    <w:rPr>
      <w:rFonts w:ascii="Calibri" w:eastAsia="Calibri" w:hAnsi="Calibri" w:cs="Times New Roman"/>
      <w:sz w:val="22"/>
      <w:szCs w:val="22"/>
    </w:rPr>
  </w:style>
  <w:style w:type="paragraph" w:styleId="Heading3">
    <w:name w:val="heading 3"/>
    <w:basedOn w:val="Normal"/>
    <w:next w:val="Normal"/>
    <w:link w:val="Heading3Char"/>
    <w:qFormat/>
    <w:rsid w:val="00462D63"/>
    <w:pPr>
      <w:keepNext/>
      <w:spacing w:before="240" w:after="60" w:line="240" w:lineRule="auto"/>
      <w:outlineLvl w:val="2"/>
    </w:pPr>
    <w:rPr>
      <w:rFonts w:ascii="Arial" w:eastAsia="Times New Roman" w:hAnsi="Arial" w:cs="Arial"/>
      <w:b/>
      <w:bCs/>
      <w:sz w:val="26"/>
      <w:szCs w:val="26"/>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62D63"/>
    <w:rPr>
      <w:rFonts w:ascii="Arial" w:eastAsia="Times New Roman" w:hAnsi="Arial" w:cs="Arial"/>
      <w:b/>
      <w:bCs/>
      <w:sz w:val="26"/>
      <w:szCs w:val="26"/>
      <w:lang w:eastAsia="cs-CZ"/>
    </w:rPr>
  </w:style>
  <w:style w:type="paragraph" w:styleId="ListParagraph">
    <w:name w:val="List Paragraph"/>
    <w:basedOn w:val="Normal"/>
    <w:uiPriority w:val="34"/>
    <w:qFormat/>
    <w:rsid w:val="00462D63"/>
    <w:pPr>
      <w:ind w:left="720"/>
      <w:contextualSpacing/>
    </w:pPr>
  </w:style>
  <w:style w:type="character" w:styleId="HTMLVariable">
    <w:name w:val="HTML Variable"/>
    <w:basedOn w:val="DefaultParagraphFont"/>
    <w:uiPriority w:val="99"/>
    <w:rsid w:val="00462D63"/>
    <w:rPr>
      <w:i/>
      <w:iCs/>
    </w:rPr>
  </w:style>
  <w:style w:type="paragraph" w:customStyle="1" w:styleId="goccl6">
    <w:name w:val="go cc l6"/>
    <w:basedOn w:val="Normal"/>
    <w:rsid w:val="00462D63"/>
    <w:pPr>
      <w:spacing w:before="100" w:beforeAutospacing="1" w:after="100" w:afterAutospacing="1" w:line="240" w:lineRule="auto"/>
    </w:pPr>
    <w:rPr>
      <w:rFonts w:ascii="Times New Roman" w:eastAsia="Times New Roman" w:hAnsi="Times New Roman"/>
      <w:sz w:val="24"/>
      <w:szCs w:val="24"/>
      <w:lang w:eastAsia="cs-CZ"/>
    </w:rPr>
  </w:style>
  <w:style w:type="paragraph" w:customStyle="1" w:styleId="paragoccl5">
    <w:name w:val="para go cc l5"/>
    <w:basedOn w:val="Normal"/>
    <w:rsid w:val="00462D63"/>
    <w:pPr>
      <w:spacing w:before="100" w:beforeAutospacing="1" w:after="100" w:afterAutospacing="1" w:line="240" w:lineRule="auto"/>
    </w:pPr>
    <w:rPr>
      <w:rFonts w:ascii="Times New Roman" w:eastAsia="Times New Roman" w:hAnsi="Times New Roman"/>
      <w:sz w:val="24"/>
      <w:szCs w:val="24"/>
      <w:lang w:eastAsia="cs-CZ"/>
    </w:rPr>
  </w:style>
  <w:style w:type="paragraph" w:customStyle="1" w:styleId="paragoccl6">
    <w:name w:val="para go cc l6"/>
    <w:basedOn w:val="Normal"/>
    <w:rsid w:val="00462D63"/>
    <w:pPr>
      <w:spacing w:before="100" w:beforeAutospacing="1" w:after="100" w:afterAutospacing="1" w:line="240" w:lineRule="auto"/>
    </w:pPr>
    <w:rPr>
      <w:rFonts w:ascii="Times New Roman" w:eastAsia="Times New Roman" w:hAnsi="Times New Roman"/>
      <w:sz w:val="24"/>
      <w:szCs w:val="24"/>
      <w:lang w:eastAsia="cs-CZ"/>
    </w:rPr>
  </w:style>
  <w:style w:type="paragraph" w:customStyle="1" w:styleId="goccl7">
    <w:name w:val="go cc l7"/>
    <w:basedOn w:val="Normal"/>
    <w:rsid w:val="00462D63"/>
    <w:pPr>
      <w:spacing w:before="100" w:beforeAutospacing="1" w:after="100" w:afterAutospacing="1" w:line="240" w:lineRule="auto"/>
    </w:pPr>
    <w:rPr>
      <w:rFonts w:ascii="Times New Roman" w:eastAsia="Times New Roman" w:hAnsi="Times New Roman"/>
      <w:sz w:val="24"/>
      <w:szCs w:val="24"/>
      <w:lang w:eastAsia="cs-CZ"/>
    </w:rPr>
  </w:style>
  <w:style w:type="character" w:styleId="Emphasis">
    <w:name w:val="Emphasis"/>
    <w:basedOn w:val="DefaultParagraphFont"/>
    <w:uiPriority w:val="20"/>
    <w:qFormat/>
    <w:rsid w:val="00462D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1273</Words>
  <Characters>7515</Characters>
  <Application>Microsoft Office Word</Application>
  <DocSecurity>0</DocSecurity>
  <Lines>62</Lines>
  <Paragraphs>17</Paragraphs>
  <ScaleCrop>false</ScaleCrop>
  <HeadingPairs>
    <vt:vector size="6" baseType="variant">
      <vt:variant>
        <vt:lpstr>Title</vt:lpstr>
      </vt:variant>
      <vt:variant>
        <vt:i4>1</vt:i4>
      </vt:variant>
      <vt:variant>
        <vt:lpstr>Headings</vt:lpstr>
      </vt:variant>
      <vt:variant>
        <vt:i4>16</vt:i4>
      </vt:variant>
      <vt:variant>
        <vt:lpstr>Oslovení</vt:lpstr>
      </vt:variant>
      <vt:variant>
        <vt:i4>1</vt:i4>
      </vt:variant>
    </vt:vector>
  </HeadingPairs>
  <TitlesOfParts>
    <vt:vector size="18" baseType="lpstr">
      <vt:lpstr/>
      <vt:lpstr>        Akcie</vt:lpstr>
      <vt:lpstr>        Kusové akcie</vt:lpstr>
      <vt:lpstr>        - Je-li cenný papír nahrazen zápisem do příslušné evidence a nelze-li jej převés</vt:lpstr>
      <vt:lpstr>        Forma akcie:</vt:lpstr>
      <vt:lpstr>        </vt:lpstr>
      <vt:lpstr>        Práva a povinnosti akcionáře</vt:lpstr>
      <vt:lpstr>        Vkladová povinnost</vt:lpstr>
      <vt:lpstr>        Hlasovací právo</vt:lpstr>
      <vt:lpstr>        Kumulativní hlasování</vt:lpstr>
      <vt:lpstr>        Právo na vysvětlení</vt:lpstr>
      <vt:lpstr>        Právo uplatňovat návrhy a protinávrhy</vt:lpstr>
      <vt:lpstr>        Práva kvalifikovaných akcionářů</vt:lpstr>
      <vt:lpstr>        </vt:lpstr>
      <vt:lpstr>        Akcionářská žaloba</vt:lpstr>
      <vt:lpstr>        Nucený přechod účastnických cenných papírů</vt:lpstr>
      <vt:lpstr>        Právo odkupu</vt: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Sandra BARTELOVA</cp:lastModifiedBy>
  <cp:revision>2</cp:revision>
  <cp:lastPrinted>2017-05-10T13:10:00Z</cp:lastPrinted>
  <dcterms:created xsi:type="dcterms:W3CDTF">2020-05-11T21:54:00Z</dcterms:created>
  <dcterms:modified xsi:type="dcterms:W3CDTF">2020-05-11T21:54:00Z</dcterms:modified>
</cp:coreProperties>
</file>