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6E8" w:rsidRDefault="00D246E8" w:rsidP="00D246E8">
      <w:pPr>
        <w:rPr>
          <w:rFonts w:ascii="Arial" w:eastAsia="Arial" w:hAnsi="Arial" w:cs="Arial"/>
          <w:color w:val="022048"/>
          <w:sz w:val="36"/>
          <w:szCs w:val="36"/>
        </w:rPr>
      </w:pPr>
      <w:r w:rsidRPr="4E68F815">
        <w:rPr>
          <w:rFonts w:ascii="Times New Roman" w:eastAsia="Times New Roman" w:hAnsi="Times New Roman" w:cs="Times New Roman"/>
          <w:b/>
          <w:bCs/>
          <w:sz w:val="28"/>
          <w:szCs w:val="28"/>
        </w:rPr>
        <w:t>3. Obchodní firma a obchodní tajemství a jejich ochrana. Obchodní listiny.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Obchodní firma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Obchodní firma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je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jméno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, pod kterým je podnikatel zapsán do obchodního rejstříku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-Podnikatel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nesmí mít více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obchodních firem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-Podnikatelé – FO, kteří nejsou zapsáni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do obchodního rejstříku, vystupují v právních vztazích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pod svým jménem a příjmením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k němuž mohou připojit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dodatky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charakterizující jejich podnikání (ty nesmí být klamavé)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-Podnikatelé – FO, kteří se zapíší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do obchodního rejstříku, si mohou vybrat i jinou obchodní firmu než jejich jméno a příjmení, taková (tzv.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fantazijní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obchodní firma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však nesmí vytvářet dojem že se jedná o právnickou osobu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-Jménem právnické osoby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je její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název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pokud je však zapsána v obchodním rejstříku (povinně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obchodní korporace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), je jejím jménem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obchodní firma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-Podnikatel – PO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tak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může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v právních vztazích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vystupovat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buď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pod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svým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názvem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není-li zapsán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v obchodním rejstříku), anebo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pod obchodní firmou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(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je-li zapsán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v obchodním rejstříku)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-Název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či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obchodní firma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 může obsahovat i jméno člověka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, podmínkou je však jeho souhlas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-Název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či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obchodní firma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 může obsahovat i prvek názvu jiné právnické osoby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, je-li proto důvod v jejich vzájemném vztahu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Tvorba obchodní firmy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-Podnikatel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si může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obchodní firmu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svobodně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zvolit sám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-Firmu tvoří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firemní kmen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a povinné či nepovinné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dodatky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-Povinným dodatkem ve firmě právnických osob je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označení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jejich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právní formy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-Limitem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je pouze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zákaz klamavosti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zaměnitelnosti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obchodní firmy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-Zákaz zaměnitelnosti firmy souvisí se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zásadou jedinečnosti firmy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(rejstříkový soud z úřední povinnosti zkoumá zaměnitelnost s již zapsanými firmami)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-Soulad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se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zapsanými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ochrannými známkami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vžitými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označeními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či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doménovými jmény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ale rejstříkový soud nezkoumá, jejich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držitelé se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proti nesouladu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musí individuálně bránit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-Zásada jedinečnosti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nezaměnitelnosti firmy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je však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oslabena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v případě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podnikatelských seskupení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(v jeho rámci jsou shodné prvky firem povoleny)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-Zásada pravdivosti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firmy je dnes pojímána liberálně (nemusí vystihovat předmět podnikání) a znamená pouze, že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firma nemůže být klamavá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-Zásada vázanosti firmy na obchodní závod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(přechází-li závod, přechází s ním zásadně i obchodní firma)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-Samostatně převoditelná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je firma jen, jestliže se dosavadní vlastník vzdá jejího užívání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-Při přeměně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právnické osoby firma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přechází na právního nástupce</w:t>
      </w:r>
    </w:p>
    <w:p w:rsidR="00D246E8" w:rsidRDefault="00D246E8" w:rsidP="00D246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Ochrana obchodní firmy: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-Obchodní firma požívá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právní ochrany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, a to jak prostřednictvím speciálních ustanovení ObčZ, tak prostřednictvím pravidel o ochraně před nekalou soutěží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-Ochrana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práv k firmě náleží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tomu, kdo ji po právu použil poprvé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-Porušení práv k firmě je díky odkazu na nekalou soutěž pojímáno jako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ohrožovací delikt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tj. stačí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potencionalita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porušení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práva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-Vlastník firmy může proti rušiteli požadovat, aby se tohoto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rušení zdržel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anebo aby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odstranil závadný stav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-Kromě toho mu vzniká právo na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přiměřené zadostiučinění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(nemajetkové újmy),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náhradu škody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(majetkové újmy) a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vydání bezdůvodného obohacení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Obchodní listiny: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-Pojem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obchodní listina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není ObčZ upraven, ale lze ji definovat jako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písemnost adresovanou třetí osobě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, jestliže souvisí s podnikatelskou činností odesílatele.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-Podle § 435 ObčZ musí každý podnikatel uvádět na obchodních listinách a v rámci informací zpřístupňovaných veřejnosti prostřednictvím dálkového přístupu své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jméno a sídlo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-Podnikatel zapsaný v obchodním rejstříku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uvede na obchodní listině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též údaj o tomto zápisu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včetně oddílu a vložky; podnikatel zapsaný v jiném veřejném rejstříku uvede údaj o svém zápisu do tohoto rejstříku; podnikatel nezapsaný ve veřejném rejstříku uvede údaj o svém zápisu do jiné evidence.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Byl-li podnikateli přidělen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identifikující údaj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, uvede i ten.</w:t>
      </w:r>
      <w:r>
        <w:br/>
      </w:r>
      <w:r>
        <w:br/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Obchodní tajemství: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-Obchodní tajemství je definováno v § 504 ObčZ jako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skutečnosti konkurenčně významné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určitelné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ocenitelné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a v příslušných obchodních kruzích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běžně nedostupné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které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souvisejí se závodem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a jejichž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vlastník zajišťuje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ve svém zájmu odpovídajícím způsobem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jejich utajení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-Obchodní tajemství je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chráněno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ustanoveními zákona o nekalé soutěži, které podnikatele chrání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před porušením nebo ohrožením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jeho obchodního tajemství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jednáním v rozporu s dobrými mravy soutěže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které je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způsobilé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(potencionalita)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způsobit mu újmu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-Podobnou povahu jako obchodní tajemství mohou mít např. i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skutečnosti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které si podnikatelé sdělují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 rámci jednání před uzavřením smlouvy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(§ 1728 ObčZ), dá-li při tomto jednání jedna strana druhé najevo, že jde o důvěrný údaj,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nesmí jej druhá strana zneužít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(§ 1730 ObčZ)</w:t>
      </w:r>
    </w:p>
    <w:p w:rsidR="00F670DA" w:rsidRDefault="00F670DA">
      <w:bookmarkStart w:id="0" w:name="_GoBack"/>
      <w:bookmarkEnd w:id="0"/>
    </w:p>
    <w:sectPr w:rsidR="00F670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42899"/>
    <w:multiLevelType w:val="hybridMultilevel"/>
    <w:tmpl w:val="5E22D976"/>
    <w:lvl w:ilvl="0" w:tplc="2BF85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E2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9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CD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E0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23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AC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67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4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EE"/>
    <w:rsid w:val="00514AEE"/>
    <w:rsid w:val="00D246E8"/>
    <w:rsid w:val="00F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0E60"/>
  <w15:chartTrackingRefBased/>
  <w15:docId w15:val="{3B5365F2-96A3-4ACC-AB1C-1C71F80B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4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649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2020-05-19T09:40:00Z</dcterms:created>
  <dcterms:modified xsi:type="dcterms:W3CDTF">2020-05-19T09:40:00Z</dcterms:modified>
</cp:coreProperties>
</file>