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099" w:rsidRDefault="00F76099" w:rsidP="00F76099">
      <w:pPr>
        <w:rPr>
          <w:rFonts w:ascii="Times New Roman" w:eastAsia="Times New Roman" w:hAnsi="Times New Roman" w:cs="Times New Roman"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>30. Zvláštní úprava některých obchodních korporací (banky, pojišťovny a zajišťovny, družstevní záložny, investiční společnosti a investiční fondy)</w:t>
      </w:r>
      <w:r w:rsidRPr="4E68F81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6099" w:rsidRDefault="00F76099" w:rsidP="00F76099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OBECNĚ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·       obsaženo ve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zvláštních zákonech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, které jsou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ve vztahu speciality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 k úpravě v zákoně o obchodních korporacích a občanském zákoníku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právo EU – nařízení o obezřetnostních požadavcích na úvěrové instituce a investiční podniky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·       požadavek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udělení povolení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 (licence)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ČNB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provozní požadavky a zásady hospodaření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 – účelem je zabezpečit obezřetný způsob hospodaření a vytváření dostatečných rezerv, korporace musí mít zpracováný odpovídající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řídící a kontrolní systém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Založení a vznik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obecná právní úprava právní formy OK, která je pro danou činnost předepsána, doplněná o podmínky stanovené zvláštním zákonem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požadavky na udělení povolení: dostatek finančních zdrojů, splacení ZK v požadované výši, důvěryhodnost a způsobilost osob, technická a organizační opatření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povolení obsahuje vymezení podnikatelských činností, k jejichž provozování je zvláštní korporace oprávněna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povolení je uděleno na dobu neurčitou a je nepřevoditelné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Organizace zvláštní korporace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zvláštní zákon stanovuje požadavky na jednotlivé orgány, popř. předepisuje povinnost zřídit další orgány (výbor pro audit, výbory pro rizika, úvěrová komise atd.)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k přijetí některých zásadních rozhodnutí NO se vyžaduje souhlas orgánu státního dohledu (např. ČNB), jinak jsou neplatná; informační povinnost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členové SO mají zvláště upravenou odpovědnost za plnění svých povinností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další náležitosti stanov za účelem vyšší transparentnosti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Společníci zvláštní korporace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zájemci o nabytí kvalifikované účasti na zvláštní OK nebo o její ovládání musí požádat o souhlas dohledový orgán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je posuzována důvěryhodnost žadatele (popř. jeho orgánů), odborná způsobilost a zkušenost atd.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při neplnění zákonem stanovených podmínek může dohledový orgán společníkovi pozastavit výkon některých práv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Státní dohled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předmětem státního dohledu je dodržování podmínek povolení a právních předpisů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korporace je povinna orgánu státního dohledu poskytnout stanovené podklady a informace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dohledový orgán je oprávněn přijmout nápravná opatření a sankce vůči korporaci, např. nucenou správu korporace (pozastavuje se výkon funkce všech orgánů banky, správce má postavení SO)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Zrušení a zánik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platí obecná úprava doplněná zvláštním zákonem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lastRenderedPageBreak/>
        <w:t>·       soud rozhodne o zrušení a likvidaci, pokud byly porušeny podmínky pro vznik nebo zákon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likvidace – likvidátora jmenuje a odvolává soud na návrh ČNB</w:t>
      </w:r>
    </w:p>
    <w:p w:rsidR="00F76099" w:rsidRDefault="00F76099" w:rsidP="00F76099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BANKY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banka je OK, jejímž účelem je provádět bankovní obchody: přijímat vklady, poskytovat úvěry a zajišťovat platební styk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synonymem banky je spořitelna (dříve rozdíl – spořitelny byly zaměřené na FO)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banka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AS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 (nebo SE) se sídlem v ČR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přijímá vklady od veřejnosti, poskytuje úvěry 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na základě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bankovní licence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o   další činnosti: platební styk a zúčtování, vydávání a správa platebních karet a cestovních šeků, poskytování záruk, otvírání akreditivů, obstarávání inkasa, poskytování investičních služeb atd.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Založení a vznik banky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žádost k udělení licence může předložit již vzniklá AS, zakladatel nové AS, spořitelní a úvěrní družstvo, pokud současně požádá o souhlas se změnou právní formy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zvláštní požadavky na AS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o   průhledný a nezávadný původ ZK a dalších finančních zdrojů banky, minimální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výše ZK 500 000 000 Kč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splacený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 ZK v plné výši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o   důvěryhodnost a odborná způsobilost osoby, které má být licence udělena, osob s kvalifikovanou účastí, nebo 20 největších akcionářů, členů volených orgánů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o   požadavky na osoby úzce propojené s bankou (průhlednost, nesmí bránit bankovnímu dohledu)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organizační struktura banky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·       požadavky na volené orgány: představenstvo musí mít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alespoň 3 členy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, SR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alespoň 5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 (z nich jedním správní ředitel); členem voleného orgánu může být jen FO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>·       významná banka je povinna zřídit další orgány: výbor pro rizika, výbor pro jmenování, výbor pro odměňování</w:t>
      </w:r>
    </w:p>
    <w:p w:rsidR="00F76099" w:rsidRDefault="00F76099" w:rsidP="00F76099">
      <w:pPr>
        <w:rPr>
          <w:rFonts w:ascii="Times New Roman" w:eastAsia="Times New Roman" w:hAnsi="Times New Roman" w:cs="Times New Roman"/>
          <w:color w:val="000000" w:themeColor="text1"/>
        </w:rPr>
      </w:pP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·       povinnost zřídit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</w:rPr>
        <w:t>výbor pro audit</w:t>
      </w:r>
      <w:r w:rsidRPr="4E68F815">
        <w:rPr>
          <w:rFonts w:ascii="Times New Roman" w:eastAsia="Times New Roman" w:hAnsi="Times New Roman" w:cs="Times New Roman"/>
          <w:color w:val="000000" w:themeColor="text1"/>
        </w:rPr>
        <w:t xml:space="preserve"> (3 členové, nejméně jeden nezávislý na bance)</w:t>
      </w:r>
      <w:r>
        <w:br/>
      </w:r>
    </w:p>
    <w:p w:rsidR="00F76099" w:rsidRDefault="00F76099" w:rsidP="00F76099">
      <w:pPr>
        <w:pStyle w:val="Heading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E68F815">
        <w:rPr>
          <w:rFonts w:ascii="Calibri" w:eastAsia="Calibri" w:hAnsi="Calibri" w:cs="Calibri"/>
          <w:caps/>
          <w:color w:val="000000" w:themeColor="text1"/>
          <w:sz w:val="22"/>
          <w:szCs w:val="22"/>
        </w:rPr>
        <w:t>DRUŽSTEVNÍ ZÁLOŽNY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zákon č. 87/1995 Sb.,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 spořitelních a úvěrních družstvech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činnost: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přijímání vkladů a poskytování úvěrů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jenom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svým členům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další činnosti – pouze pro členy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finanční leasing, platební styk, zúčtování a vydávání a správa platebních prostředků, poskytování záruk ve formě ručení nebo bankovní záruky, otvírání akreditivů, obstarání inkasa atd.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firma musí obsahovat označení „spořitelní a úvěrní družstvo“/„družstevní záložna“/„spořitelní družstvo“/„úvěrní družstvo“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hospodaření družstevní záložny – družstevní záložna zřizuje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rizikový fond a rezervní fond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Založení a vznik družstevní záložny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nejméně 30 členů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musí být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splacena částka nejméně 35 000 000 Kč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ze ZK – družstvo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se sídlem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na území ČR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Členství v družstevní záložně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povinnost seznámit všechny uchazeče o členství se všemi skutečnostmi souvisejícími s členstvím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družstevní podíl přechází na právního nástupce člena, který zemřel nebo zanikl, pokud je způsobilý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družstevní podíl lze převést na jinou osobu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při hlasování má každý člen tolik hlasů, kolik násobků základního členského vkladu do družstva vložil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předmět členského vkladu může být pouze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peněžitý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Organizace družstevní záložny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úvěrová komise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nejméně 3 členové; rozhoduje o poskytování úvěrů a záruk a zajištění úvěrů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významné družstevní záložny zřizují výbor pro rizika, výbor pro jmenování, výbor pro odměňování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výbor pro audit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Přeměny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fúze je možná jen s jinou družstevní záložnou, rozdělení lze pouze na družstevní záložny – nutný předchozí souhlasu ČNB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změna právní formy je možná pouze na AS, pokud ČNB a udělila souhlas a rozhodla o udělení bankovní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licence</w:t>
      </w:r>
    </w:p>
    <w:p w:rsidR="00F76099" w:rsidRDefault="00F76099" w:rsidP="00F76099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POJIŠTOVNY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pojištění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sdružení osob, které se cítí ohroženy nahodilým vznikem určité majetkové potřeby, a které se sdružily za účelem společného uhrazení této potřeby, vznikne-li některé ze zúčastněných osob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pojištění v oboru práva veřejného: sociální, nemocenské, důchodové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pojištění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 oboru práva soukromého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 dobrovolné pojištění – pojištění životní a neživotní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pojišťovna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oprávněna provozovat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pojišťovací činnost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 základě a v rozsahu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povolení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AS nebo družstvo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na území ČR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provozní požadavky a zásady hospodaření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povinnost vytváření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technických rezerv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(peněžní prostředky na výplatu pojistných plnění)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   povinnost udržovat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disponibilní míru solventnosti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(upravená výše vlastních zdrojů, garanční fond pojišťovny)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Pojišťovací činnost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přebírání pojistných rizik na základě uzavřených pojistných smluv a plnění z nich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správa pojištění, likvidace pojistných událostí, poskytování asistenčních služeb, uzavírání smluv se zajišťovnami (zajišťovací činnost – přebírání pojistných rizik pojišťovny) o zajištění závazků vyplývajících z pojistných smluv, činnost směřující k předcházení vzniku škod a zmirňování jejich následků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Založení a vznik pojišťovny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podmínky pro udělení povolení: požadavky na výši ZK, splacené vklady, slovo „pojišťovna“ ve firmě</w:t>
      </w:r>
    </w:p>
    <w:p w:rsidR="00F76099" w:rsidRDefault="00F76099" w:rsidP="00F76099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Organizace pojišťovny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pojišťovna je povinna ustanovit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odpovědného pojistného matematika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posuzuje správnost různých výpočtů, zpracovává ročně zprávu o své činnosti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pojišťovna je povinna zřídit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výbor pro audit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Zajišťovny</w:t>
      </w:r>
      <w:r>
        <w:br/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– instituce, které pojišťují pojišťovny pro případ zabezpečení finančních prostředků pojišťovny při vzniku nahodilých událostí velkého rozsahu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Investiční společnosti:</w:t>
      </w:r>
    </w:p>
    <w:p w:rsidR="00F76099" w:rsidRDefault="00F76099" w:rsidP="00F76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právnická osoba ve formě akciové společnosti se sídlem v ČR</w:t>
      </w:r>
    </w:p>
    <w:p w:rsidR="00F76099" w:rsidRDefault="00F76099" w:rsidP="00F76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na základě povolení uděleného ČNB oprávněna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obhospodařovat investiční fond nebo zahraniční investiční fond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popřípadě provádět administraci investičního fondu nebo zahraničního investičního fondu</w:t>
      </w:r>
    </w:p>
    <w:p w:rsidR="00F76099" w:rsidRDefault="00F76099" w:rsidP="00F76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nebo vykonávat další činnosti – portfolio management, úschova a správa investičních nástrojů, investiční poradenství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Zrušení: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rozhodnutím soudu – likvidátora jmenuje na návrh ČNB soud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rozhodnutím příslušného orgánu investiční společnosti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uplynutím doby, na kterou byla založena</w:t>
      </w:r>
    </w:p>
    <w:p w:rsidR="00F76099" w:rsidRDefault="00F76099" w:rsidP="00F760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příslušný orgán investiční společnosti rozhodne o podání žádosti o jmenování likvidátora ČNB bez zbytečného odkladu po rozhodnutí o zrušení s likvidací či nejpozději 2 měsíce před uplynutím doby, na kterou byla investiční společnost založena</w:t>
      </w:r>
    </w:p>
    <w:p w:rsidR="00F76099" w:rsidRDefault="00F76099" w:rsidP="00F76099">
      <w:pPr>
        <w:ind w:left="180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Likvidátor investiční společnosti</w:t>
      </w:r>
    </w:p>
    <w:p w:rsidR="00F76099" w:rsidRDefault="00F76099" w:rsidP="00F76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Jmenování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osoba způsobilá být členem statutárního orgánu (§ 189 NOZ) → plně svéprávná (§ 152 odst. 2 NOZ)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dle § 350 ZISIF jmenuje ČNB, která není vázána osobou navrhovanou investiční společností v podané žádosti</w:t>
      </w:r>
    </w:p>
    <w:p w:rsidR="00F76099" w:rsidRDefault="00F76099" w:rsidP="00F76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Odměna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vyhláška ČNB č. 474/2013 Sb., o odměně likvidátora, nuceného správce a insolvenčního správce některých poskytovatelů služeb na kapitálovém trhu a o náhradě jejich hotových výdajů</w:t>
      </w:r>
    </w:p>
    <w:p w:rsidR="00F76099" w:rsidRDefault="00F76099" w:rsidP="00F76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Hrazení nákladů likvidace a odměny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primárně z majetku investiční společnosti, pokud nepostačuje, vyplatí je stát</w:t>
      </w:r>
    </w:p>
    <w:p w:rsidR="00F76099" w:rsidRDefault="00F76099" w:rsidP="00F760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vyhláška č. 474/2013 Sb.</w:t>
      </w:r>
    </w:p>
    <w:p w:rsidR="00F76099" w:rsidRDefault="00F76099" w:rsidP="00F76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Povinnost likvidátora jednat s odbornou péčí (x porušení je správní delikt/přestupek → sankce: pokuta do 10 mil. Kč – podnikající FO, do 5 mil. Kč – FO)</w:t>
      </w:r>
    </w:p>
    <w:p w:rsidR="00F76099" w:rsidRDefault="00F76099" w:rsidP="00F76099">
      <w:pPr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:rsidR="00F76099" w:rsidRDefault="00F76099" w:rsidP="00F76099">
      <w:pPr>
        <w:pStyle w:val="Heading2"/>
      </w:pPr>
      <w:r>
        <w:br/>
      </w:r>
      <w:r>
        <w:br/>
      </w:r>
      <w:r w:rsidRPr="4E68F815">
        <w:rPr>
          <w:rFonts w:ascii="Calibri" w:eastAsia="Calibri" w:hAnsi="Calibri" w:cs="Calibri"/>
          <w:caps/>
          <w:color w:val="000000" w:themeColor="text1"/>
          <w:sz w:val="22"/>
          <w:szCs w:val="22"/>
        </w:rPr>
        <w:t>INVESTIČNÍ FONDY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Investiční fondy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základní investiční i organizační jednotka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soubor jmění, soustředěný za účelem a v souvislosti se zákonem vymezeným způsobem kolektivního obhospodařování takového jmění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Investiční fondy s právní osobností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OK, jež zákon pro tyto účely připouští: KS, SRO, SE, AS, družstvo (jen fond kvalifikovaných investorů), AS (i fond kolektivního investování)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Investiční fondy bez právní osobnosti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(1) podílový fond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nemůže vlastnit majetek ani dlužit, nelze za něj vystupovat v právních vztazích, vlastním jménem na účet jmění ve fondu jednají obhospodařovatel či administrátor (investiční společnost)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majetek v podílovém fondu soustředí administrátor na kapitálovém trhu emisí podílových listů; nabyvatelé těchto cenných papírů se stávají podílníky; majetek koncentrovaný ve fondu se stává zvláštním typem jejich společného vlastnictví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podílníci nejsou dlužníci z dluhů ani za ně neručí, k uspokojení věřitele slouží majetek v podílovém fondu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podílníci nenabývají účast v investiční společnosti, jsou jen smluvními partnery; může být svoláno shromáždění podílníků pro schválení důležitých změn dotýkajících se jejich práv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(2) svěřenský fond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Otevřený investiční fond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 cenným papírem vydaným investorům je spojeno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právo na zpětný odkup výstavcem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bez právní osobnosti – otevřené podílové fondy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 právní osobností – AS s proměnným ZK, družstvo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Uzavřený investiční fond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administrátoři vydávají cenné papíry, se kterými není spojeno právo zpětného odkupu výstavcem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uzavřené podílové fondy, AS s fixním ZK, SE, SRO, KS.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Fondy kolektivního investování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soustředí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majetek od široké investorské veřejnosti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, zvláště neprofesionální; rigidita právní úpravy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podílový fond nebo AS, uzavřené i otevřeně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standardní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splňují požadavky směrnice UCITS IV, zápis do seznamu vedeného ČNB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speciální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vymykají se požadavkům směrnice UCITS IV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Fondy kvalifikovaných investorů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soustředí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majetek od profesionálních investorů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; flexibilnější úprava – nižší potřeba ochrany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podílový fond (otevřený/uzavřený), svěřenský fond, KS (běžná/investiční listy), SRO, AS (s proměnným/fixním ZK), SE, družstvo</w:t>
      </w:r>
    </w:p>
    <w:p w:rsidR="00F76099" w:rsidRDefault="00F76099" w:rsidP="00F76099">
      <w:pPr>
        <w:pStyle w:val="Heading3"/>
      </w:pP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Další druhy fondů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fondy cenných papírů (akciové, dluhopisové, peněžního trhu, smíšené), fondy nemovitostní, fondy fondů aj.</w:t>
      </w:r>
    </w:p>
    <w:p w:rsidR="00F76099" w:rsidRDefault="00F76099" w:rsidP="00F76099">
      <w:pPr>
        <w:pStyle w:val="Heading2"/>
      </w:pPr>
      <w:r w:rsidRPr="4E68F815">
        <w:rPr>
          <w:rFonts w:ascii="Calibri" w:eastAsia="Calibri" w:hAnsi="Calibri" w:cs="Calibri"/>
          <w:caps/>
          <w:color w:val="000000" w:themeColor="text1"/>
          <w:sz w:val="22"/>
          <w:szCs w:val="22"/>
        </w:rPr>
        <w:t>SUBJEKTY POSKYTUJÍCÍ INVESTIČNÍM FONDŮM SLUŽBY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IF s právní osobností nemusí být zastoupené investiční společností, pak se jedná o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samosprávný investiční fond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investiční společnost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může vykonávat činnost obhospodařovatele i administrátora, ale ČNB může udělit i licenci jen na jedno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obhospodařovatel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správa majetku v IF včetně investování na jeho účet a řízení rizik s tím spojených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administrátor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zajišťování neinvestiční správy fondu – vydávání a odkupování cenných papírů, rozdělování a vyplácení výnosů, vedení účetnictví a právní služby atd.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depozitář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musí jej mít každý IF, musí být oddělen od obhospodařovatele a administrátora</w:t>
      </w:r>
    </w:p>
    <w:p w:rsidR="00F76099" w:rsidRDefault="00F76099" w:rsidP="00F76099">
      <w:pPr>
        <w:ind w:left="360" w:hanging="360"/>
        <w:jc w:val="both"/>
      </w:pPr>
      <w:r w:rsidRPr="4E68F815">
        <w:rPr>
          <w:rFonts w:ascii="Courier New" w:eastAsia="Courier New" w:hAnsi="Courier New" w:cs="Courier New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kontrolní funkce, vedení účtů fondu, opatrování, úschově či evidenci věcí tvořící majetek fondu</w:t>
      </w:r>
    </w:p>
    <w:p w:rsidR="00F76099" w:rsidRDefault="00F76099" w:rsidP="00F76099"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hlavní podpůrce (prime broker)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zajišťování financování fondu a vypořádání obchodů na základě smlouvy s obhospodařovatelem</w:t>
      </w:r>
    </w:p>
    <w:p w:rsidR="00F76099" w:rsidRDefault="00F76099" w:rsidP="00F76099">
      <w:pPr>
        <w:pStyle w:val="Heading2"/>
        <w:ind w:left="360" w:hanging="360"/>
        <w:jc w:val="both"/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0"/>
          <w:szCs w:val="20"/>
        </w:rPr>
        <w:t>ZVLÁŠTNÍ FORMY OBCHODNÍCH KORPORACÍ JAKO INVESTIČNÍ FONDY</w:t>
      </w:r>
    </w:p>
    <w:p w:rsidR="00F76099" w:rsidRDefault="00F76099" w:rsidP="00F76099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Akciová společnost s proměnným základním kapitálem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lze ji založit jen jako IF; povinný firemní dodatek „investiční fond s proměnným základním kapitálem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výše ZK průběžně kolísá v závislosti na tom, kolik akcií se momentálně nachází v oběhu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zakladatelské akcie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tvoří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zapisovaný ZK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(na ten se vztahuje ZOK)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investiční akcie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tvoří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fondový kapitál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(nezapisuje se do obchodního rejstříku), společnost je od akcionářů kdykoliv zpětně odkupuje (pak zaniknou; otevřený fond), kusové; spojena další akcionářská práva, může být vyloučeno právo hlasovat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podfondy – účetně a majetkově oddělené části jmění společnosti, samostatně obhospodařovány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vnitřní struktura – pouze monistický systém [statutární ředitel (většinou investiční společnost), SR má výlučně kontrolní činnost]</w:t>
      </w:r>
    </w:p>
    <w:p w:rsidR="00F76099" w:rsidRDefault="00F76099" w:rsidP="00F76099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Komanditní společnost na investiční listy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jen jako IF, jiný předmět podnikání nebo činnosti mít nesmí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podíly komanditistů vtěleny do cenných papírů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investičních listů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(cenný papír na řad);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zákaz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vyloučení převoditelnosti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povinný firemní dodatek „na investiční listy“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jen jako fond kvalifikovaných investorů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v případě samosprávného IF musí mít komplementář souhlas ČNB</w:t>
      </w:r>
    </w:p>
    <w:p w:rsidR="00F76099" w:rsidRDefault="00F76099" w:rsidP="00F76099">
      <w:pPr>
        <w:ind w:left="363" w:hanging="363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komplementářem nesamosprávného IF může být pouze PO se souhlasem ČNB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komanditisté vůbec neručí za dluhy společnosti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pouze jeden komplementář, vkladovou povinnost lze plnit jen v penězích</w:t>
      </w:r>
      <w:r>
        <w:br/>
      </w:r>
      <w:r>
        <w:br/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PRAMENY PRÁVNÍ ÚPRAVY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OZ ze „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závazků ze smluv o přepravě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“ rozlišuje tři typy přepravy: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i)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přeprava osob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ii)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přeprava věcí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iii)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provoz dopravního prostředku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přeprava osob/věcí však může být realizována i jinak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např. zasílatelství nebo nájem dopravního prostředku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obecná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převážně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dispozitivní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úprava +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univerzální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(bez ohledu na druh přepravy)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druhy přeprav: a)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silniční,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letecká,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železniční,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vodní námořní,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e)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vodní vnitrozemská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dílčí specifika jednotlivých druhů pak upraveny zvl. právními předpisy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prameny: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mezinárodní úprava –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např.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Úmluva CMR (o přepravní smlouvě v mez. silniční nákladní dopravě), Úmluva CVR (v mez. silniční přepravě cestujících a zavazadel), Úmluva o mezin. železniční přepravě,…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evropské právo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(různá nařízení: o P@P cestujících v železniční přepravě, o právech cestujících v autobusové dopravě, o odpovědnosti leteckého dopravce v případě nehody, pravidla náhrad při odepření nástupu na palubu, zrušení, významné zpoždění letu)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národní úprava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z. o silniční dopravě, z. o dráhách, z. o vnitrozemské plavbě, z. o civilním letectví, z. o námořní plavbě, z. o cenách (na jeho základě: výměr MF 01/2018, -seznam zboží s regulov. cenami-jízdné)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přepravní řády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podzákonné předpisy (vyhláška/nařízení vlády); podrobné přepravní podmínky u druhů přepravy (jen 2: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pro veřejnou drážní a silniční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osobní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dopravu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&amp; pro veřejnou drážní nákladní dopravu)</w:t>
      </w:r>
    </w:p>
    <w:p w:rsidR="00F76099" w:rsidRDefault="00F76099" w:rsidP="00F76099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smluvní přepravní podmínky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vydávané jednotlivými přepravci na základě zmocnění obsaženého v přepravních řádech (příp. jako součást smlouvy o přepravě)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1. PŘEPRAVA OSOB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strany smlouvy o přepravě osob: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dopravce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X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cestující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podstatné náležitosti: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závazek dopravce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přepravit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cestujícího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do místa určení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závazek cestujícího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zaplatit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za tuto přepravu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jízdné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povinnosti dopravce vůči cestujícímu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přepravit cestujícího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včas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OZ: pokud jde 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nepravidelnou přepravu osob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právo na náhradu škody [6 měs.]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u pravidelné přepravy není p. na náhradu škody, může se domáhat přepravy nejbližším vhodným spojem, vrácení jízdného za neprojetý úsek cesty [lze uplatnit do 6 měsíců]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pečovat o bezpečnost a pohodlí cestujícího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povinnost počínat si tak, aby cestujícímu nevznikla 1) jakákoliv újma na jeho životě či zdraví či věcech/zavazadlech, co má u sebe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posuzuje se jako: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ad 1) náhrada škody způsobená provozem dopravního prostředku (§ 2554/1)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pečovat řádně o zavazadla cestujícího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u těch přepravovaných odděleně se posuzuje jako: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ad 2) náhrada škody při přepravě věci (§ 2554/2)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zavazadla přepravovaná: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společně s cestujícím (pod jeho osobním dohledem):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ruční zavazadla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+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spoluzavazadla</w:t>
      </w:r>
    </w:p>
    <w:p w:rsidR="00F76099" w:rsidRDefault="00F76099" w:rsidP="00F76099">
      <w:pPr>
        <w:ind w:left="357" w:hanging="357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odděleně od cestujícího (bez bezprostředního dohledu):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cestovní zavazadla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2. PŘEPRAVA VĚCI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jednotný charakter právní úpravy: podnikatelská přeprava nákladu (zboží) + přeprava věci, které je obvyklá spíše pro nepodnikatelské vztahy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strany smlouvy o přepravě věci: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dopravce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X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odesílatel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(v nákladní dopravě: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dopravce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X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přepravce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podstatné náležitosti: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závazek dopravce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přepravit věc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jako zásilku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z místa odeslání do místa určení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závazek odesílatele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zaplatit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dopravci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přepravné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+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identifikace věci a místa odeslání a určení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další obvyklé náležitosti: určení dodací lhůty, výše přepravného, identifikace příjemce,…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nevyžaduje se písemná forma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konsensuální charakter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 tj. nemusí dojít k převzetí zásilky, k uzavření smlouvy stačí závazek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↪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X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přepravní řád pro veř. nádražní dopravu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pojímá ji jako smlouvu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reálnou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(uzavřena převzetím zásilky)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povinnosti dopravce přepravit zásilku: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odbornou péčí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(aby nebyla poškozena, nedošlo k újmě 3. osob /škodě na majetku)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místa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určení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ujednané době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(nebyla-li, pak bez zbytečného odkladu)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povinnosti odesílatele: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poskytnout správné údaje o obsahu zásilky a její povaze, resp. identifikovat příjemce zásilky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       zaplatit dopravci přepravné (není-li &gt; obvyklé v době uzavření smlouvy vzhledem k závazku)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P@P příjemce zásilky: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nabývá právo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ze smlouvy o přepravě, aniž by byl smluvní stranou, musí ale splnit podmínky: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být identifikován ve smlouvě a uplatnit práva k zásilce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odesílatel nesmí využít svého dispozičního práva k zásilce (např. přikáže přerušení přepravy)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zákonným ručitelem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 pohledávky dopravce vůči odesílateli od momentu převzetí zásilky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prosté potvrzení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o objednání přepravy (§ 2556)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X náložní list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 xml:space="preserve"> (§ 2572 an.)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v mezin. přepravě se prosté potvrzení obvykle označuje jako „nákladní list“ či „přepravní doklad“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náložný list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CP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v němž je inkorporováno právo na vydání zásilky, může nahradit prosté potvrzení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↪ u vodní přepravy se nepoužívá „nákladní list“, ale vždy cenný papír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↪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konosament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(bill of lading) – CP, právo na vydání zásilky přepravované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po moři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odpovědnost dopravce za škodu na zásilce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odpovědnost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objektivní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nepřihlíží se k zavinění dopravce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důkazní břemeno nese odesílatel/příjemce (právo na náhradu škody je třeba notifikovat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 6 měsíců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ode dne převzetí či sjednaného doručení)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↪ dopravce se může liberovat, pouze prokáže-li, že: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dopravce nemohl škodu odvrátit, ani při vynaložení odborné péče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škodu na zásilce způsobil odesílatel, příjemce nebo vlastník zásilky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škodu způsobila vada či přirozená povaha zásilky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škodu způsobil vadný obal zásilky, a to v případě, že dopravce na vadnost obalu odesílatele upozornil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:rsidR="00F76099" w:rsidRDefault="00F76099" w:rsidP="00F76099">
      <w:pPr>
        <w:ind w:left="357" w:hanging="357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přeprava věci X zasílatelství: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dopravce se zavazuje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přepravit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věc X zasílatel se zavazuje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obstarat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přepravu věci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3. PROVOZ DOPRAVNÍHO PROSTŘEDKU (charteru)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smlouva může být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uzavřena jen ve vazbě na přepravu nákladu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(vyloučena pro přepravu osob)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rozdíl od smlouvy o přepravě věci? tam je hlavní důraz kladen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ochranu nákladu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péči o něj</w:t>
      </w:r>
    </w:p>
    <w:p w:rsidR="00F76099" w:rsidRDefault="00F76099" w:rsidP="00F7609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X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tady se klade důraz na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zajištění řádného dopravního prostředku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jsou si ale podobné &gt;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─      jestliže provozce přejímá náklad k přepravě &gt; použije se pro P@P přiměřeně úprava smlouvy o přepravě věci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rozlišujeme tzv.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time charter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trip charter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a)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time charter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důraz na způsobilost dopr. prostředku uskutečnit dané cesty ve stanovené době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        b)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trip charter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důraz na samotné vykonání cest, které jsou předem ve smlouvě dohodnuty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strany smlouvy: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provozce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X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objednatel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podstatné náležitosti: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závazek provozce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přepravit náklad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určený objednatelem a k tomu účelu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vykonat alespoň jednu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předem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 xml:space="preserve">určenou cestu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nebo vykonat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ve smluvené době větší počet cest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závazek objednatele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zaplatit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provozci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odměnu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 +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identifikace dopr. prostředku (druhově), min. 1 cesty (trip charter), smluvené doby (time charter)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─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povinnosti provozce:</w:t>
      </w:r>
    </w:p>
    <w:p w:rsidR="00F76099" w:rsidRDefault="00F76099" w:rsidP="00F76099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péče o dopravní prostředek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(způsobilost, použitelnost, opatřit způsobilou posádku, pohonné hmoty)</w:t>
      </w:r>
    </w:p>
    <w:p w:rsidR="00F76099" w:rsidRDefault="00F76099" w:rsidP="00F7609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670DA" w:rsidRPr="00A52B78" w:rsidRDefault="00F670DA" w:rsidP="002E63F6">
      <w:bookmarkStart w:id="0" w:name="_GoBack"/>
      <w:bookmarkEnd w:id="0"/>
    </w:p>
    <w:sectPr w:rsidR="00F670DA" w:rsidRPr="00A52B78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0700103" w:rsidTr="4E68F815">
      <w:tc>
        <w:tcPr>
          <w:tcW w:w="3009" w:type="dxa"/>
        </w:tcPr>
        <w:p w:rsidR="20700103" w:rsidRDefault="00F76099" w:rsidP="20700103">
          <w:pPr>
            <w:pStyle w:val="Header"/>
            <w:ind w:left="-115"/>
          </w:pPr>
        </w:p>
      </w:tc>
      <w:tc>
        <w:tcPr>
          <w:tcW w:w="3009" w:type="dxa"/>
        </w:tcPr>
        <w:p w:rsidR="20700103" w:rsidRDefault="00F76099" w:rsidP="20700103">
          <w:pPr>
            <w:pStyle w:val="Header"/>
            <w:jc w:val="center"/>
          </w:pPr>
          <w:r>
            <w:t>1</w:t>
          </w:r>
        </w:p>
        <w:p w:rsidR="20700103" w:rsidRDefault="00F76099" w:rsidP="20700103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  <w:tc>
        <w:tcPr>
          <w:tcW w:w="3009" w:type="dxa"/>
        </w:tcPr>
        <w:p w:rsidR="20700103" w:rsidRDefault="00F76099" w:rsidP="20700103">
          <w:pPr>
            <w:pStyle w:val="Header"/>
            <w:ind w:right="-115"/>
            <w:jc w:val="right"/>
          </w:pPr>
        </w:p>
      </w:tc>
    </w:tr>
  </w:tbl>
  <w:p w:rsidR="20700103" w:rsidRDefault="00F76099" w:rsidP="2070010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0700103" w:rsidTr="20700103">
      <w:tc>
        <w:tcPr>
          <w:tcW w:w="3009" w:type="dxa"/>
        </w:tcPr>
        <w:p w:rsidR="20700103" w:rsidRDefault="00F76099" w:rsidP="20700103">
          <w:pPr>
            <w:pStyle w:val="Header"/>
            <w:ind w:left="-115"/>
          </w:pPr>
        </w:p>
      </w:tc>
      <w:tc>
        <w:tcPr>
          <w:tcW w:w="3009" w:type="dxa"/>
        </w:tcPr>
        <w:p w:rsidR="20700103" w:rsidRDefault="00F76099" w:rsidP="20700103">
          <w:pPr>
            <w:pStyle w:val="Header"/>
            <w:jc w:val="center"/>
          </w:pPr>
        </w:p>
      </w:tc>
      <w:tc>
        <w:tcPr>
          <w:tcW w:w="3009" w:type="dxa"/>
        </w:tcPr>
        <w:p w:rsidR="20700103" w:rsidRDefault="00F76099" w:rsidP="20700103">
          <w:pPr>
            <w:pStyle w:val="Header"/>
            <w:ind w:right="-115"/>
            <w:jc w:val="right"/>
          </w:pPr>
        </w:p>
      </w:tc>
    </w:tr>
  </w:tbl>
  <w:p w:rsidR="20700103" w:rsidRDefault="00F76099" w:rsidP="2070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E9C"/>
    <w:multiLevelType w:val="hybridMultilevel"/>
    <w:tmpl w:val="D2EEA28A"/>
    <w:lvl w:ilvl="0" w:tplc="EF28998E">
      <w:start w:val="1"/>
      <w:numFmt w:val="lowerRoman"/>
      <w:lvlText w:val="%1."/>
      <w:lvlJc w:val="left"/>
      <w:pPr>
        <w:ind w:left="720" w:hanging="360"/>
      </w:pPr>
    </w:lvl>
    <w:lvl w:ilvl="1" w:tplc="74507F8C">
      <w:start w:val="1"/>
      <w:numFmt w:val="lowerLetter"/>
      <w:lvlText w:val="%2."/>
      <w:lvlJc w:val="left"/>
      <w:pPr>
        <w:ind w:left="1440" w:hanging="360"/>
      </w:pPr>
    </w:lvl>
    <w:lvl w:ilvl="2" w:tplc="C0A86618">
      <w:start w:val="1"/>
      <w:numFmt w:val="lowerRoman"/>
      <w:lvlText w:val="%3."/>
      <w:lvlJc w:val="right"/>
      <w:pPr>
        <w:ind w:left="2160" w:hanging="180"/>
      </w:pPr>
    </w:lvl>
    <w:lvl w:ilvl="3" w:tplc="1CC64AE4">
      <w:start w:val="1"/>
      <w:numFmt w:val="decimal"/>
      <w:lvlText w:val="%4."/>
      <w:lvlJc w:val="left"/>
      <w:pPr>
        <w:ind w:left="2880" w:hanging="360"/>
      </w:pPr>
    </w:lvl>
    <w:lvl w:ilvl="4" w:tplc="68FC1834">
      <w:start w:val="1"/>
      <w:numFmt w:val="lowerLetter"/>
      <w:lvlText w:val="%5."/>
      <w:lvlJc w:val="left"/>
      <w:pPr>
        <w:ind w:left="3600" w:hanging="360"/>
      </w:pPr>
    </w:lvl>
    <w:lvl w:ilvl="5" w:tplc="D34474F6">
      <w:start w:val="1"/>
      <w:numFmt w:val="lowerRoman"/>
      <w:lvlText w:val="%6."/>
      <w:lvlJc w:val="right"/>
      <w:pPr>
        <w:ind w:left="4320" w:hanging="180"/>
      </w:pPr>
    </w:lvl>
    <w:lvl w:ilvl="6" w:tplc="5F5CD2F0">
      <w:start w:val="1"/>
      <w:numFmt w:val="decimal"/>
      <w:lvlText w:val="%7."/>
      <w:lvlJc w:val="left"/>
      <w:pPr>
        <w:ind w:left="5040" w:hanging="360"/>
      </w:pPr>
    </w:lvl>
    <w:lvl w:ilvl="7" w:tplc="E084E088">
      <w:start w:val="1"/>
      <w:numFmt w:val="lowerLetter"/>
      <w:lvlText w:val="%8."/>
      <w:lvlJc w:val="left"/>
      <w:pPr>
        <w:ind w:left="5760" w:hanging="360"/>
      </w:pPr>
    </w:lvl>
    <w:lvl w:ilvl="8" w:tplc="6A549F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412E2"/>
    <w:multiLevelType w:val="hybridMultilevel"/>
    <w:tmpl w:val="39D03520"/>
    <w:lvl w:ilvl="0" w:tplc="6484911C">
      <w:start w:val="1"/>
      <w:numFmt w:val="lowerRoman"/>
      <w:lvlText w:val="%1."/>
      <w:lvlJc w:val="left"/>
      <w:pPr>
        <w:ind w:left="720" w:hanging="360"/>
      </w:pPr>
    </w:lvl>
    <w:lvl w:ilvl="1" w:tplc="631C972C">
      <w:start w:val="1"/>
      <w:numFmt w:val="lowerLetter"/>
      <w:lvlText w:val="%2."/>
      <w:lvlJc w:val="left"/>
      <w:pPr>
        <w:ind w:left="1440" w:hanging="360"/>
      </w:pPr>
    </w:lvl>
    <w:lvl w:ilvl="2" w:tplc="E3B2A090">
      <w:start w:val="1"/>
      <w:numFmt w:val="lowerRoman"/>
      <w:lvlText w:val="%3."/>
      <w:lvlJc w:val="right"/>
      <w:pPr>
        <w:ind w:left="2160" w:hanging="180"/>
      </w:pPr>
    </w:lvl>
    <w:lvl w:ilvl="3" w:tplc="2BE0B6B0">
      <w:start w:val="1"/>
      <w:numFmt w:val="decimal"/>
      <w:lvlText w:val="%4."/>
      <w:lvlJc w:val="left"/>
      <w:pPr>
        <w:ind w:left="2880" w:hanging="360"/>
      </w:pPr>
    </w:lvl>
    <w:lvl w:ilvl="4" w:tplc="35F8C92A">
      <w:start w:val="1"/>
      <w:numFmt w:val="lowerLetter"/>
      <w:lvlText w:val="%5."/>
      <w:lvlJc w:val="left"/>
      <w:pPr>
        <w:ind w:left="3600" w:hanging="360"/>
      </w:pPr>
    </w:lvl>
    <w:lvl w:ilvl="5" w:tplc="F47CD44A">
      <w:start w:val="1"/>
      <w:numFmt w:val="lowerRoman"/>
      <w:lvlText w:val="%6."/>
      <w:lvlJc w:val="right"/>
      <w:pPr>
        <w:ind w:left="4320" w:hanging="180"/>
      </w:pPr>
    </w:lvl>
    <w:lvl w:ilvl="6" w:tplc="ADA04FBA">
      <w:start w:val="1"/>
      <w:numFmt w:val="decimal"/>
      <w:lvlText w:val="%7."/>
      <w:lvlJc w:val="left"/>
      <w:pPr>
        <w:ind w:left="5040" w:hanging="360"/>
      </w:pPr>
    </w:lvl>
    <w:lvl w:ilvl="7" w:tplc="22C42EEE">
      <w:start w:val="1"/>
      <w:numFmt w:val="lowerLetter"/>
      <w:lvlText w:val="%8."/>
      <w:lvlJc w:val="left"/>
      <w:pPr>
        <w:ind w:left="5760" w:hanging="360"/>
      </w:pPr>
    </w:lvl>
    <w:lvl w:ilvl="8" w:tplc="D05E3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26623"/>
    <w:multiLevelType w:val="hybridMultilevel"/>
    <w:tmpl w:val="4852CA24"/>
    <w:lvl w:ilvl="0" w:tplc="78361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A2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60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E3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32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C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4A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64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0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96CA5"/>
    <w:multiLevelType w:val="hybridMultilevel"/>
    <w:tmpl w:val="7DA48FB2"/>
    <w:lvl w:ilvl="0" w:tplc="371C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7CE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AE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E7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84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41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C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26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67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2E63F6"/>
    <w:rsid w:val="003032A3"/>
    <w:rsid w:val="003A7CA3"/>
    <w:rsid w:val="003B2869"/>
    <w:rsid w:val="003D2797"/>
    <w:rsid w:val="00514AEE"/>
    <w:rsid w:val="00553370"/>
    <w:rsid w:val="00594EBF"/>
    <w:rsid w:val="005B229A"/>
    <w:rsid w:val="006B4025"/>
    <w:rsid w:val="006F6F9F"/>
    <w:rsid w:val="00751AA8"/>
    <w:rsid w:val="007A4EED"/>
    <w:rsid w:val="00864EC1"/>
    <w:rsid w:val="00890ECC"/>
    <w:rsid w:val="008A7EE8"/>
    <w:rsid w:val="00A52B78"/>
    <w:rsid w:val="00AB42A4"/>
    <w:rsid w:val="00AE30A8"/>
    <w:rsid w:val="00BC612F"/>
    <w:rsid w:val="00C11824"/>
    <w:rsid w:val="00C65995"/>
    <w:rsid w:val="00CB35EA"/>
    <w:rsid w:val="00D246E8"/>
    <w:rsid w:val="00F50B66"/>
    <w:rsid w:val="00F670DA"/>
    <w:rsid w:val="00F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ECC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59"/>
    <w:rsid w:val="00F50B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F50B66"/>
  </w:style>
  <w:style w:type="paragraph" w:styleId="Header">
    <w:name w:val="header"/>
    <w:basedOn w:val="Normal"/>
    <w:link w:val="Head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F50B66"/>
  </w:style>
  <w:style w:type="character" w:customStyle="1" w:styleId="FooterChar">
    <w:name w:val="Footer Char"/>
    <w:basedOn w:val="DefaultParagraphFont"/>
    <w:link w:val="Footer"/>
    <w:uiPriority w:val="99"/>
    <w:rsid w:val="00F50B66"/>
  </w:style>
  <w:style w:type="paragraph" w:styleId="Footer">
    <w:name w:val="footer"/>
    <w:basedOn w:val="Normal"/>
    <w:link w:val="FooterChar"/>
    <w:uiPriority w:val="99"/>
    <w:unhideWhenUsed/>
    <w:rsid w:val="00F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F50B66"/>
  </w:style>
  <w:style w:type="character" w:customStyle="1" w:styleId="TitleChar">
    <w:name w:val="Title Char"/>
    <w:basedOn w:val="DefaultParagraphFont"/>
    <w:link w:val="Title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50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5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3028</Words>
  <Characters>17872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    OBECNĚ</vt:lpstr>
      <vt:lpstr>        Založení a vznik</vt:lpstr>
      <vt:lpstr>        Organizace zvláštní korporace</vt:lpstr>
      <vt:lpstr>        Společníci zvláštní korporace</vt:lpstr>
      <vt:lpstr>        Státní dohled</vt:lpstr>
      <vt:lpstr>        Zrušení a zánik</vt:lpstr>
      <vt:lpstr>    BANKY</vt:lpstr>
      <vt:lpstr>        Založení a vznik banky</vt:lpstr>
      <vt:lpstr>        organizační struktura banky</vt:lpstr>
      <vt:lpstr>    DRUŽSTEVNÍ ZÁLOŽNY</vt:lpstr>
      <vt:lpstr>        Založení a vznik družstevní záložny</vt:lpstr>
      <vt:lpstr>        Členství v družstevní záložně</vt:lpstr>
      <vt:lpstr>        Organizace družstevní záložny</vt:lpstr>
      <vt:lpstr>        Přeměny</vt:lpstr>
      <vt:lpstr>    POJIŠTOVNY</vt:lpstr>
      <vt:lpstr>        Pojišťovací činnost</vt:lpstr>
      <vt:lpstr>        Založení a vznik pojišťovny</vt:lpstr>
      <vt:lpstr>        Organizace pojišťovny</vt:lpstr>
      <vt:lpstr>    INVESTIČNÍ FONDY</vt:lpstr>
      <vt:lpstr>        Investiční fondy</vt:lpstr>
      <vt:lpstr>        Investiční fondy s právní osobností</vt:lpstr>
      <vt:lpstr>        Investiční fondy bez právní osobnosti</vt:lpstr>
      <vt:lpstr>        Otevřený investiční fond</vt:lpstr>
      <vt:lpstr>        Uzavřený investiční fond</vt:lpstr>
      <vt:lpstr>        Fondy kolektivního investování</vt:lpstr>
      <vt:lpstr>        Fondy kvalifikovaných investorů</vt:lpstr>
      <vt:lpstr>        Další druhy fondů – fondy cenných papírů (akciové, dluhopisové, peněžního trhu, </vt:lpstr>
      <vt:lpstr>    SUBJEKTY POSKYTUJÍCÍ INVESTIČNÍM FONDŮM SLUŽBY</vt:lpstr>
      <vt:lpstr>    ZVLÁŠTNÍ FORMY OBCHODNÍCH KORPORACÍ JAKO INVESTIČNÍ FONDY</vt:lpstr>
    </vt:vector>
  </TitlesOfParts>
  <Company/>
  <LinksUpToDate>false</LinksUpToDate>
  <CharactersWithSpaces>20859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2020-05-19T09:57:00Z</dcterms:created>
  <dcterms:modified xsi:type="dcterms:W3CDTF">2020-05-19T09:57:00Z</dcterms:modified>
</cp:coreProperties>
</file>