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6D" w:rsidRDefault="00907695" w:rsidP="00133210">
      <w:r>
        <w:t>7. Obchodní rejstřík. Pojem a funkce obchodního rejstříku, princip publicity. Živnostenský rejstřík.</w:t>
      </w:r>
    </w:p>
    <w:p w:rsidR="00907695" w:rsidRPr="004A3801" w:rsidRDefault="00907695" w:rsidP="00907695">
      <w:pPr>
        <w:spacing w:after="0" w:line="240" w:lineRule="auto"/>
        <w:jc w:val="both"/>
        <w:rPr>
          <w:b/>
          <w:sz w:val="20"/>
          <w:u w:val="single"/>
        </w:rPr>
      </w:pPr>
      <w:r w:rsidRPr="004A3801">
        <w:rPr>
          <w:b/>
          <w:sz w:val="20"/>
          <w:u w:val="single"/>
        </w:rPr>
        <w:t>1. OBCHODNÍ REJSTŘÍK</w:t>
      </w:r>
    </w:p>
    <w:p w:rsidR="00907695" w:rsidRPr="006A508A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b/>
          <w:sz w:val="20"/>
        </w:rPr>
        <w:t>informační systém veřejné správy,</w:t>
      </w:r>
      <w:r w:rsidRPr="00A93592">
        <w:rPr>
          <w:sz w:val="20"/>
        </w:rPr>
        <w:t xml:space="preserve"> vede jej rejstříkový soud v elektronické podobě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= </w:t>
      </w:r>
      <w:r>
        <w:rPr>
          <w:b/>
          <w:sz w:val="20"/>
        </w:rPr>
        <w:t>veřejný rejstřík</w:t>
      </w:r>
      <w:r>
        <w:rPr>
          <w:sz w:val="20"/>
        </w:rPr>
        <w:t>, do kterého se zapisují zákonem stanovené údaje o PO/FO</w:t>
      </w:r>
    </w:p>
    <w:p w:rsidR="00907695" w:rsidRPr="00771365" w:rsidRDefault="00907695" w:rsidP="00907695">
      <w:p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A) </w:t>
      </w:r>
      <w:r w:rsidRPr="00771365">
        <w:rPr>
          <w:sz w:val="20"/>
        </w:rPr>
        <w:t>PO/FO, kterým ukládá zápis do OR zákon, a B) o podnikatelích FO, které o zápis dobrovolně požádají</w:t>
      </w:r>
    </w:p>
    <w:p w:rsidR="00907695" w:rsidRPr="00771365" w:rsidRDefault="00907695" w:rsidP="00907695">
      <w:pPr>
        <w:pStyle w:val="ListParagraph"/>
        <w:spacing w:after="0" w:line="240" w:lineRule="auto"/>
        <w:ind w:left="851"/>
        <w:jc w:val="both"/>
        <w:rPr>
          <w:sz w:val="20"/>
        </w:rPr>
      </w:pPr>
      <w:r w:rsidRPr="00771365">
        <w:rPr>
          <w:sz w:val="20"/>
        </w:rPr>
        <w:t>(jiné PO, než ty, kterým ukládá zápis zákon, do OR zapsat nelze)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skládá se z </w:t>
      </w:r>
      <w:r>
        <w:rPr>
          <w:b/>
          <w:sz w:val="20"/>
        </w:rPr>
        <w:t>rejstříkových vložek a sbírky listin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A93592">
        <w:rPr>
          <w:b/>
          <w:sz w:val="20"/>
        </w:rPr>
        <w:t xml:space="preserve">každá osoba zapsaná do OR </w:t>
      </w:r>
      <w:r w:rsidRPr="0097442B">
        <w:rPr>
          <w:b/>
          <w:sz w:val="20"/>
          <w:u w:val="single"/>
        </w:rPr>
        <w:t>se považuje za podnikatele</w:t>
      </w:r>
      <w:r w:rsidRPr="00A93592">
        <w:rPr>
          <w:sz w:val="20"/>
        </w:rPr>
        <w:t xml:space="preserve">, a to i tehdy, byla-li založena za jiným účelem </w:t>
      </w:r>
    </w:p>
    <w:p w:rsidR="00907695" w:rsidRPr="00A93592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 je upraven: OZ (§</w:t>
      </w:r>
      <w:r w:rsidRPr="00A93592">
        <w:rPr>
          <w:sz w:val="20"/>
        </w:rPr>
        <w:t xml:space="preserve">120-121), </w:t>
      </w:r>
      <w:r>
        <w:rPr>
          <w:sz w:val="20"/>
        </w:rPr>
        <w:t>zák.</w:t>
      </w:r>
      <w:r w:rsidRPr="00A93592">
        <w:rPr>
          <w:sz w:val="20"/>
        </w:rPr>
        <w:t xml:space="preserve"> o veřejných rejstřících, </w:t>
      </w:r>
      <w:r>
        <w:rPr>
          <w:sz w:val="20"/>
        </w:rPr>
        <w:t>zák.</w:t>
      </w:r>
      <w:r w:rsidRPr="00A93592">
        <w:rPr>
          <w:sz w:val="20"/>
        </w:rPr>
        <w:t xml:space="preserve"> o </w:t>
      </w:r>
      <w:r>
        <w:rPr>
          <w:sz w:val="20"/>
        </w:rPr>
        <w:t>informačních</w:t>
      </w:r>
      <w:r w:rsidRPr="00A93592">
        <w:rPr>
          <w:sz w:val="20"/>
        </w:rPr>
        <w:t xml:space="preserve"> systémech veřejné správy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veřejný rejstřík</w:t>
      </w:r>
      <w:r>
        <w:rPr>
          <w:sz w:val="20"/>
        </w:rPr>
        <w:t xml:space="preserve"> = rejstřík osob (PO/FO), který je za VR prohlášen zákonem (OR, spolkový rejstřík, nadační rejstřík,…) </w:t>
      </w:r>
      <w:r w:rsidRPr="0097442B">
        <w:rPr>
          <w:b/>
          <w:sz w:val="20"/>
          <w:u w:val="single"/>
        </w:rPr>
        <w:t>X veřejný seznam</w:t>
      </w:r>
      <w:r>
        <w:rPr>
          <w:sz w:val="20"/>
        </w:rPr>
        <w:t xml:space="preserve"> = seznam věcí, do kt. může každý nahlížet (KN, patentový rejstřík) </w:t>
      </w:r>
      <w:r w:rsidRPr="00037095">
        <w:rPr>
          <w:b/>
          <w:sz w:val="20"/>
        </w:rPr>
        <w:t>X r</w:t>
      </w:r>
      <w:r>
        <w:rPr>
          <w:b/>
          <w:sz w:val="20"/>
        </w:rPr>
        <w:t>ej</w:t>
      </w:r>
      <w:r w:rsidRPr="00037095">
        <w:rPr>
          <w:b/>
          <w:sz w:val="20"/>
        </w:rPr>
        <w:t>. zástav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rejstříkový spis</w:t>
      </w:r>
      <w:r>
        <w:rPr>
          <w:b/>
          <w:sz w:val="20"/>
        </w:rPr>
        <w:t xml:space="preserve"> = všechny dokumenty, </w:t>
      </w:r>
      <w:r>
        <w:rPr>
          <w:sz w:val="20"/>
        </w:rPr>
        <w:t>tj. písemnosti v listinné nebo elektronické podobě, které soudu došly nebo které vydal ve vztahu ke konkrétní zapsané osobě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97442B">
        <w:rPr>
          <w:b/>
          <w:sz w:val="20"/>
          <w:u w:val="single"/>
        </w:rPr>
        <w:t>sbírka listin</w:t>
      </w:r>
      <w:r w:rsidRPr="00037095">
        <w:rPr>
          <w:sz w:val="20"/>
        </w:rPr>
        <w:t xml:space="preserve"> = součástí OR a tvoří ji především dokumenty, jejichž uložení do této sbírky ukládá zákon </w:t>
      </w:r>
    </w:p>
    <w:p w:rsidR="00907695" w:rsidRPr="000370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</w:rPr>
        <w:t>§ 120 (3) OZ</w:t>
      </w:r>
      <w:r w:rsidRPr="004B1A64">
        <w:rPr>
          <w:sz w:val="20"/>
        </w:rPr>
        <w:sym w:font="Wingdings" w:char="F0E0"/>
      </w:r>
      <w:r w:rsidRPr="00037095">
        <w:rPr>
          <w:i/>
          <w:sz w:val="20"/>
        </w:rPr>
        <w:t>změní-li se zapsaná skutečnost, oznámí zapsaná osoba, nebo ten, komu to ukládá zákon, změnu bez zbytečného odkladu tomu, kdo veřejný rejstřík vede</w:t>
      </w:r>
      <w:r>
        <w:rPr>
          <w:i/>
          <w:sz w:val="20"/>
        </w:rPr>
        <w:t xml:space="preserve"> </w:t>
      </w:r>
      <w:r w:rsidRPr="004B1A64">
        <w:rPr>
          <w:sz w:val="20"/>
        </w:rPr>
        <w:sym w:font="Wingdings" w:char="F0E0"/>
      </w:r>
      <w:r w:rsidRPr="00037095">
        <w:rPr>
          <w:sz w:val="20"/>
        </w:rPr>
        <w:t xml:space="preserve"> návrh na </w:t>
      </w:r>
      <w:r>
        <w:rPr>
          <w:sz w:val="20"/>
        </w:rPr>
        <w:t>změnu</w:t>
      </w:r>
      <w:r w:rsidRPr="00037095">
        <w:rPr>
          <w:sz w:val="20"/>
        </w:rPr>
        <w:t xml:space="preserve"> na předepsaném formuláři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037095">
        <w:rPr>
          <w:b/>
          <w:sz w:val="20"/>
          <w:u w:val="single"/>
        </w:rPr>
        <w:t>TČ</w:t>
      </w:r>
      <w:r>
        <w:rPr>
          <w:b/>
          <w:sz w:val="20"/>
        </w:rPr>
        <w:t xml:space="preserve">: </w:t>
      </w:r>
      <w:r w:rsidRPr="00037095">
        <w:rPr>
          <w:sz w:val="20"/>
        </w:rPr>
        <w:t>ohrožení nebo omezení jiného na právech tím, že zapsaná osoba nepodá bez zbytečného odkladu návrh na zápis zákonem stanoveného údaje do OR nebo neuloží listinu do sbírky listin, ač je k tomu podle zákona nebo smlouvy povinna,</w:t>
      </w:r>
      <w:r>
        <w:rPr>
          <w:b/>
          <w:sz w:val="20"/>
        </w:rPr>
        <w:t xml:space="preserve"> je </w:t>
      </w:r>
      <w:r>
        <w:rPr>
          <w:b/>
          <w:sz w:val="20"/>
          <w:u w:val="single"/>
        </w:rPr>
        <w:t>trestným činem</w:t>
      </w:r>
      <w:r>
        <w:rPr>
          <w:sz w:val="20"/>
        </w:rPr>
        <w:t xml:space="preserve"> (dále i uvedení nepravdivých nebo hrubě zkreslených údajů)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rejstříkový soud = </w:t>
      </w:r>
      <w:r>
        <w:rPr>
          <w:b/>
          <w:sz w:val="20"/>
        </w:rPr>
        <w:t>krajský soud</w:t>
      </w:r>
      <w:r>
        <w:rPr>
          <w:sz w:val="20"/>
        </w:rPr>
        <w:t>, v jehož obvodu je obecný soud osoby, jíž se zápis ve VR týká (u PO je to KS, v jehož obvodu má sídlo; u FO KS, v jehož obvodu má sídlo nebo bydliště)</w:t>
      </w:r>
    </w:p>
    <w:p w:rsidR="00907695" w:rsidRPr="004375C2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u w:val="single"/>
        </w:rPr>
      </w:pPr>
      <w:r w:rsidRPr="009D1A94">
        <w:rPr>
          <w:b/>
          <w:sz w:val="20"/>
          <w:u w:val="single"/>
        </w:rPr>
        <w:t>princip formální publicity</w:t>
      </w:r>
      <w:r w:rsidRPr="009D1A94">
        <w:rPr>
          <w:b/>
          <w:sz w:val="20"/>
        </w:rPr>
        <w:t xml:space="preserve"> </w:t>
      </w:r>
      <w:r>
        <w:rPr>
          <w:sz w:val="20"/>
        </w:rPr>
        <w:t>– každý může dostat opis zápisu či listiny v OR (či potvrzení, že údaj v OR není)</w:t>
      </w:r>
    </w:p>
    <w:p w:rsidR="00907695" w:rsidRPr="0085193A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u w:val="single"/>
        </w:rPr>
      </w:pPr>
      <w:r w:rsidRPr="0085193A">
        <w:rPr>
          <w:b/>
          <w:sz w:val="20"/>
          <w:u w:val="single"/>
        </w:rPr>
        <w:t>princip materiální publicity</w:t>
      </w:r>
      <w:r w:rsidRPr="009D1A94">
        <w:rPr>
          <w:sz w:val="20"/>
        </w:rPr>
        <w:t xml:space="preserve"> („princip dobré </w:t>
      </w:r>
      <w:r>
        <w:rPr>
          <w:sz w:val="20"/>
        </w:rPr>
        <w:t>v</w:t>
      </w:r>
      <w:r w:rsidRPr="009D1A94">
        <w:rPr>
          <w:sz w:val="20"/>
        </w:rPr>
        <w:t>íry“)</w:t>
      </w:r>
    </w:p>
    <w:p w:rsidR="00907695" w:rsidRDefault="00907695" w:rsidP="0090769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skutečnosti zapsané do OR jsou účinné vůči každému ode dne jejich zveřejnění</w:t>
      </w:r>
    </w:p>
    <w:p w:rsidR="00907695" w:rsidRPr="0085193A" w:rsidRDefault="00907695" w:rsidP="00907695">
      <w:pPr>
        <w:pStyle w:val="ListParagraph"/>
        <w:numPr>
          <w:ilvl w:val="1"/>
          <w:numId w:val="9"/>
        </w:numPr>
        <w:tabs>
          <w:tab w:val="left" w:pos="1135"/>
        </w:tabs>
        <w:spacing w:after="0" w:line="240" w:lineRule="auto"/>
        <w:jc w:val="both"/>
      </w:pPr>
      <w:r>
        <w:rPr>
          <w:sz w:val="20"/>
        </w:rPr>
        <w:t>ten, jehož se zápis týká, nemůže namítat, že zápis neodpovídá skutečnostem (proti dobrověrným) ani to, že je čerstvý zápis správný do uplynutí 15 dní od zápisu, když osoba v dobré víře prokáže, že o něm během těch 15 dnů nemohla vědět</w:t>
      </w:r>
    </w:p>
    <w:p w:rsidR="00907695" w:rsidRPr="0085193A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0"/>
        </w:rPr>
        <w:t>druhy zápisů do OR:</w:t>
      </w:r>
    </w:p>
    <w:p w:rsidR="00907695" w:rsidRPr="0085193A" w:rsidRDefault="00907695" w:rsidP="0090769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a) </w:t>
      </w:r>
      <w:r>
        <w:rPr>
          <w:b/>
          <w:sz w:val="20"/>
        </w:rPr>
        <w:t>konstitutivní</w:t>
      </w:r>
      <w:r>
        <w:rPr>
          <w:sz w:val="20"/>
        </w:rPr>
        <w:t xml:space="preserve"> – zakládají určitou právní skutečnost (např. vznik OK)</w:t>
      </w:r>
    </w:p>
    <w:p w:rsidR="00907695" w:rsidRPr="0085193A" w:rsidRDefault="00907695" w:rsidP="00907695">
      <w:pPr>
        <w:pStyle w:val="ListParagraph"/>
        <w:tabs>
          <w:tab w:val="left" w:pos="1135"/>
        </w:tabs>
        <w:spacing w:after="0" w:line="240" w:lineRule="auto"/>
        <w:ind w:left="1332"/>
        <w:jc w:val="both"/>
      </w:pPr>
      <w:r>
        <w:rPr>
          <w:sz w:val="20"/>
        </w:rPr>
        <w:t xml:space="preserve">b) </w:t>
      </w:r>
      <w:r>
        <w:rPr>
          <w:b/>
          <w:sz w:val="20"/>
        </w:rPr>
        <w:t>deklaratorní</w:t>
      </w:r>
      <w:r>
        <w:rPr>
          <w:sz w:val="20"/>
        </w:rPr>
        <w:t xml:space="preserve"> – pouze deklarují určitou, již existující právní skutečnost (např. udělení prokury)</w:t>
      </w:r>
    </w:p>
    <w:p w:rsidR="00907695" w:rsidRPr="004606FA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0"/>
        </w:rPr>
        <w:t xml:space="preserve">návrh na zápis do OR lze podat zásadně pouze na </w:t>
      </w:r>
      <w:r>
        <w:rPr>
          <w:b/>
          <w:sz w:val="20"/>
        </w:rPr>
        <w:t>formuláři</w:t>
      </w:r>
      <w:r>
        <w:rPr>
          <w:sz w:val="20"/>
        </w:rPr>
        <w:t xml:space="preserve"> a musí být doložen listinami o skutečnostech, které mají být do OR zapsány – </w:t>
      </w:r>
      <w:r w:rsidRPr="005D010C">
        <w:rPr>
          <w:sz w:val="20"/>
        </w:rPr>
        <w:t xml:space="preserve">lze podat </w:t>
      </w:r>
      <w:r w:rsidRPr="005D010C">
        <w:rPr>
          <w:b/>
          <w:sz w:val="20"/>
        </w:rPr>
        <w:t>v listinné nebo elektronické podobě</w:t>
      </w:r>
    </w:p>
    <w:p w:rsidR="00907695" w:rsidRPr="00913058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0"/>
        </w:rPr>
        <w:t xml:space="preserve">OZ ukládá zapisovat do OR o PO alespoň </w:t>
      </w:r>
      <w:r>
        <w:rPr>
          <w:i/>
          <w:sz w:val="20"/>
        </w:rPr>
        <w:t>den vzniku, den zrušení s uvedením právního důvodu, den zániku, název, adresu sídla a předmět činnosti, jméno a adresu bydliště nebo sídla každého členu statut. orgánu</w:t>
      </w:r>
    </w:p>
    <w:p w:rsidR="00907695" w:rsidRPr="007F3B0C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  <w:sz w:val="20"/>
        </w:rPr>
        <w:t>rezervace firmy</w:t>
      </w:r>
      <w:r>
        <w:rPr>
          <w:sz w:val="20"/>
        </w:rPr>
        <w:t xml:space="preserve"> – zakladatelé OK mohou požádat rejstříkový soud, aby zapsal do OR obchodní firmu řádně založené, ale dosud nevzniklé obchodní korporace, do 1 měsíce ale musí dát návrh na zápis OK do OR</w:t>
      </w:r>
    </w:p>
    <w:p w:rsidR="00907695" w:rsidRPr="007F3B0C" w:rsidRDefault="00907695" w:rsidP="00907695">
      <w:pPr>
        <w:pStyle w:val="ListParagraph"/>
        <w:tabs>
          <w:tab w:val="left" w:pos="1135"/>
        </w:tabs>
        <w:spacing w:after="0" w:line="240" w:lineRule="auto"/>
        <w:jc w:val="both"/>
        <w:rPr>
          <w:sz w:val="10"/>
          <w:szCs w:val="10"/>
        </w:rPr>
      </w:pPr>
    </w:p>
    <w:p w:rsidR="00907695" w:rsidRPr="007F3B0C" w:rsidRDefault="00907695" w:rsidP="00907695">
      <w:pPr>
        <w:tabs>
          <w:tab w:val="left" w:pos="1135"/>
        </w:tabs>
        <w:spacing w:after="0" w:line="240" w:lineRule="auto"/>
        <w:ind w:left="360"/>
        <w:jc w:val="both"/>
        <w:rPr>
          <w:sz w:val="20"/>
          <w:u w:val="single"/>
        </w:rPr>
      </w:pPr>
      <w:r w:rsidRPr="007F3B0C">
        <w:rPr>
          <w:b/>
          <w:sz w:val="20"/>
          <w:u w:val="single"/>
        </w:rPr>
        <w:t>Řízení o zápisu</w:t>
      </w:r>
      <w:r w:rsidRPr="007F3B0C">
        <w:rPr>
          <w:sz w:val="20"/>
          <w:u w:val="single"/>
        </w:rPr>
        <w:t xml:space="preserve">:  </w:t>
      </w:r>
    </w:p>
    <w:p w:rsidR="00907695" w:rsidRPr="006C367A" w:rsidRDefault="00907695" w:rsidP="00907695">
      <w:pPr>
        <w:tabs>
          <w:tab w:val="left" w:pos="1135"/>
        </w:tabs>
        <w:spacing w:after="0" w:line="240" w:lineRule="auto"/>
        <w:ind w:left="360"/>
        <w:jc w:val="both"/>
      </w:pPr>
      <w:r>
        <w:rPr>
          <w:b/>
          <w:sz w:val="20"/>
        </w:rPr>
        <w:tab/>
      </w:r>
      <w:r w:rsidRPr="007F3B0C">
        <w:rPr>
          <w:sz w:val="20"/>
        </w:rPr>
        <w:t xml:space="preserve">- </w:t>
      </w:r>
      <w:r w:rsidRPr="007F3B0C">
        <w:rPr>
          <w:b/>
          <w:sz w:val="20"/>
        </w:rPr>
        <w:t>na</w:t>
      </w:r>
      <w:r w:rsidRPr="007F3B0C">
        <w:rPr>
          <w:sz w:val="20"/>
        </w:rPr>
        <w:t xml:space="preserve"> </w:t>
      </w:r>
      <w:r w:rsidRPr="007F3B0C">
        <w:rPr>
          <w:b/>
          <w:sz w:val="20"/>
        </w:rPr>
        <w:t>návrh</w:t>
      </w:r>
      <w:r w:rsidRPr="007F3B0C">
        <w:rPr>
          <w:sz w:val="20"/>
        </w:rPr>
        <w:t xml:space="preserve"> </w:t>
      </w:r>
    </w:p>
    <w:p w:rsidR="00907695" w:rsidRPr="00EE0DD8" w:rsidRDefault="00907695" w:rsidP="00907695">
      <w:pPr>
        <w:tabs>
          <w:tab w:val="left" w:pos="1135"/>
        </w:tabs>
        <w:spacing w:after="0" w:line="240" w:lineRule="auto"/>
        <w:ind w:left="360"/>
        <w:jc w:val="both"/>
      </w:pPr>
      <w:r>
        <w:rPr>
          <w:sz w:val="20"/>
        </w:rPr>
        <w:tab/>
      </w:r>
      <w:r w:rsidRPr="007F3B0C">
        <w:rPr>
          <w:sz w:val="20"/>
        </w:rPr>
        <w:t xml:space="preserve">- </w:t>
      </w:r>
      <w:r w:rsidRPr="007F3B0C">
        <w:rPr>
          <w:b/>
          <w:sz w:val="20"/>
        </w:rPr>
        <w:t>bez návrhu</w:t>
      </w:r>
      <w:r w:rsidRPr="007F3B0C">
        <w:rPr>
          <w:sz w:val="20"/>
        </w:rPr>
        <w:t xml:space="preserve"> (když má dojít ke shodě mezi stavem v OR s faktickým stavem)</w:t>
      </w:r>
    </w:p>
    <w:p w:rsidR="00907695" w:rsidRPr="00287B00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  <w:sz w:val="20"/>
        </w:rPr>
        <w:t>odmítnutí návrhu na zápis</w:t>
      </w:r>
      <w:r>
        <w:rPr>
          <w:sz w:val="20"/>
        </w:rPr>
        <w:t xml:space="preserve"> </w:t>
      </w:r>
      <w:r>
        <w:rPr>
          <w:sz w:val="20"/>
        </w:rPr>
        <w:sym w:font="Wingdings" w:char="F0DF"/>
      </w:r>
      <w:r>
        <w:rPr>
          <w:sz w:val="20"/>
        </w:rPr>
        <w:t xml:space="preserve"> neoprávněná osoba, nebyl podán na formuláři, neobsahuje všechny podstatné náležitosti, nesrozumitelný nebo neurčitý návrh, chybí listiny, zakázaný účel </w:t>
      </w:r>
      <w:r>
        <w:rPr>
          <w:sz w:val="20"/>
        </w:rPr>
        <w:sym w:font="Wingdings" w:char="F0E0"/>
      </w:r>
      <w:r>
        <w:rPr>
          <w:sz w:val="20"/>
        </w:rPr>
        <w:t xml:space="preserve"> soud: výzva k odstranění vad </w:t>
      </w:r>
    </w:p>
    <w:p w:rsidR="00907695" w:rsidRPr="005E68E8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  <w:sz w:val="20"/>
        </w:rPr>
        <w:t>účastníci řízení</w:t>
      </w:r>
      <w:r>
        <w:rPr>
          <w:sz w:val="20"/>
        </w:rPr>
        <w:t>: navrhovatel a zapisovaná osoba (</w:t>
      </w:r>
      <w:r w:rsidRPr="00746DCB">
        <w:rPr>
          <w:sz w:val="20"/>
          <w:u w:val="single"/>
        </w:rPr>
        <w:t>NE</w:t>
      </w:r>
      <w:r>
        <w:rPr>
          <w:sz w:val="20"/>
        </w:rPr>
        <w:t xml:space="preserve"> osoby zapisované do OR v rámci zápisu PO), příp. i SZ</w:t>
      </w:r>
    </w:p>
    <w:p w:rsidR="00907695" w:rsidRPr="007F3B0C" w:rsidRDefault="00907695" w:rsidP="00907695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/>
        <w:jc w:val="both"/>
        <w:rPr>
          <w:b/>
          <w:sz w:val="20"/>
        </w:rPr>
      </w:pPr>
      <w:r w:rsidRPr="007F3B0C">
        <w:rPr>
          <w:b/>
          <w:sz w:val="20"/>
        </w:rPr>
        <w:t xml:space="preserve">A) zápis bez rozhodnutí </w:t>
      </w:r>
    </w:p>
    <w:p w:rsidR="00907695" w:rsidRDefault="00907695" w:rsidP="00907695">
      <w:pPr>
        <w:pStyle w:val="ListParagraph"/>
        <w:numPr>
          <w:ilvl w:val="1"/>
          <w:numId w:val="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když je podkladem rozhodnutí soudu nebo správního orgánu</w:t>
      </w:r>
    </w:p>
    <w:p w:rsidR="00907695" w:rsidRDefault="00907695" w:rsidP="00907695">
      <w:pPr>
        <w:pStyle w:val="ListParagraph"/>
        <w:numPr>
          <w:ilvl w:val="1"/>
          <w:numId w:val="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je-li podkladem notářský zápis a:</w:t>
      </w:r>
    </w:p>
    <w:p w:rsidR="00907695" w:rsidRPr="007F3B0C" w:rsidRDefault="00907695" w:rsidP="00907695">
      <w:pPr>
        <w:pStyle w:val="ListParagraph"/>
        <w:numPr>
          <w:ilvl w:val="2"/>
          <w:numId w:val="8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navrhovatel = zapisovaný (jediný účastník) / prvozápis PO / přeměna OK, všechny zúčastněné OK mají v obvodu sídlo</w:t>
      </w:r>
    </w:p>
    <w:p w:rsidR="00907695" w:rsidRDefault="00907695" w:rsidP="00907695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709"/>
        <w:jc w:val="both"/>
        <w:rPr>
          <w:sz w:val="20"/>
        </w:rPr>
      </w:pPr>
      <w:r w:rsidRPr="00C02A92">
        <w:rPr>
          <w:b/>
          <w:sz w:val="20"/>
        </w:rPr>
        <w:lastRenderedPageBreak/>
        <w:t>B) zápis rozhodnutím</w:t>
      </w:r>
      <w:r w:rsidRPr="007F3B0C">
        <w:rPr>
          <w:sz w:val="20"/>
        </w:rPr>
        <w:t xml:space="preserve"> (usnesením)</w:t>
      </w:r>
    </w:p>
    <w:p w:rsidR="00907695" w:rsidRPr="007F3B0C" w:rsidRDefault="00907695" w:rsidP="00907695">
      <w:pPr>
        <w:pStyle w:val="ListParagraph"/>
        <w:numPr>
          <w:ilvl w:val="1"/>
          <w:numId w:val="2"/>
        </w:numPr>
        <w:tabs>
          <w:tab w:val="left" w:pos="1135"/>
        </w:tabs>
        <w:spacing w:after="0" w:line="240" w:lineRule="auto"/>
        <w:ind w:left="1332" w:hanging="255"/>
        <w:jc w:val="both"/>
        <w:rPr>
          <w:sz w:val="20"/>
        </w:rPr>
      </w:pPr>
      <w:r>
        <w:rPr>
          <w:sz w:val="20"/>
        </w:rPr>
        <w:t>zápis se provede až po nabytí právní moci usnesení (ke dni v návrhu, nejdříve ale k právní moci)</w:t>
      </w:r>
    </w:p>
    <w:p w:rsidR="00907695" w:rsidRPr="00E26B5C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b/>
          <w:sz w:val="20"/>
        </w:rPr>
        <w:t>lhůta pro zápis/rozhodnutí</w:t>
      </w:r>
      <w:r w:rsidRPr="00856189">
        <w:rPr>
          <w:sz w:val="20"/>
        </w:rPr>
        <w:sym w:font="Wingdings" w:char="F0E0"/>
      </w:r>
      <w:r>
        <w:rPr>
          <w:sz w:val="20"/>
        </w:rPr>
        <w:t xml:space="preserve"> RS: </w:t>
      </w:r>
      <w:r>
        <w:rPr>
          <w:b/>
          <w:sz w:val="20"/>
        </w:rPr>
        <w:t>nejpozději do 5 pracovních dnů</w:t>
      </w:r>
      <w:r>
        <w:rPr>
          <w:sz w:val="20"/>
        </w:rPr>
        <w:t xml:space="preserve"> (ode dne podání návrhu)</w:t>
      </w:r>
    </w:p>
    <w:p w:rsidR="00907695" w:rsidRPr="00746DCB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rFonts w:ascii="Cambria Math" w:hAnsi="Cambria Math" w:cs="Cambria Math"/>
          <w:sz w:val="20"/>
        </w:rPr>
        <w:t xml:space="preserve">↪ </w:t>
      </w:r>
      <w:r>
        <w:rPr>
          <w:b/>
          <w:sz w:val="20"/>
        </w:rPr>
        <w:t>fikce zápisu</w:t>
      </w:r>
      <w:r>
        <w:rPr>
          <w:sz w:val="20"/>
        </w:rPr>
        <w:t xml:space="preserve"> – neprovede-li RS ve lhůtě zápis ani nerozhodne, považuje se navrhovaný zápis za provedený dnem následujícím po uplynutí lhůty (</w:t>
      </w:r>
      <w:r w:rsidRPr="0059595F">
        <w:rPr>
          <w:b/>
          <w:sz w:val="20"/>
        </w:rPr>
        <w:t>povinnost</w:t>
      </w:r>
      <w:r>
        <w:rPr>
          <w:sz w:val="20"/>
        </w:rPr>
        <w:t xml:space="preserve"> </w:t>
      </w:r>
      <w:r w:rsidRPr="0059595F">
        <w:rPr>
          <w:b/>
          <w:sz w:val="20"/>
        </w:rPr>
        <w:t>promítnout</w:t>
      </w:r>
      <w:r>
        <w:rPr>
          <w:sz w:val="20"/>
        </w:rPr>
        <w:t xml:space="preserve"> </w:t>
      </w:r>
      <w:r w:rsidRPr="0059595F">
        <w:rPr>
          <w:b/>
          <w:sz w:val="20"/>
        </w:rPr>
        <w:t>zápis</w:t>
      </w:r>
      <w:r>
        <w:rPr>
          <w:sz w:val="20"/>
        </w:rPr>
        <w:t xml:space="preserve"> </w:t>
      </w:r>
      <w:r w:rsidRPr="0059595F">
        <w:rPr>
          <w:b/>
          <w:sz w:val="20"/>
        </w:rPr>
        <w:t>fikcí do 2 pracovních</w:t>
      </w:r>
      <w:r>
        <w:rPr>
          <w:sz w:val="20"/>
        </w:rPr>
        <w:t xml:space="preserve"> </w:t>
      </w:r>
      <w:r w:rsidRPr="0059595F">
        <w:rPr>
          <w:b/>
          <w:sz w:val="20"/>
        </w:rPr>
        <w:t>dnů</w:t>
      </w:r>
      <w:r>
        <w:rPr>
          <w:sz w:val="20"/>
        </w:rPr>
        <w:t>)</w:t>
      </w:r>
    </w:p>
    <w:p w:rsidR="00907695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X opravný prostředek u této fikce: oprávněné osoby mohou do 1 měsíce podat návrh na změnu či výmaz </w:t>
      </w:r>
    </w:p>
    <w:p w:rsidR="00907695" w:rsidRPr="009B79FC" w:rsidRDefault="00907695" w:rsidP="00907695">
      <w:pPr>
        <w:pStyle w:val="ListParagraph"/>
        <w:tabs>
          <w:tab w:val="left" w:pos="1135"/>
        </w:tabs>
        <w:spacing w:after="0" w:line="240" w:lineRule="auto"/>
        <w:ind w:left="612"/>
        <w:jc w:val="both"/>
        <w:rPr>
          <w:sz w:val="20"/>
        </w:rPr>
      </w:pPr>
      <w:r w:rsidRPr="009B79FC">
        <w:rPr>
          <w:sz w:val="18"/>
        </w:rPr>
        <w:t xml:space="preserve">(to mohou i osoby zapisované v rámci zápisu PO + ty se mohou domáhat změny </w:t>
      </w:r>
      <w:r w:rsidRPr="009B79FC">
        <w:rPr>
          <w:i/>
          <w:sz w:val="18"/>
        </w:rPr>
        <w:t>vždy</w:t>
      </w:r>
      <w:r w:rsidRPr="009B79FC">
        <w:rPr>
          <w:sz w:val="18"/>
        </w:rPr>
        <w:t>, jsou-li vymazány z OR, i bez fikce)</w:t>
      </w:r>
    </w:p>
    <w:p w:rsidR="00907695" w:rsidRPr="00A2172C" w:rsidRDefault="00907695" w:rsidP="00907695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rPr>
          <w:sz w:val="20"/>
        </w:rPr>
        <w:t xml:space="preserve">zápis do OR mohou vedle soudu provádět také </w:t>
      </w:r>
      <w:r>
        <w:rPr>
          <w:b/>
          <w:sz w:val="20"/>
        </w:rPr>
        <w:t>notáři</w:t>
      </w:r>
      <w:r>
        <w:rPr>
          <w:sz w:val="20"/>
        </w:rPr>
        <w:t xml:space="preserve"> (pouze ti, co se psali podkladový NZ):</w:t>
      </w:r>
    </w:p>
    <w:p w:rsidR="00907695" w:rsidRPr="00296935" w:rsidRDefault="00907695" w:rsidP="00907695">
      <w:pPr>
        <w:pStyle w:val="ListParagraph"/>
        <w:numPr>
          <w:ilvl w:val="1"/>
          <w:numId w:val="7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mají-li zapisované skutečnosti </w:t>
      </w:r>
      <w:r w:rsidRPr="0024537F">
        <w:rPr>
          <w:b/>
          <w:sz w:val="20"/>
        </w:rPr>
        <w:t xml:space="preserve">podkladový </w:t>
      </w:r>
      <w:r>
        <w:rPr>
          <w:b/>
          <w:sz w:val="20"/>
        </w:rPr>
        <w:t xml:space="preserve">NZ </w:t>
      </w:r>
      <w:r>
        <w:rPr>
          <w:sz w:val="20"/>
        </w:rPr>
        <w:t xml:space="preserve">nebo </w:t>
      </w:r>
      <w:r w:rsidRPr="0024537F">
        <w:rPr>
          <w:b/>
          <w:sz w:val="20"/>
        </w:rPr>
        <w:t>NZ o rozhodnutí orgánu PO</w:t>
      </w:r>
    </w:p>
    <w:p w:rsidR="00907695" w:rsidRPr="00296935" w:rsidRDefault="00907695" w:rsidP="00907695">
      <w:pPr>
        <w:pStyle w:val="ListParagraph"/>
        <w:numPr>
          <w:ilvl w:val="1"/>
          <w:numId w:val="7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 podkladovém NZ je </w:t>
      </w:r>
      <w:r w:rsidRPr="003E569D">
        <w:rPr>
          <w:b/>
          <w:sz w:val="20"/>
        </w:rPr>
        <w:t>vyjádření notáře</w:t>
      </w:r>
      <w:r>
        <w:rPr>
          <w:sz w:val="20"/>
        </w:rPr>
        <w:t xml:space="preserve"> o tom, že obsah PJ je v souladu s právními předpisy a se zakladatelským PJ PO</w:t>
      </w:r>
    </w:p>
    <w:p w:rsidR="00907695" w:rsidRPr="00771365" w:rsidRDefault="00907695" w:rsidP="00907695">
      <w:pPr>
        <w:pStyle w:val="ListParagraph"/>
        <w:numPr>
          <w:ilvl w:val="1"/>
          <w:numId w:val="7"/>
        </w:numPr>
        <w:tabs>
          <w:tab w:val="left" w:pos="1135"/>
        </w:tabs>
        <w:spacing w:after="0" w:line="240" w:lineRule="auto"/>
        <w:jc w:val="both"/>
        <w:rPr>
          <w:rFonts w:cstheme="minorHAnsi"/>
        </w:rPr>
      </w:pPr>
      <w:r w:rsidRPr="00771365">
        <w:rPr>
          <w:rFonts w:cstheme="minorHAnsi"/>
          <w:sz w:val="20"/>
        </w:rPr>
        <w:t>notáři byly předloženy všechny listiny, které zákon požaduje pro zápis do OR</w:t>
      </w:r>
    </w:p>
    <w:p w:rsidR="00907695" w:rsidRPr="00F25662" w:rsidRDefault="00907695" w:rsidP="00907695">
      <w:pPr>
        <w:pStyle w:val="ListParagraph"/>
        <w:tabs>
          <w:tab w:val="left" w:pos="1135"/>
        </w:tabs>
        <w:spacing w:after="0" w:line="240" w:lineRule="auto"/>
        <w:ind w:left="1332"/>
        <w:jc w:val="both"/>
        <w:rPr>
          <w:sz w:val="8"/>
          <w:szCs w:val="4"/>
        </w:rPr>
      </w:pPr>
    </w:p>
    <w:p w:rsidR="00907695" w:rsidRDefault="00907695" w:rsidP="00907695">
      <w:pPr>
        <w:spacing w:after="0" w:line="240" w:lineRule="auto"/>
        <w:jc w:val="both"/>
        <w:rPr>
          <w:b/>
          <w:sz w:val="20"/>
          <w:u w:val="single"/>
        </w:rPr>
      </w:pPr>
      <w:r w:rsidRPr="00AF6FF1">
        <w:rPr>
          <w:b/>
          <w:sz w:val="20"/>
          <w:u w:val="single"/>
        </w:rPr>
        <w:t>2. ŽIVNOSTENSKÝ REJSTŘÍK</w:t>
      </w:r>
    </w:p>
    <w:p w:rsidR="00907695" w:rsidRDefault="00907695" w:rsidP="00907695">
      <w:pPr>
        <w:pStyle w:val="ListParagraph"/>
        <w:numPr>
          <w:ilvl w:val="0"/>
          <w:numId w:val="1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= informační systém veř. správy</w:t>
      </w:r>
      <w:r>
        <w:rPr>
          <w:sz w:val="20"/>
        </w:rPr>
        <w:t>, evidence zákonem stanovených údajů o osobách, kt. mají živnost.oprávnění</w:t>
      </w:r>
    </w:p>
    <w:p w:rsidR="00907695" w:rsidRDefault="00907695" w:rsidP="00907695">
      <w:pPr>
        <w:pStyle w:val="ListParagraph"/>
        <w:numPr>
          <w:ilvl w:val="0"/>
          <w:numId w:val="1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>evidované údaje: např. jméno zapsané osoby, předmět podnikání, druh živnosti, provozovna(y), apod.</w:t>
      </w:r>
    </w:p>
    <w:p w:rsidR="00907695" w:rsidRDefault="00907695" w:rsidP="00907695">
      <w:pPr>
        <w:pStyle w:val="ListParagraph"/>
        <w:numPr>
          <w:ilvl w:val="0"/>
          <w:numId w:val="1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b/>
          <w:sz w:val="20"/>
        </w:rPr>
        <w:t>ŽR je v rozsahu stanoveném zákonem veřejný a ve zbývajícím rozsahu neveřejný</w:t>
      </w:r>
    </w:p>
    <w:p w:rsidR="00907695" w:rsidRDefault="00907695" w:rsidP="00907695">
      <w:pPr>
        <w:pStyle w:val="ListParagraph"/>
        <w:numPr>
          <w:ilvl w:val="0"/>
          <w:numId w:val="10"/>
        </w:numPr>
        <w:tabs>
          <w:tab w:val="left" w:pos="1135"/>
        </w:tabs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správcem ŽR je </w:t>
      </w:r>
      <w:r>
        <w:rPr>
          <w:b/>
          <w:sz w:val="20"/>
        </w:rPr>
        <w:t>Živnostenský úřad ČR</w:t>
      </w:r>
      <w:r>
        <w:rPr>
          <w:sz w:val="20"/>
        </w:rPr>
        <w:t xml:space="preserve"> a jeho provozovateli jsou krajské a obecní živnostenské úřady</w:t>
      </w:r>
    </w:p>
    <w:p w:rsidR="00907695" w:rsidRDefault="00907695" w:rsidP="00133210">
      <w:bookmarkStart w:id="0" w:name="_GoBack"/>
      <w:bookmarkEnd w:id="0"/>
    </w:p>
    <w:sectPr w:rsidR="00907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B47"/>
    <w:multiLevelType w:val="hybridMultilevel"/>
    <w:tmpl w:val="FF923B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E0A"/>
    <w:multiLevelType w:val="hybridMultilevel"/>
    <w:tmpl w:val="3CC855AA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0346C"/>
    <w:multiLevelType w:val="hybridMultilevel"/>
    <w:tmpl w:val="7F7E8EB4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D4049"/>
    <w:multiLevelType w:val="hybridMultilevel"/>
    <w:tmpl w:val="D19AB7E6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D4F1B"/>
    <w:multiLevelType w:val="hybridMultilevel"/>
    <w:tmpl w:val="B900B568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00761"/>
    <w:multiLevelType w:val="hybridMultilevel"/>
    <w:tmpl w:val="442E194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45E8C">
      <w:start w:val="1"/>
      <w:numFmt w:val="decimal"/>
      <w:lvlText w:val="%3)"/>
      <w:lvlJc w:val="left"/>
      <w:pPr>
        <w:ind w:left="2340" w:hanging="360"/>
      </w:pPr>
      <w:rPr>
        <w:rFonts w:cstheme="minorHAnsi" w:hint="default"/>
        <w:u w:val="none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83468"/>
    <w:multiLevelType w:val="hybridMultilevel"/>
    <w:tmpl w:val="95521964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054F9"/>
    <w:rsid w:val="00133210"/>
    <w:rsid w:val="007F776D"/>
    <w:rsid w:val="00907695"/>
    <w:rsid w:val="00AF1EC4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1DE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2020-05-19T08:36:00Z</dcterms:created>
  <dcterms:modified xsi:type="dcterms:W3CDTF">2020-05-19T08:36:00Z</dcterms:modified>
</cp:coreProperties>
</file>