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4"/>
        <w:gridCol w:w="1346"/>
      </w:tblGrid>
      <w:tr w:rsidR="003260FA" w:rsidRPr="003260FA" w14:paraId="23077682" w14:textId="77777777" w:rsidTr="003260FA">
        <w:tc>
          <w:tcPr>
            <w:tcW w:w="5000" w:type="pct"/>
            <w:gridSpan w:val="2"/>
            <w:tcBorders>
              <w:bottom w:val="single" w:sz="24" w:space="0" w:color="auto"/>
            </w:tcBorders>
            <w:vAlign w:val="center"/>
          </w:tcPr>
          <w:p w14:paraId="08E06175" w14:textId="247194AA" w:rsidR="003260FA" w:rsidRDefault="00E06792" w:rsidP="00E06792">
            <w:pPr>
              <w:adjustRightInd w:val="0"/>
              <w:snapToGrid w:val="0"/>
              <w:spacing w:before="0" w:after="0" w:line="480" w:lineRule="auto"/>
            </w:pPr>
            <w:r>
              <w:t>Standardized factor loadings of constructs of interest based on confirmatory factor analysis</w:t>
            </w:r>
          </w:p>
        </w:tc>
      </w:tr>
      <w:tr w:rsidR="003260FA" w:rsidRPr="003260FA" w14:paraId="7300A373" w14:textId="77777777" w:rsidTr="003260FA">
        <w:tc>
          <w:tcPr>
            <w:tcW w:w="4281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65762B4" w14:textId="2D25392E" w:rsidR="003260FA" w:rsidRPr="003260FA" w:rsidRDefault="003260FA" w:rsidP="003260FA">
            <w:pPr>
              <w:adjustRightInd w:val="0"/>
              <w:snapToGrid w:val="0"/>
              <w:spacing w:before="0" w:after="0"/>
            </w:pPr>
            <w:r>
              <w:t>Construct</w:t>
            </w:r>
          </w:p>
        </w:tc>
        <w:tc>
          <w:tcPr>
            <w:tcW w:w="719" w:type="pct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17275EB" w14:textId="28E746EE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Factor loadings</w:t>
            </w:r>
          </w:p>
        </w:tc>
      </w:tr>
      <w:tr w:rsidR="003260FA" w:rsidRPr="003260FA" w14:paraId="3AB64311" w14:textId="77777777" w:rsidTr="003260FA">
        <w:tc>
          <w:tcPr>
            <w:tcW w:w="4281" w:type="pct"/>
            <w:tcBorders>
              <w:top w:val="single" w:sz="4" w:space="0" w:color="auto"/>
            </w:tcBorders>
          </w:tcPr>
          <w:p w14:paraId="0FF32028" w14:textId="77777777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b/>
                <w:bCs/>
              </w:rPr>
            </w:pPr>
            <w:r w:rsidRPr="003260FA">
              <w:rPr>
                <w:b/>
                <w:bCs/>
              </w:rPr>
              <w:t>Attitude toward the product</w:t>
            </w:r>
          </w:p>
          <w:p w14:paraId="5B48B3F4" w14:textId="4E89F6D6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i/>
                <w:iCs/>
              </w:rPr>
            </w:pPr>
            <w:r w:rsidRPr="003260FA">
              <w:rPr>
                <w:i/>
                <w:iCs/>
                <w:sz w:val="20"/>
                <w:szCs w:val="20"/>
              </w:rPr>
              <w:t>Please indicate which of the two oppositional adjectives better describes your opinion of the p</w:t>
            </w:r>
            <w:r w:rsidRPr="003260FA">
              <w:rPr>
                <w:i/>
                <w:iCs/>
                <w:sz w:val="20"/>
                <w:szCs w:val="20"/>
              </w:rPr>
              <w:t>roduct</w:t>
            </w:r>
            <w:r w:rsidRPr="003260FA">
              <w:rPr>
                <w:i/>
                <w:iCs/>
                <w:sz w:val="20"/>
                <w:szCs w:val="20"/>
              </w:rPr>
              <w:t xml:space="preserve"> in the picture</w:t>
            </w:r>
            <w:r w:rsidRPr="003260FA">
              <w:rPr>
                <w:i/>
                <w:iCs/>
                <w:sz w:val="20"/>
                <w:szCs w:val="20"/>
              </w:rPr>
              <w:t xml:space="preserve"> (</w:t>
            </w:r>
            <w:r w:rsidRPr="003260FA">
              <w:rPr>
                <w:i/>
                <w:iCs/>
                <w:sz w:val="20"/>
                <w:szCs w:val="20"/>
              </w:rPr>
              <w:t>7-point semantic differential</w:t>
            </w:r>
            <w:r w:rsidRPr="003260FA">
              <w:rPr>
                <w:i/>
                <w:iCs/>
                <w:sz w:val="20"/>
                <w:szCs w:val="20"/>
              </w:rPr>
              <w:t>)</w:t>
            </w:r>
            <w:r w:rsidRPr="003260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19" w:type="pct"/>
            <w:tcBorders>
              <w:top w:val="single" w:sz="4" w:space="0" w:color="auto"/>
            </w:tcBorders>
          </w:tcPr>
          <w:p w14:paraId="0F2C89FC" w14:textId="77777777" w:rsid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</w:p>
        </w:tc>
      </w:tr>
      <w:tr w:rsidR="003260FA" w:rsidRPr="003260FA" w14:paraId="4D525D9A" w14:textId="77777777" w:rsidTr="003260FA">
        <w:tc>
          <w:tcPr>
            <w:tcW w:w="4281" w:type="pct"/>
          </w:tcPr>
          <w:p w14:paraId="7A8B65A4" w14:textId="19277F6F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Not worth having to worth having</w:t>
            </w:r>
          </w:p>
        </w:tc>
        <w:tc>
          <w:tcPr>
            <w:tcW w:w="719" w:type="pct"/>
          </w:tcPr>
          <w:p w14:paraId="50C72FF3" w14:textId="4A42844E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0.83</w:t>
            </w:r>
          </w:p>
        </w:tc>
      </w:tr>
      <w:tr w:rsidR="003260FA" w:rsidRPr="003260FA" w14:paraId="7BB0141E" w14:textId="77777777" w:rsidTr="003260FA">
        <w:tc>
          <w:tcPr>
            <w:tcW w:w="4281" w:type="pct"/>
          </w:tcPr>
          <w:p w14:paraId="6BDDB18A" w14:textId="1879F137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Not worth seeking to worth seeking</w:t>
            </w:r>
          </w:p>
        </w:tc>
        <w:tc>
          <w:tcPr>
            <w:tcW w:w="719" w:type="pct"/>
          </w:tcPr>
          <w:p w14:paraId="32F0EEC0" w14:textId="2E17DE5A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0.83</w:t>
            </w:r>
          </w:p>
        </w:tc>
      </w:tr>
      <w:tr w:rsidR="003260FA" w:rsidRPr="003260FA" w14:paraId="25E73DED" w14:textId="77777777" w:rsidTr="003260FA">
        <w:tc>
          <w:tcPr>
            <w:tcW w:w="4281" w:type="pct"/>
          </w:tcPr>
          <w:p w14:paraId="2D00BAB6" w14:textId="501032CE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Useless to useful</w:t>
            </w:r>
          </w:p>
        </w:tc>
        <w:tc>
          <w:tcPr>
            <w:tcW w:w="719" w:type="pct"/>
          </w:tcPr>
          <w:p w14:paraId="10079CAE" w14:textId="1CF349BE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0.73</w:t>
            </w:r>
          </w:p>
        </w:tc>
      </w:tr>
      <w:tr w:rsidR="003260FA" w:rsidRPr="003260FA" w14:paraId="0D3AF975" w14:textId="77777777" w:rsidTr="003260FA">
        <w:tc>
          <w:tcPr>
            <w:tcW w:w="4281" w:type="pct"/>
          </w:tcPr>
          <w:p w14:paraId="333F6765" w14:textId="04BC8A3F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Disadvantageous to advantageous</w:t>
            </w:r>
          </w:p>
        </w:tc>
        <w:tc>
          <w:tcPr>
            <w:tcW w:w="719" w:type="pct"/>
          </w:tcPr>
          <w:p w14:paraId="226E4D4F" w14:textId="3D376FF3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0.78</w:t>
            </w:r>
          </w:p>
        </w:tc>
      </w:tr>
      <w:tr w:rsidR="003260FA" w:rsidRPr="003260FA" w14:paraId="46D65593" w14:textId="77777777" w:rsidTr="003260FA">
        <w:tc>
          <w:tcPr>
            <w:tcW w:w="4281" w:type="pct"/>
          </w:tcPr>
          <w:p w14:paraId="2A80B5A0" w14:textId="5F0CAFAE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Displeasing to pleasing</w:t>
            </w:r>
          </w:p>
        </w:tc>
        <w:tc>
          <w:tcPr>
            <w:tcW w:w="719" w:type="pct"/>
          </w:tcPr>
          <w:p w14:paraId="26C496D7" w14:textId="04DA3EC4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0.83</w:t>
            </w:r>
          </w:p>
        </w:tc>
      </w:tr>
      <w:tr w:rsidR="003260FA" w:rsidRPr="003260FA" w14:paraId="229CF431" w14:textId="77777777" w:rsidTr="003260FA">
        <w:tc>
          <w:tcPr>
            <w:tcW w:w="4281" w:type="pct"/>
          </w:tcPr>
          <w:p w14:paraId="279DCA56" w14:textId="7738F49A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Unenjoyable to enjoyable</w:t>
            </w:r>
          </w:p>
        </w:tc>
        <w:tc>
          <w:tcPr>
            <w:tcW w:w="719" w:type="pct"/>
          </w:tcPr>
          <w:p w14:paraId="6B68083A" w14:textId="428F1E18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0.84</w:t>
            </w:r>
          </w:p>
        </w:tc>
      </w:tr>
      <w:tr w:rsidR="003260FA" w:rsidRPr="003260FA" w14:paraId="6A85776D" w14:textId="77777777" w:rsidTr="003260FA">
        <w:tc>
          <w:tcPr>
            <w:tcW w:w="4281" w:type="pct"/>
          </w:tcPr>
          <w:p w14:paraId="7A50C142" w14:textId="4EED0DD8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Valueless to valuable</w:t>
            </w:r>
          </w:p>
        </w:tc>
        <w:tc>
          <w:tcPr>
            <w:tcW w:w="719" w:type="pct"/>
          </w:tcPr>
          <w:p w14:paraId="0712E96E" w14:textId="47DD09FD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0.79</w:t>
            </w:r>
          </w:p>
        </w:tc>
      </w:tr>
      <w:tr w:rsidR="003260FA" w:rsidRPr="003260FA" w14:paraId="361F2C8E" w14:textId="77777777" w:rsidTr="003260FA">
        <w:tc>
          <w:tcPr>
            <w:tcW w:w="4281" w:type="pct"/>
          </w:tcPr>
          <w:p w14:paraId="1D437DC5" w14:textId="3E68A0C9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Unessential to essential</w:t>
            </w:r>
          </w:p>
        </w:tc>
        <w:tc>
          <w:tcPr>
            <w:tcW w:w="719" w:type="pct"/>
          </w:tcPr>
          <w:p w14:paraId="413CBAFE" w14:textId="6CEC1CCE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0.70</w:t>
            </w:r>
          </w:p>
        </w:tc>
      </w:tr>
      <w:tr w:rsidR="003260FA" w:rsidRPr="003260FA" w14:paraId="3DA4F978" w14:textId="77777777" w:rsidTr="003260FA">
        <w:tc>
          <w:tcPr>
            <w:tcW w:w="4281" w:type="pct"/>
          </w:tcPr>
          <w:p w14:paraId="64FD1508" w14:textId="2A0C8C21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Repulsive to appealing</w:t>
            </w:r>
          </w:p>
        </w:tc>
        <w:tc>
          <w:tcPr>
            <w:tcW w:w="719" w:type="pct"/>
          </w:tcPr>
          <w:p w14:paraId="5C1CBEC1" w14:textId="61346F0B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0.77</w:t>
            </w:r>
          </w:p>
        </w:tc>
      </w:tr>
      <w:tr w:rsidR="001758E6" w:rsidRPr="003260FA" w14:paraId="1C41075A" w14:textId="77777777" w:rsidTr="003260FA">
        <w:tc>
          <w:tcPr>
            <w:tcW w:w="4281" w:type="pct"/>
          </w:tcPr>
          <w:p w14:paraId="7275C6E8" w14:textId="77777777" w:rsidR="001758E6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719" w:type="pct"/>
          </w:tcPr>
          <w:p w14:paraId="2B5CA55F" w14:textId="77777777" w:rsidR="001758E6" w:rsidRDefault="001758E6" w:rsidP="003260FA">
            <w:pPr>
              <w:adjustRightInd w:val="0"/>
              <w:snapToGrid w:val="0"/>
              <w:spacing w:before="0" w:after="0"/>
              <w:jc w:val="right"/>
            </w:pPr>
          </w:p>
        </w:tc>
      </w:tr>
      <w:tr w:rsidR="003260FA" w:rsidRPr="003260FA" w14:paraId="17A275A7" w14:textId="77777777" w:rsidTr="003260FA">
        <w:tc>
          <w:tcPr>
            <w:tcW w:w="4281" w:type="pct"/>
          </w:tcPr>
          <w:p w14:paraId="2459805A" w14:textId="77777777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b/>
                <w:bCs/>
              </w:rPr>
            </w:pPr>
            <w:r w:rsidRPr="003260FA">
              <w:rPr>
                <w:b/>
                <w:bCs/>
              </w:rPr>
              <w:t>Fear of missing out</w:t>
            </w:r>
          </w:p>
          <w:p w14:paraId="7E857E94" w14:textId="178C2023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i/>
                <w:iCs/>
              </w:rPr>
            </w:pPr>
            <w:r w:rsidRPr="003260FA">
              <w:rPr>
                <w:i/>
                <w:iCs/>
                <w:sz w:val="20"/>
                <w:szCs w:val="20"/>
              </w:rPr>
              <w:t>Please indicate your strength of agreement with the following statements</w:t>
            </w:r>
            <w:r w:rsidRPr="003260FA">
              <w:rPr>
                <w:i/>
                <w:iCs/>
                <w:sz w:val="20"/>
                <w:szCs w:val="20"/>
              </w:rPr>
              <w:t xml:space="preserve"> (7-point Likert-type scale, “strongly disagree” to “strongly agree”)</w:t>
            </w:r>
            <w:r w:rsidRPr="003260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19" w:type="pct"/>
          </w:tcPr>
          <w:p w14:paraId="6255FB9C" w14:textId="77777777" w:rsid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</w:p>
        </w:tc>
      </w:tr>
      <w:tr w:rsidR="003260FA" w:rsidRPr="003260FA" w14:paraId="54165039" w14:textId="77777777" w:rsidTr="003260FA">
        <w:tc>
          <w:tcPr>
            <w:tcW w:w="4281" w:type="pct"/>
          </w:tcPr>
          <w:p w14:paraId="7D034675" w14:textId="581EA0D2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I get anxious when I don't know what my friends are up to</w:t>
            </w:r>
          </w:p>
        </w:tc>
        <w:tc>
          <w:tcPr>
            <w:tcW w:w="719" w:type="pct"/>
          </w:tcPr>
          <w:p w14:paraId="01B2FCDB" w14:textId="09F292E9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0.60</w:t>
            </w:r>
          </w:p>
        </w:tc>
      </w:tr>
      <w:tr w:rsidR="003260FA" w:rsidRPr="003260FA" w14:paraId="4C36FB18" w14:textId="77777777" w:rsidTr="003260FA">
        <w:tc>
          <w:tcPr>
            <w:tcW w:w="4281" w:type="pct"/>
          </w:tcPr>
          <w:p w14:paraId="771088C6" w14:textId="311A46E6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Sometimes, I wonder if I spend too much time keeping up with what is going on</w:t>
            </w:r>
          </w:p>
        </w:tc>
        <w:tc>
          <w:tcPr>
            <w:tcW w:w="719" w:type="pct"/>
          </w:tcPr>
          <w:p w14:paraId="505C0D9D" w14:textId="24AC0118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0.41</w:t>
            </w:r>
          </w:p>
        </w:tc>
      </w:tr>
      <w:tr w:rsidR="003260FA" w:rsidRPr="003260FA" w14:paraId="3F5FED18" w14:textId="77777777" w:rsidTr="003260FA">
        <w:tc>
          <w:tcPr>
            <w:tcW w:w="4281" w:type="pct"/>
          </w:tcPr>
          <w:p w14:paraId="744BA766" w14:textId="5731EB3C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 xml:space="preserve">When I have a good </w:t>
            </w:r>
            <w:r w:rsidR="003260FA" w:rsidRPr="003260FA">
              <w:rPr>
                <w:sz w:val="22"/>
                <w:szCs w:val="22"/>
              </w:rPr>
              <w:t>time,</w:t>
            </w:r>
            <w:r w:rsidR="003260FA" w:rsidRPr="003260FA">
              <w:rPr>
                <w:sz w:val="22"/>
                <w:szCs w:val="22"/>
              </w:rPr>
              <w:t xml:space="preserve"> it is important for me to share the details online</w:t>
            </w:r>
          </w:p>
        </w:tc>
        <w:tc>
          <w:tcPr>
            <w:tcW w:w="719" w:type="pct"/>
          </w:tcPr>
          <w:p w14:paraId="1561F289" w14:textId="2F32FBE7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0.52</w:t>
            </w:r>
          </w:p>
        </w:tc>
      </w:tr>
      <w:tr w:rsidR="003260FA" w:rsidRPr="003260FA" w14:paraId="4C3E20C4" w14:textId="77777777" w:rsidTr="003260FA">
        <w:tc>
          <w:tcPr>
            <w:tcW w:w="4281" w:type="pct"/>
          </w:tcPr>
          <w:p w14:paraId="5E178B42" w14:textId="345FB866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When I go on vacation, I continue to keep tabs on what my friends are doing</w:t>
            </w:r>
          </w:p>
        </w:tc>
        <w:tc>
          <w:tcPr>
            <w:tcW w:w="719" w:type="pct"/>
          </w:tcPr>
          <w:p w14:paraId="48463F23" w14:textId="35C7377E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0.57</w:t>
            </w:r>
          </w:p>
        </w:tc>
      </w:tr>
      <w:tr w:rsidR="003260FA" w:rsidRPr="003260FA" w14:paraId="0048EC91" w14:textId="77777777" w:rsidTr="003260FA">
        <w:tc>
          <w:tcPr>
            <w:tcW w:w="4281" w:type="pct"/>
          </w:tcPr>
          <w:p w14:paraId="067BD8BF" w14:textId="02BD5482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I get frightened when I am not able to check social media when I want to</w:t>
            </w:r>
          </w:p>
        </w:tc>
        <w:tc>
          <w:tcPr>
            <w:tcW w:w="719" w:type="pct"/>
          </w:tcPr>
          <w:p w14:paraId="5836CD2F" w14:textId="584C2971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0.84</w:t>
            </w:r>
          </w:p>
        </w:tc>
      </w:tr>
      <w:bookmarkEnd w:id="0"/>
      <w:tr w:rsidR="003260FA" w:rsidRPr="003260FA" w14:paraId="3A9442DE" w14:textId="77777777" w:rsidTr="003260FA">
        <w:tc>
          <w:tcPr>
            <w:tcW w:w="4281" w:type="pct"/>
          </w:tcPr>
          <w:p w14:paraId="08A829B5" w14:textId="6C834364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I feel nervous when I am not able to check social media when I want to</w:t>
            </w:r>
          </w:p>
        </w:tc>
        <w:tc>
          <w:tcPr>
            <w:tcW w:w="719" w:type="pct"/>
          </w:tcPr>
          <w:p w14:paraId="3654AC9E" w14:textId="54F12959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0.86</w:t>
            </w:r>
          </w:p>
        </w:tc>
      </w:tr>
      <w:tr w:rsidR="003260FA" w:rsidRPr="003260FA" w14:paraId="6B6F03A0" w14:textId="77777777" w:rsidTr="003260FA">
        <w:tc>
          <w:tcPr>
            <w:tcW w:w="4281" w:type="pct"/>
          </w:tcPr>
          <w:p w14:paraId="64D622FA" w14:textId="413D6CC9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I fear others have more rewarding experiences than me</w:t>
            </w:r>
          </w:p>
        </w:tc>
        <w:tc>
          <w:tcPr>
            <w:tcW w:w="719" w:type="pct"/>
          </w:tcPr>
          <w:p w14:paraId="0608B2FB" w14:textId="7AE96B8A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0.52</w:t>
            </w:r>
          </w:p>
        </w:tc>
      </w:tr>
      <w:tr w:rsidR="003260FA" w:rsidRPr="003260FA" w14:paraId="3B29B029" w14:textId="77777777" w:rsidTr="003260FA">
        <w:tc>
          <w:tcPr>
            <w:tcW w:w="4281" w:type="pct"/>
          </w:tcPr>
          <w:p w14:paraId="1CEB1214" w14:textId="36ADB675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I fear my friends have more rewarding experiences than me</w:t>
            </w:r>
          </w:p>
        </w:tc>
        <w:tc>
          <w:tcPr>
            <w:tcW w:w="719" w:type="pct"/>
          </w:tcPr>
          <w:p w14:paraId="012153F9" w14:textId="2B532B9A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0.54</w:t>
            </w:r>
          </w:p>
        </w:tc>
      </w:tr>
      <w:tr w:rsidR="001758E6" w:rsidRPr="003260FA" w14:paraId="2021DB67" w14:textId="77777777" w:rsidTr="003260FA">
        <w:tc>
          <w:tcPr>
            <w:tcW w:w="4281" w:type="pct"/>
          </w:tcPr>
          <w:p w14:paraId="785EB05B" w14:textId="41D0F7AE" w:rsidR="001758E6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719" w:type="pct"/>
          </w:tcPr>
          <w:p w14:paraId="63A0852C" w14:textId="77777777" w:rsidR="001758E6" w:rsidRDefault="001758E6" w:rsidP="003260FA">
            <w:pPr>
              <w:adjustRightInd w:val="0"/>
              <w:snapToGrid w:val="0"/>
              <w:spacing w:before="0" w:after="0"/>
              <w:jc w:val="right"/>
            </w:pPr>
          </w:p>
        </w:tc>
      </w:tr>
      <w:tr w:rsidR="003260FA" w:rsidRPr="003260FA" w14:paraId="6A6A99E1" w14:textId="77777777" w:rsidTr="003260FA">
        <w:tc>
          <w:tcPr>
            <w:tcW w:w="4281" w:type="pct"/>
          </w:tcPr>
          <w:p w14:paraId="171DEDA5" w14:textId="77777777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b/>
                <w:bCs/>
              </w:rPr>
            </w:pPr>
            <w:r w:rsidRPr="003260FA">
              <w:rPr>
                <w:b/>
                <w:bCs/>
              </w:rPr>
              <w:t>Degree of participation</w:t>
            </w:r>
          </w:p>
          <w:p w14:paraId="13C89F7D" w14:textId="1136532F" w:rsidR="003260FA" w:rsidRPr="003260FA" w:rsidRDefault="003260FA" w:rsidP="003260FA">
            <w:pPr>
              <w:adjustRightInd w:val="0"/>
              <w:snapToGrid w:val="0"/>
              <w:spacing w:before="0" w:after="0"/>
              <w:rPr>
                <w:i/>
                <w:iCs/>
              </w:rPr>
            </w:pPr>
            <w:r w:rsidRPr="003260FA">
              <w:rPr>
                <w:i/>
                <w:iCs/>
                <w:sz w:val="20"/>
                <w:szCs w:val="20"/>
              </w:rPr>
              <w:t>Please indicate which of the two oppositional adjectives better describes your average Instagram usage</w:t>
            </w:r>
            <w:r w:rsidRPr="003260FA">
              <w:rPr>
                <w:i/>
                <w:iCs/>
                <w:sz w:val="20"/>
                <w:szCs w:val="20"/>
              </w:rPr>
              <w:t xml:space="preserve"> (7-point semantic differential)</w:t>
            </w:r>
            <w:r w:rsidRPr="003260FA">
              <w:rPr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719" w:type="pct"/>
          </w:tcPr>
          <w:p w14:paraId="129B49CB" w14:textId="77777777" w:rsid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</w:p>
        </w:tc>
      </w:tr>
      <w:tr w:rsidR="003260FA" w:rsidRPr="003260FA" w14:paraId="2D6909C1" w14:textId="77777777" w:rsidTr="003260FA">
        <w:tc>
          <w:tcPr>
            <w:tcW w:w="4281" w:type="pct"/>
          </w:tcPr>
          <w:p w14:paraId="4957DAF4" w14:textId="78532DB3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Consumer to contributor</w:t>
            </w:r>
          </w:p>
        </w:tc>
        <w:tc>
          <w:tcPr>
            <w:tcW w:w="719" w:type="pct"/>
          </w:tcPr>
          <w:p w14:paraId="4A77961C" w14:textId="2C297E96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0.74</w:t>
            </w:r>
          </w:p>
        </w:tc>
      </w:tr>
      <w:tr w:rsidR="003260FA" w:rsidRPr="003260FA" w14:paraId="4336ACC4" w14:textId="77777777" w:rsidTr="003260FA">
        <w:tc>
          <w:tcPr>
            <w:tcW w:w="4281" w:type="pct"/>
          </w:tcPr>
          <w:p w14:paraId="31A7EFD4" w14:textId="2A0D1CA5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Reader to writer</w:t>
            </w:r>
          </w:p>
        </w:tc>
        <w:tc>
          <w:tcPr>
            <w:tcW w:w="719" w:type="pct"/>
          </w:tcPr>
          <w:p w14:paraId="12A87322" w14:textId="56679984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0.72</w:t>
            </w:r>
          </w:p>
        </w:tc>
      </w:tr>
      <w:tr w:rsidR="003260FA" w:rsidRPr="003260FA" w14:paraId="293DC7C5" w14:textId="77777777" w:rsidTr="003260FA">
        <w:tc>
          <w:tcPr>
            <w:tcW w:w="4281" w:type="pct"/>
          </w:tcPr>
          <w:p w14:paraId="238EA22A" w14:textId="5410C014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Observer to content creator</w:t>
            </w:r>
          </w:p>
        </w:tc>
        <w:tc>
          <w:tcPr>
            <w:tcW w:w="719" w:type="pct"/>
          </w:tcPr>
          <w:p w14:paraId="31EFD942" w14:textId="7D34EC0D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0.79</w:t>
            </w:r>
          </w:p>
        </w:tc>
      </w:tr>
      <w:tr w:rsidR="003260FA" w:rsidRPr="003260FA" w14:paraId="7B674F43" w14:textId="77777777" w:rsidTr="003260FA">
        <w:tc>
          <w:tcPr>
            <w:tcW w:w="4281" w:type="pct"/>
          </w:tcPr>
          <w:p w14:paraId="42259666" w14:textId="21A5ACD0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Passive to active</w:t>
            </w:r>
          </w:p>
        </w:tc>
        <w:tc>
          <w:tcPr>
            <w:tcW w:w="719" w:type="pct"/>
          </w:tcPr>
          <w:p w14:paraId="3707ABFC" w14:textId="70365494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0.73</w:t>
            </w:r>
          </w:p>
        </w:tc>
      </w:tr>
      <w:tr w:rsidR="003260FA" w:rsidRPr="003260FA" w14:paraId="7AF39F30" w14:textId="77777777" w:rsidTr="003260FA">
        <w:tc>
          <w:tcPr>
            <w:tcW w:w="4281" w:type="pct"/>
          </w:tcPr>
          <w:p w14:paraId="4558C329" w14:textId="6BE37077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Taker to giver</w:t>
            </w:r>
          </w:p>
        </w:tc>
        <w:tc>
          <w:tcPr>
            <w:tcW w:w="719" w:type="pct"/>
          </w:tcPr>
          <w:p w14:paraId="7943E59D" w14:textId="5A14B8B7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0.65</w:t>
            </w:r>
          </w:p>
        </w:tc>
      </w:tr>
      <w:tr w:rsidR="003260FA" w:rsidRPr="003260FA" w14:paraId="61CC83CE" w14:textId="77777777" w:rsidTr="003260FA">
        <w:tc>
          <w:tcPr>
            <w:tcW w:w="4281" w:type="pct"/>
            <w:tcBorders>
              <w:bottom w:val="single" w:sz="24" w:space="0" w:color="auto"/>
            </w:tcBorders>
          </w:tcPr>
          <w:p w14:paraId="6F2EEC9F" w14:textId="0F5E7B52" w:rsidR="003260FA" w:rsidRPr="003260FA" w:rsidRDefault="001758E6" w:rsidP="003260FA">
            <w:pPr>
              <w:adjustRightInd w:val="0"/>
              <w:snapToGrid w:val="0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3260FA" w:rsidRPr="003260FA">
              <w:rPr>
                <w:sz w:val="22"/>
                <w:szCs w:val="22"/>
              </w:rPr>
              <w:t>Lurker to poster</w:t>
            </w:r>
          </w:p>
        </w:tc>
        <w:tc>
          <w:tcPr>
            <w:tcW w:w="719" w:type="pct"/>
            <w:tcBorders>
              <w:bottom w:val="single" w:sz="24" w:space="0" w:color="auto"/>
            </w:tcBorders>
          </w:tcPr>
          <w:p w14:paraId="76387716" w14:textId="2192B446" w:rsidR="003260FA" w:rsidRPr="003260FA" w:rsidRDefault="003260FA" w:rsidP="003260FA">
            <w:pPr>
              <w:adjustRightInd w:val="0"/>
              <w:snapToGrid w:val="0"/>
              <w:spacing w:before="0" w:after="0"/>
              <w:jc w:val="right"/>
            </w:pPr>
            <w:r>
              <w:t>0.74</w:t>
            </w:r>
          </w:p>
        </w:tc>
      </w:tr>
      <w:tr w:rsidR="003260FA" w:rsidRPr="003260FA" w14:paraId="4DF08528" w14:textId="77777777" w:rsidTr="003260FA">
        <w:tc>
          <w:tcPr>
            <w:tcW w:w="5000" w:type="pct"/>
            <w:gridSpan w:val="2"/>
            <w:tcBorders>
              <w:top w:val="single" w:sz="24" w:space="0" w:color="auto"/>
            </w:tcBorders>
          </w:tcPr>
          <w:p w14:paraId="06F3B196" w14:textId="5870E14A" w:rsidR="003260FA" w:rsidRPr="00E06792" w:rsidRDefault="003260FA" w:rsidP="003260FA">
            <w:pPr>
              <w:adjustRightInd w:val="0"/>
              <w:snapToGrid w:val="0"/>
              <w:spacing w:before="0" w:after="0"/>
              <w:rPr>
                <w:sz w:val="20"/>
                <w:szCs w:val="20"/>
              </w:rPr>
            </w:pPr>
            <w:r w:rsidRPr="00E06792">
              <w:rPr>
                <w:b/>
                <w:bCs/>
                <w:sz w:val="20"/>
                <w:szCs w:val="20"/>
              </w:rPr>
              <w:t>Note.</w:t>
            </w:r>
            <w:r w:rsidRPr="00E06792">
              <w:rPr>
                <w:sz w:val="20"/>
                <w:szCs w:val="20"/>
              </w:rPr>
              <w:t xml:space="preserve"> Standardized factor loadings based on confirmatory factor analysis;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= </w:t>
            </w:r>
            <w:r w:rsidR="00E06792">
              <w:rPr>
                <w:rFonts w:eastAsiaTheme="minorEastAsia"/>
                <w:color w:val="000000" w:themeColor="text1"/>
                <w:sz w:val="20"/>
                <w:szCs w:val="20"/>
              </w:rPr>
              <w:t>2,086.58</w:t>
            </w:r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, </w:t>
            </w:r>
            <w:r w:rsidR="00E06792" w:rsidRPr="00E06792">
              <w:rPr>
                <w:rFonts w:eastAsiaTheme="minorEastAsia"/>
                <w:i/>
                <w:color w:val="000000" w:themeColor="text1"/>
                <w:sz w:val="20"/>
                <w:szCs w:val="20"/>
              </w:rPr>
              <w:t>df</w:t>
            </w:r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= </w:t>
            </w:r>
            <w:r w:rsidR="00E06792">
              <w:rPr>
                <w:rFonts w:eastAsiaTheme="minorEastAsia"/>
                <w:color w:val="000000" w:themeColor="text1"/>
                <w:sz w:val="20"/>
                <w:szCs w:val="20"/>
              </w:rPr>
              <w:t>227</w:t>
            </w:r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>, p &lt; 0.</w:t>
            </w:r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</w:t>
            </w:r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01,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oMath>
            <w:r w:rsidR="00E06792" w:rsidRPr="00E06792">
              <w:rPr>
                <w:rFonts w:eastAsiaTheme="minorEastAsia"/>
                <w:color w:val="000000" w:themeColor="text1"/>
                <w:sz w:val="20"/>
                <w:szCs w:val="20"/>
              </w:rPr>
              <w:t>/</w:t>
            </w:r>
            <w:r w:rsidR="00E06792" w:rsidRPr="00E06792">
              <w:rPr>
                <w:rFonts w:eastAsiaTheme="minorEastAsia"/>
                <w:i/>
                <w:color w:val="000000" w:themeColor="text1"/>
                <w:sz w:val="20"/>
                <w:szCs w:val="20"/>
              </w:rPr>
              <w:t xml:space="preserve">df = </w:t>
            </w:r>
            <w:r w:rsidR="00E06792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9.19; </w:t>
            </w:r>
            <w:r w:rsidR="00E06792" w:rsidRPr="00E06792">
              <w:rPr>
                <w:sz w:val="20"/>
                <w:szCs w:val="20"/>
              </w:rPr>
              <w:t>CFI= 0.86, TLI = 0.84, RMSEA = 0.09, SRMR = 0.06</w:t>
            </w:r>
            <w:r w:rsidR="00E06792">
              <w:rPr>
                <w:sz w:val="20"/>
                <w:szCs w:val="20"/>
              </w:rPr>
              <w:t xml:space="preserve">; all factor loadings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oMath>
            <w:r w:rsidR="00E06792">
              <w:rPr>
                <w:rFonts w:eastAsiaTheme="minorEastAsia"/>
                <w:sz w:val="20"/>
                <w:szCs w:val="20"/>
              </w:rPr>
              <w:t xml:space="preserve"> = 0.40</w:t>
            </w:r>
          </w:p>
        </w:tc>
      </w:tr>
    </w:tbl>
    <w:p w14:paraId="2D3A29EB" w14:textId="77777777" w:rsidR="009211EA" w:rsidRDefault="009211EA"/>
    <w:sectPr w:rsidR="009211EA" w:rsidSect="002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FA"/>
    <w:rsid w:val="00031082"/>
    <w:rsid w:val="000A6B60"/>
    <w:rsid w:val="001758E6"/>
    <w:rsid w:val="00217317"/>
    <w:rsid w:val="00264D3F"/>
    <w:rsid w:val="003260FA"/>
    <w:rsid w:val="00535762"/>
    <w:rsid w:val="006A5828"/>
    <w:rsid w:val="006B6436"/>
    <w:rsid w:val="006E5CB3"/>
    <w:rsid w:val="00705ACD"/>
    <w:rsid w:val="009211EA"/>
    <w:rsid w:val="00A13762"/>
    <w:rsid w:val="00A4455A"/>
    <w:rsid w:val="00DF24BD"/>
    <w:rsid w:val="00E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C899E"/>
  <w14:defaultImageDpi w14:val="32767"/>
  <w15:chartTrackingRefBased/>
  <w15:docId w15:val="{93EB0793-8DEC-1B42-B1FF-BEEC1BA3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4D3F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2</cp:revision>
  <dcterms:created xsi:type="dcterms:W3CDTF">2020-02-14T16:01:00Z</dcterms:created>
  <dcterms:modified xsi:type="dcterms:W3CDTF">2020-02-14T16:25:00Z</dcterms:modified>
</cp:coreProperties>
</file>