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Tile-O Game – Problem Description 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Tile-O application first allows a game designer to design a board game and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allows players to play the game. Only one game can be played at a time and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cannot be paused or saved. The objective of the game is to find a hidden tile 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board. Two to four players take turns by moving their playing pieces along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connected tiles based on the roll of a die. Each playing piece has a different color.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designer first defines the whole game including the layout of the game board.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designer places the tiles on the board and connects them with connection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pieces. A tile can be connected to other tiles on its right side, left side, top side,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bottom side. At the most one tile can be connected on each side. In addition,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designer indicates the hidden tile, the starting positions of each player, 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well as the location of action tiles.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designer also defines a deck of 32 action cards by choosing from the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following predefined choices: (i) roll the die for an extra turn, (ii) connect two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adjacent tiles with a connection piece from the pile of 32 spare connection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pieces, (iii) remove a connection piece from the board and place it in the pile of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spare connection pieces, (iv) move your playing piece to an arbitrary tile that is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your current tile, and (v) lose your next turn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Players take turns, with Player 1 starting the game, followed by Player 2, Player 3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(if applicable), and Player 4 (if applicable). The player whose turn it is rolls the die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them moves their playing piece along connected tiles. If the player lands 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any tile, the color of the tile changes from white to black to indicate that the tile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has been visited during the game. If the player lands on the hidden tile, the game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ends and the player wins the game. If the player lands on an action tile, the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player takes the first action card from the deck of action cards and follows the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instructions on the action card. In addition, the action tile turns into a regular tile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a number of turns as specified by the game designer. Players do not know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whether a tile is an action tile until a player lands on 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