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D3B0" w14:textId="77777777" w:rsidR="00310D43" w:rsidRPr="00310D43" w:rsidRDefault="00310D43" w:rsidP="00310D43">
      <w:pPr>
        <w:pStyle w:val="Heading3"/>
        <w:rPr>
          <w:lang w:val="en-US"/>
        </w:rPr>
      </w:pPr>
      <w:r w:rsidRPr="00310D43">
        <w:rPr>
          <w:lang w:val="en-US"/>
        </w:rPr>
        <w:t xml:space="preserve">What are the criteria for </w:t>
      </w:r>
      <w:hyperlink r:id="rId7" w:history="1">
        <w:r w:rsidRPr="00310D43">
          <w:rPr>
            <w:rStyle w:val="Hyperlink"/>
            <w:lang w:val="en-US"/>
          </w:rPr>
          <w:t>plant biology papers</w:t>
        </w:r>
      </w:hyperlink>
      <w:r w:rsidRPr="00310D43">
        <w:rPr>
          <w:lang w:val="en-US"/>
        </w:rPr>
        <w:t>?</w:t>
      </w:r>
    </w:p>
    <w:p w14:paraId="4A21C221" w14:textId="77777777" w:rsidR="00310D43" w:rsidRPr="00310D43" w:rsidRDefault="00310D43" w:rsidP="00310D43">
      <w:pPr>
        <w:pStyle w:val="ListParagraph"/>
        <w:numPr>
          <w:ilvl w:val="0"/>
          <w:numId w:val="1"/>
        </w:numPr>
        <w:rPr>
          <w:lang w:val="en-US"/>
        </w:rPr>
      </w:pPr>
      <w:r w:rsidRPr="00310D43">
        <w:t>Problem-oriented original research articles (maximum 9000 words)</w:t>
      </w:r>
    </w:p>
    <w:p w14:paraId="0C2158DD" w14:textId="77777777" w:rsidR="00310D43" w:rsidRPr="00310D43" w:rsidRDefault="00310D43" w:rsidP="00310D43">
      <w:pPr>
        <w:pStyle w:val="ListParagraph"/>
        <w:numPr>
          <w:ilvl w:val="0"/>
          <w:numId w:val="1"/>
        </w:numPr>
        <w:rPr>
          <w:lang w:val="en-US"/>
        </w:rPr>
      </w:pPr>
      <w:r w:rsidRPr="00310D43">
        <w:t>Data sharing and data accessibility: have it all on githu!</w:t>
      </w:r>
    </w:p>
    <w:p w14:paraId="765AC6D6" w14:textId="77777777" w:rsidR="00310D43" w:rsidRPr="00310D43" w:rsidRDefault="00310D43" w:rsidP="00310D43">
      <w:pPr>
        <w:pStyle w:val="ListParagraph"/>
        <w:numPr>
          <w:ilvl w:val="0"/>
          <w:numId w:val="1"/>
        </w:numPr>
        <w:rPr>
          <w:lang w:val="en-US"/>
        </w:rPr>
      </w:pPr>
      <w:r w:rsidRPr="00310D43">
        <w:rPr>
          <w:b/>
          <w:bCs/>
        </w:rPr>
        <w:t>Research articles </w:t>
      </w:r>
      <w:r w:rsidRPr="00310D43">
        <w:t>may be submitted that have not been published previously, even as a summary. Concise presentation is required. Although the non-specialist reader should be kept in mind when abstracts, introductions and discussions are written, lengthy review type introductions and speculative discussions should be avoided. Experimental methods should be explained in detail except for standard procedures. Diffuse and repetitive style should be avoided. Illustrations and tables should be limited to the truly essential material.</w:t>
      </w:r>
      <w:r w:rsidRPr="00310D43">
        <w:br/>
      </w:r>
      <w:r w:rsidRPr="00310D43">
        <w:rPr>
          <w:i/>
          <w:iCs/>
        </w:rPr>
        <w:t>Plant Biology</w:t>
      </w:r>
      <w:r w:rsidRPr="00310D43">
        <w:t> preferentially publishes </w:t>
      </w:r>
      <w:r w:rsidRPr="00310D43">
        <w:rPr>
          <w:b/>
          <w:bCs/>
        </w:rPr>
        <w:t>short research articles </w:t>
      </w:r>
      <w:r w:rsidRPr="00310D43">
        <w:t>(five typeset pages maximum) that will be reviewed with high priority.</w:t>
      </w:r>
    </w:p>
    <w:p w14:paraId="138AF48F" w14:textId="77777777" w:rsidR="00310D43" w:rsidRPr="00310D43" w:rsidRDefault="00310D43" w:rsidP="00310D43">
      <w:pPr>
        <w:pStyle w:val="ListParagraph"/>
        <w:numPr>
          <w:ilvl w:val="0"/>
          <w:numId w:val="1"/>
        </w:numPr>
        <w:rPr>
          <w:lang w:val="en-US"/>
        </w:rPr>
      </w:pPr>
      <w:r w:rsidRPr="00310D43">
        <w:rPr>
          <w:b/>
          <w:bCs/>
        </w:rPr>
        <w:t>Arrangement</w:t>
      </w:r>
      <w:r w:rsidRPr="00310D43">
        <w:rPr>
          <w:b/>
          <w:bCs/>
        </w:rPr>
        <w:br/>
        <w:t>Research articles</w:t>
      </w:r>
      <w:r w:rsidRPr="00310D43">
        <w:br/>
      </w:r>
      <w:r w:rsidRPr="00310D43">
        <w:rPr>
          <w:i/>
          <w:iCs/>
        </w:rPr>
        <w:t>Title page</w:t>
      </w:r>
      <w:r w:rsidRPr="00310D43">
        <w:t>: The first page of each paper should indicate: The title, the authors' names and affiliations, a short title for use as running head, the name, address, e-mail address, phone and fax number of the corresponding author, 3 to 7 keywords, and a one-sentence summary of the key message of the paper. </w:t>
      </w:r>
      <w:r w:rsidRPr="00310D43">
        <w:br/>
      </w:r>
      <w:r w:rsidRPr="00310D43">
        <w:rPr>
          <w:i/>
          <w:iCs/>
        </w:rPr>
        <w:t>Abbreviation:</w:t>
      </w:r>
      <w:r w:rsidRPr="00310D43">
        <w:t> List with abbreviations where appropriate.</w:t>
      </w:r>
      <w:r w:rsidRPr="00310D43">
        <w:br/>
      </w:r>
      <w:r w:rsidRPr="00310D43">
        <w:rPr>
          <w:i/>
          <w:iCs/>
        </w:rPr>
        <w:t>Abstract:</w:t>
      </w:r>
      <w:r w:rsidRPr="00310D43">
        <w:t> The abstract must be usable as a stand-alone document and must not exceed 250 words. For all papers submitted from 2016 onwards, a structured abstract is required using four bullet points to indicate (1) the research conducted including its rationale, (2) central methods applied, (3) key results, and (4) main conclusions including key points of discussion. It should not contain citations of other papers. For reviews, bullet points do not apply.</w:t>
      </w:r>
      <w:r w:rsidRPr="00310D43">
        <w:rPr>
          <w:i/>
          <w:iCs/>
        </w:rPr>
        <w:br/>
      </w:r>
      <w:r w:rsidRPr="00310D43">
        <w:rPr>
          <w:i/>
          <w:iCs/>
        </w:rPr>
        <w:br/>
      </w:r>
      <w:r w:rsidRPr="00310D43">
        <w:t>The following sections cover the usual contents: Introduction, Materials and Methods, Results, Discussion, Acknowledgements, References (see below), Tables (see below), Figure legends (see below), Illustrations (see below).</w:t>
      </w:r>
      <w:r w:rsidRPr="00310D43">
        <w:br/>
        <w:t>In Materials and Methods, Results and Discussion subheadings are possible. If an author chooses to combine sections Results and Discussion, an additional section Conclusions can be added, but this must be brief.</w:t>
      </w:r>
    </w:p>
    <w:p w14:paraId="54D4CC51" w14:textId="77777777" w:rsidR="00310D43" w:rsidRPr="00310D43" w:rsidRDefault="00310D43" w:rsidP="00310D43">
      <w:pPr>
        <w:pStyle w:val="ListParagraph"/>
        <w:numPr>
          <w:ilvl w:val="0"/>
          <w:numId w:val="1"/>
        </w:numPr>
        <w:rPr>
          <w:lang w:val="en-US"/>
        </w:rPr>
      </w:pPr>
      <w:r w:rsidRPr="00310D43">
        <w:rPr>
          <w:lang w:val="en-US"/>
        </w:rPr>
        <w:t>Introduction is structured without subchapters</w:t>
      </w:r>
    </w:p>
    <w:p w14:paraId="02AF2C60" w14:textId="77777777" w:rsidR="00310D43" w:rsidRPr="00310D43" w:rsidRDefault="00310D43" w:rsidP="00310D43">
      <w:pPr>
        <w:pStyle w:val="ListParagraph"/>
        <w:numPr>
          <w:ilvl w:val="0"/>
          <w:numId w:val="1"/>
        </w:numPr>
        <w:rPr>
          <w:lang w:val="en-US"/>
        </w:rPr>
      </w:pPr>
      <w:r w:rsidRPr="00310D43">
        <w:rPr>
          <w:lang w:val="en-US"/>
        </w:rPr>
        <w:t>Introduction is two pages max</w:t>
      </w:r>
    </w:p>
    <w:p w14:paraId="15461666" w14:textId="77777777" w:rsidR="00310D43" w:rsidRPr="00310D43" w:rsidRDefault="00310D43" w:rsidP="00310D43">
      <w:pPr>
        <w:rPr>
          <w:lang w:val="en-US"/>
        </w:rPr>
      </w:pPr>
      <w:r w:rsidRPr="00310D43">
        <w:rPr>
          <w:lang w:val="en-US"/>
        </w:rPr>
        <w:t>Potential paragraphs:</w:t>
      </w:r>
    </w:p>
    <w:p w14:paraId="3CD61163" w14:textId="77777777" w:rsidR="00310D43" w:rsidRPr="00310D43" w:rsidRDefault="00310D43" w:rsidP="00310D43">
      <w:pPr>
        <w:pStyle w:val="ListParagraph"/>
        <w:numPr>
          <w:ilvl w:val="0"/>
          <w:numId w:val="2"/>
        </w:numPr>
        <w:rPr>
          <w:lang w:val="en-US"/>
        </w:rPr>
      </w:pPr>
      <w:r w:rsidRPr="00310D43">
        <w:rPr>
          <w:lang w:val="en-US"/>
        </w:rPr>
        <w:t>Pollination in general</w:t>
      </w:r>
    </w:p>
    <w:p w14:paraId="7B65D4A2" w14:textId="77777777" w:rsidR="00310D43" w:rsidRPr="00310D43" w:rsidRDefault="00310D43" w:rsidP="00310D43">
      <w:pPr>
        <w:pStyle w:val="ListParagraph"/>
        <w:numPr>
          <w:ilvl w:val="1"/>
          <w:numId w:val="2"/>
        </w:numPr>
        <w:rPr>
          <w:lang w:val="en-US"/>
        </w:rPr>
      </w:pPr>
      <w:r w:rsidRPr="00310D43">
        <w:rPr>
          <w:lang w:val="en-US"/>
        </w:rPr>
        <w:t>Pollen limitation</w:t>
      </w:r>
    </w:p>
    <w:p w14:paraId="0C9B4A9C" w14:textId="77777777" w:rsidR="00310D43" w:rsidRPr="00310D43" w:rsidRDefault="00310D43" w:rsidP="00310D43">
      <w:pPr>
        <w:pStyle w:val="ListParagraph"/>
        <w:numPr>
          <w:ilvl w:val="1"/>
          <w:numId w:val="2"/>
        </w:numPr>
        <w:rPr>
          <w:lang w:val="en-US"/>
        </w:rPr>
      </w:pPr>
      <w:r w:rsidRPr="00310D43">
        <w:rPr>
          <w:lang w:val="en-US"/>
        </w:rPr>
        <w:t>Self-pollination and self-compatibility</w:t>
      </w:r>
    </w:p>
    <w:p w14:paraId="3C89EA9C" w14:textId="77777777" w:rsidR="00310D43" w:rsidRPr="00310D43" w:rsidRDefault="00310D43" w:rsidP="00310D43">
      <w:pPr>
        <w:pStyle w:val="ListParagraph"/>
        <w:numPr>
          <w:ilvl w:val="0"/>
          <w:numId w:val="2"/>
        </w:numPr>
        <w:rPr>
          <w:lang w:val="en-US"/>
        </w:rPr>
      </w:pPr>
      <w:r w:rsidRPr="00310D43">
        <w:rPr>
          <w:lang w:val="en-US"/>
        </w:rPr>
        <w:t>Self-pollination</w:t>
      </w:r>
    </w:p>
    <w:p w14:paraId="11FA3565" w14:textId="77777777" w:rsidR="00310D43" w:rsidRPr="00310D43" w:rsidRDefault="00310D43" w:rsidP="00310D43">
      <w:pPr>
        <w:pStyle w:val="ListParagraph"/>
        <w:numPr>
          <w:ilvl w:val="1"/>
          <w:numId w:val="2"/>
        </w:numPr>
        <w:rPr>
          <w:lang w:val="en-US"/>
        </w:rPr>
      </w:pPr>
      <w:r w:rsidRPr="00310D43">
        <w:rPr>
          <w:lang w:val="en-US"/>
        </w:rPr>
        <w:t>Pro’s and cons of self compatibility</w:t>
      </w:r>
    </w:p>
    <w:p w14:paraId="46DF2B8C" w14:textId="77777777" w:rsidR="00310D43" w:rsidRPr="00310D43" w:rsidRDefault="00310D43" w:rsidP="00310D43">
      <w:pPr>
        <w:pStyle w:val="ListParagraph"/>
        <w:numPr>
          <w:ilvl w:val="1"/>
          <w:numId w:val="2"/>
        </w:numPr>
        <w:rPr>
          <w:lang w:val="en-US"/>
        </w:rPr>
      </w:pPr>
      <w:r w:rsidRPr="00310D43">
        <w:rPr>
          <w:lang w:val="en-US"/>
        </w:rPr>
        <w:t>Types of self-compatibility</w:t>
      </w:r>
    </w:p>
    <w:p w14:paraId="7A967B1D" w14:textId="77777777" w:rsidR="00310D43" w:rsidRPr="00310D43" w:rsidRDefault="00310D43" w:rsidP="00310D43">
      <w:pPr>
        <w:pStyle w:val="ListParagraph"/>
        <w:numPr>
          <w:ilvl w:val="1"/>
          <w:numId w:val="2"/>
        </w:numPr>
        <w:rPr>
          <w:lang w:val="en-US"/>
        </w:rPr>
      </w:pPr>
      <w:r w:rsidRPr="00310D43">
        <w:rPr>
          <w:lang w:val="en-US"/>
        </w:rPr>
        <w:t>Selfing as an evolutionary dead end</w:t>
      </w:r>
    </w:p>
    <w:p w14:paraId="79FDFEE5" w14:textId="77777777" w:rsidR="00310D43" w:rsidRPr="00310D43" w:rsidRDefault="00310D43" w:rsidP="00310D43">
      <w:pPr>
        <w:pStyle w:val="ListParagraph"/>
        <w:numPr>
          <w:ilvl w:val="0"/>
          <w:numId w:val="2"/>
        </w:numPr>
        <w:rPr>
          <w:lang w:val="en-US"/>
        </w:rPr>
      </w:pPr>
      <w:r w:rsidRPr="00310D43">
        <w:rPr>
          <w:lang w:val="en-US"/>
        </w:rPr>
        <w:t>Montane conditions and pollen limitation</w:t>
      </w:r>
    </w:p>
    <w:p w14:paraId="20287EAB" w14:textId="77777777" w:rsidR="00310D43" w:rsidRPr="00310D43" w:rsidRDefault="00310D43" w:rsidP="00310D43">
      <w:pPr>
        <w:pStyle w:val="ListParagraph"/>
        <w:numPr>
          <w:ilvl w:val="1"/>
          <w:numId w:val="2"/>
        </w:numPr>
        <w:rPr>
          <w:lang w:val="en-US"/>
        </w:rPr>
      </w:pPr>
      <w:r w:rsidRPr="00310D43">
        <w:rPr>
          <w:lang w:val="en-US"/>
        </w:rPr>
        <w:t>Increasing elevation</w:t>
      </w:r>
    </w:p>
    <w:p w14:paraId="4C903A1E" w14:textId="77777777" w:rsidR="00310D43" w:rsidRDefault="00310D43" w:rsidP="00310D43">
      <w:pPr>
        <w:pStyle w:val="ListParagraph"/>
        <w:numPr>
          <w:ilvl w:val="0"/>
          <w:numId w:val="2"/>
        </w:numPr>
        <w:rPr>
          <w:lang w:val="en-US"/>
        </w:rPr>
      </w:pPr>
      <w:r w:rsidRPr="00310D43">
        <w:rPr>
          <w:lang w:val="en-US"/>
        </w:rPr>
        <w:t>What studies are known?</w:t>
      </w:r>
    </w:p>
    <w:p w14:paraId="303E8B54" w14:textId="71A424D9" w:rsidR="0043278E" w:rsidRPr="00310D43" w:rsidRDefault="0043278E" w:rsidP="00310D43">
      <w:pPr>
        <w:pStyle w:val="ListParagraph"/>
        <w:numPr>
          <w:ilvl w:val="0"/>
          <w:numId w:val="2"/>
        </w:numPr>
        <w:rPr>
          <w:lang w:val="en-US"/>
        </w:rPr>
      </w:pPr>
      <w:r>
        <w:rPr>
          <w:lang w:val="en-US"/>
        </w:rPr>
        <w:t>What is our study aiming to do?</w:t>
      </w:r>
    </w:p>
    <w:p w14:paraId="54125C20" w14:textId="77777777" w:rsidR="00310D43" w:rsidRPr="00310D43" w:rsidRDefault="00310D43" w:rsidP="00310D43">
      <w:pPr>
        <w:rPr>
          <w:i/>
          <w:iCs/>
          <w:lang w:val="en-US"/>
        </w:rPr>
      </w:pPr>
      <w:r w:rsidRPr="00310D43">
        <w:rPr>
          <w:i/>
          <w:iCs/>
          <w:lang w:val="en-US"/>
        </w:rPr>
        <w:t>Increased pollination probability hypothesis</w:t>
      </w:r>
    </w:p>
    <w:p w14:paraId="5F651F8D" w14:textId="77777777" w:rsidR="00310D43" w:rsidRPr="00310D43" w:rsidRDefault="00310D43" w:rsidP="00310D43">
      <w:pPr>
        <w:rPr>
          <w:i/>
          <w:iCs/>
          <w:lang w:val="en-US"/>
        </w:rPr>
      </w:pPr>
      <w:r w:rsidRPr="00310D43">
        <w:rPr>
          <w:i/>
          <w:iCs/>
          <w:lang w:val="en-US"/>
        </w:rPr>
        <w:t>Energy-contraint hypothesis</w:t>
      </w:r>
    </w:p>
    <w:p w14:paraId="45783B97" w14:textId="77777777" w:rsidR="00310D43" w:rsidRPr="00310D43" w:rsidRDefault="00310D43" w:rsidP="00310D43">
      <w:pPr>
        <w:rPr>
          <w:i/>
          <w:iCs/>
          <w:lang w:val="en-US"/>
        </w:rPr>
      </w:pPr>
      <w:r w:rsidRPr="00310D43">
        <w:rPr>
          <w:i/>
          <w:iCs/>
          <w:lang w:val="en-US"/>
        </w:rPr>
        <w:t>Autogamy reproductive assurance hypothesis</w:t>
      </w:r>
    </w:p>
    <w:p w14:paraId="3092E1C1" w14:textId="77777777" w:rsidR="00310D43" w:rsidRPr="00310D43" w:rsidRDefault="00310D43" w:rsidP="00310D43">
      <w:pPr>
        <w:rPr>
          <w:i/>
          <w:iCs/>
          <w:lang w:val="en-US"/>
        </w:rPr>
      </w:pPr>
      <w:r w:rsidRPr="00310D43">
        <w:rPr>
          <w:i/>
          <w:iCs/>
          <w:lang w:val="en-US"/>
        </w:rPr>
        <w:t>Automatic selection hypothesis</w:t>
      </w:r>
    </w:p>
    <w:p w14:paraId="14D0BAC3" w14:textId="0A42C137" w:rsidR="00310D43" w:rsidRPr="00310D43" w:rsidRDefault="00310D43" w:rsidP="00310D43">
      <w:pPr>
        <w:pStyle w:val="NoSpacing"/>
        <w:rPr>
          <w:rFonts w:ascii="Garamond" w:hAnsi="Garamond"/>
          <w:lang w:val="en-US"/>
        </w:rPr>
      </w:pPr>
      <w:r w:rsidRPr="00310D43">
        <w:rPr>
          <w:rFonts w:ascii="Garamond" w:hAnsi="Garamond"/>
          <w:noProof/>
          <w:lang w:val="en-US"/>
        </w:rPr>
        <w:drawing>
          <wp:inline distT="0" distB="0" distL="0" distR="0" wp14:anchorId="1C5C9B39" wp14:editId="27BBA696">
            <wp:extent cx="5731510" cy="186055"/>
            <wp:effectExtent l="0" t="0" r="2540" b="4445"/>
            <wp:docPr id="16220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0752" name=""/>
                    <pic:cNvPicPr/>
                  </pic:nvPicPr>
                  <pic:blipFill>
                    <a:blip r:embed="rId8"/>
                    <a:stretch>
                      <a:fillRect/>
                    </a:stretch>
                  </pic:blipFill>
                  <pic:spPr>
                    <a:xfrm>
                      <a:off x="0" y="0"/>
                      <a:ext cx="5731510" cy="186055"/>
                    </a:xfrm>
                    <a:prstGeom prst="rect">
                      <a:avLst/>
                    </a:prstGeom>
                  </pic:spPr>
                </pic:pic>
              </a:graphicData>
            </a:graphic>
          </wp:inline>
        </w:drawing>
      </w:r>
    </w:p>
    <w:p w14:paraId="661EB0C1" w14:textId="49272F9A" w:rsidR="00E434EB" w:rsidRDefault="008F2697" w:rsidP="00CB3108">
      <w:pPr>
        <w:pStyle w:val="Heading1"/>
        <w:rPr>
          <w:rFonts w:ascii="Garamond" w:hAnsi="Garamond"/>
          <w:lang w:val="en-US"/>
        </w:rPr>
      </w:pPr>
      <w:r w:rsidRPr="00310D43">
        <w:rPr>
          <w:rFonts w:ascii="Garamond" w:hAnsi="Garamond"/>
          <w:lang w:val="en-US"/>
        </w:rPr>
        <w:t>Title</w:t>
      </w:r>
      <w:r w:rsidR="00E530B8">
        <w:rPr>
          <w:rFonts w:ascii="Garamond" w:hAnsi="Garamond"/>
          <w:lang w:val="en-US"/>
        </w:rPr>
        <w:t xml:space="preserve"> </w:t>
      </w:r>
    </w:p>
    <w:p w14:paraId="60D7B2EE" w14:textId="11EF1A1C" w:rsidR="0043278E" w:rsidRDefault="0043278E" w:rsidP="00E530B8">
      <w:pPr>
        <w:rPr>
          <w:lang w:val="en-US"/>
        </w:rPr>
      </w:pPr>
      <w:r>
        <w:rPr>
          <w:lang w:val="en-US"/>
        </w:rPr>
        <w:t>The title will be discussed once we know the results from the visitation data. However the title should include more information about checking the breeding systems along an elevational gradient and should not be so focused on the hand-pollination experiment. At least that’s what I think now, since the project is not about the experimental procedure and more about learning novel information about reproductive strategies in the tropics. So…</w:t>
      </w:r>
    </w:p>
    <w:p w14:paraId="10017FA6" w14:textId="671D0486" w:rsidR="0043278E" w:rsidRDefault="0043278E" w:rsidP="00E530B8">
      <w:pPr>
        <w:rPr>
          <w:lang w:val="en-US"/>
        </w:rPr>
      </w:pPr>
      <w:r>
        <w:rPr>
          <w:lang w:val="en-US"/>
        </w:rPr>
        <w:t>Shifts in reproductive strategies of seven plant species along an elevational gradient in Afromontane grasslands?</w:t>
      </w:r>
    </w:p>
    <w:p w14:paraId="6A354473" w14:textId="765FDDCF" w:rsidR="0043278E" w:rsidRDefault="0043278E" w:rsidP="00E530B8">
      <w:pPr>
        <w:rPr>
          <w:lang w:val="en-US"/>
        </w:rPr>
      </w:pPr>
      <w:r>
        <w:rPr>
          <w:lang w:val="en-US"/>
        </w:rPr>
        <w:t>Changes in breeding systems along an elevational gradient on the grasslands of Mt. Cameroon?</w:t>
      </w:r>
    </w:p>
    <w:p w14:paraId="7E316BB8" w14:textId="687A333E" w:rsidR="0043278E" w:rsidRPr="00E530B8" w:rsidRDefault="0043278E" w:rsidP="00E530B8">
      <w:pPr>
        <w:rPr>
          <w:lang w:val="en-US"/>
        </w:rPr>
      </w:pPr>
      <w:r>
        <w:rPr>
          <w:lang w:val="en-US"/>
        </w:rPr>
        <w:t>More info about results?</w:t>
      </w:r>
    </w:p>
    <w:p w14:paraId="5BD6166B" w14:textId="35404EE5" w:rsidR="008F2697" w:rsidRPr="00310D43" w:rsidRDefault="008F2697" w:rsidP="008F2697">
      <w:pPr>
        <w:pStyle w:val="Heading3"/>
        <w:rPr>
          <w:lang w:val="en-US"/>
        </w:rPr>
      </w:pPr>
      <w:r w:rsidRPr="00310D43">
        <w:rPr>
          <w:lang w:val="en-US"/>
        </w:rPr>
        <w:t>Authors</w:t>
      </w:r>
      <w:r w:rsidR="00310D43">
        <w:rPr>
          <w:lang w:val="en-US"/>
        </w:rPr>
        <w:t>:</w:t>
      </w:r>
    </w:p>
    <w:p w14:paraId="2F314CA7" w14:textId="3F619777" w:rsidR="00310D43" w:rsidRPr="00310D43" w:rsidRDefault="00310D43" w:rsidP="00310D43">
      <w:pPr>
        <w:rPr>
          <w:lang w:val="en-US"/>
        </w:rPr>
      </w:pPr>
      <w:r w:rsidRPr="00310D43">
        <w:t>Dominik Anýž (1), Ishmeal N. Kobe (1), Štěpán Janeček (1), Sailee Sakh</w:t>
      </w:r>
      <w:r>
        <w:t>al</w:t>
      </w:r>
      <w:r w:rsidRPr="00310D43">
        <w:t>kar (1), Petra Janečková (1,2), Shedrach B Kongvong (1), Francis E. Luma (1), Carslon Bawe (3), Fernando P. Gaona (1,4), Petr Chlup (1), Robert Tropek (1,4)</w:t>
      </w:r>
    </w:p>
    <w:p w14:paraId="75C037B9" w14:textId="6B67B4B3" w:rsidR="00310D43" w:rsidRDefault="00310D43" w:rsidP="00310D43">
      <w:pPr>
        <w:pStyle w:val="Heading3"/>
        <w:rPr>
          <w:lang w:val="en-US"/>
        </w:rPr>
      </w:pPr>
      <w:r w:rsidRPr="00310D43">
        <w:rPr>
          <w:lang w:val="en-US"/>
        </w:rPr>
        <w:t>Affiliations</w:t>
      </w:r>
      <w:r>
        <w:rPr>
          <w:lang w:val="en-US"/>
        </w:rPr>
        <w:t>:</w:t>
      </w:r>
    </w:p>
    <w:p w14:paraId="6C1085F4" w14:textId="63763CD1" w:rsidR="00310D43" w:rsidRPr="00310D43" w:rsidRDefault="00310D43" w:rsidP="00310D43">
      <w:pPr>
        <w:rPr>
          <w:lang w:val="en-US"/>
        </w:rPr>
      </w:pPr>
      <w:r w:rsidRPr="00310D43">
        <w:t>(1) Department of Ecology, Charles University, Prague (2) Faculty of Science, university of South Bohemia, České Budějovice (3) Faculty of Science, University of Buea, Cameroon (4) Institute of Entomology, Biology Centre, Czech Academy o</w:t>
      </w:r>
      <w:r w:rsidR="00E530B8">
        <w:t>f</w:t>
      </w:r>
      <w:r w:rsidRPr="00310D43">
        <w:t xml:space="preserve"> Science, České Budějovice</w:t>
      </w:r>
    </w:p>
    <w:p w14:paraId="2708A297" w14:textId="229BE382" w:rsidR="008F2697" w:rsidRPr="00310D43" w:rsidRDefault="008F2697" w:rsidP="008F2697">
      <w:pPr>
        <w:pStyle w:val="Heading3"/>
        <w:rPr>
          <w:lang w:val="en-US"/>
        </w:rPr>
      </w:pPr>
      <w:r w:rsidRPr="00310D43">
        <w:rPr>
          <w:lang w:val="en-US"/>
        </w:rPr>
        <w:t>Keywords</w:t>
      </w:r>
    </w:p>
    <w:p w14:paraId="26FCB208" w14:textId="422A26C8" w:rsidR="00E6319A" w:rsidRDefault="00CB3108" w:rsidP="00CB3108">
      <w:pPr>
        <w:pStyle w:val="Heading1"/>
        <w:rPr>
          <w:rFonts w:ascii="Garamond" w:hAnsi="Garamond"/>
          <w:lang w:val="en-US"/>
        </w:rPr>
      </w:pPr>
      <w:r w:rsidRPr="00310D43">
        <w:rPr>
          <w:rFonts w:ascii="Garamond" w:hAnsi="Garamond"/>
          <w:lang w:val="en-US"/>
        </w:rPr>
        <w:t>Abstarct</w:t>
      </w:r>
    </w:p>
    <w:p w14:paraId="483A1F69" w14:textId="20E9D94C" w:rsidR="00310D43" w:rsidRPr="00310D43" w:rsidRDefault="00310D43" w:rsidP="00310D43">
      <w:pPr>
        <w:rPr>
          <w:lang w:val="en-US"/>
        </w:rPr>
      </w:pPr>
      <w:r>
        <w:rPr>
          <w:lang w:val="en-US"/>
        </w:rPr>
        <w:t>No idea yet</w:t>
      </w:r>
    </w:p>
    <w:p w14:paraId="73B001FC" w14:textId="2E214A43" w:rsidR="00CB3108" w:rsidRPr="00310D43" w:rsidRDefault="00CB3108" w:rsidP="00CB3108">
      <w:pPr>
        <w:pStyle w:val="Heading1"/>
        <w:rPr>
          <w:rFonts w:ascii="Garamond" w:hAnsi="Garamond"/>
          <w:lang w:val="en-US"/>
        </w:rPr>
      </w:pPr>
      <w:r w:rsidRPr="00310D43">
        <w:rPr>
          <w:rFonts w:ascii="Garamond" w:hAnsi="Garamond"/>
          <w:lang w:val="en-US"/>
        </w:rPr>
        <w:t>Introduction</w:t>
      </w:r>
    </w:p>
    <w:p w14:paraId="2469DA20" w14:textId="06A3A09C" w:rsidR="00D219A1" w:rsidRPr="00310D43" w:rsidRDefault="00D219A1" w:rsidP="00D219A1">
      <w:r w:rsidRPr="00310D43">
        <w:t xml:space="preserve">Reproductive success in angiosperms </w:t>
      </w:r>
      <w:r w:rsidR="00E530B8">
        <w:t xml:space="preserve">often </w:t>
      </w:r>
      <w:r w:rsidRPr="00310D43">
        <w:t xml:space="preserve">depends on the efficient transfer of pollen by animal pollinators, a strategy that supports approximately </w:t>
      </w:r>
      <w:r w:rsidR="00E530B8">
        <w:t>85</w:t>
      </w:r>
      <w:r w:rsidRPr="00310D43">
        <w:t xml:space="preserve">% of flowering plant diversity </w:t>
      </w:r>
      <w:r w:rsidR="00E9306C" w:rsidRPr="00E9306C">
        <w:rPr>
          <w:sz w:val="24"/>
          <w:szCs w:val="24"/>
        </w:rPr>
        <w:fldChar w:fldCharType="begin"/>
      </w:r>
      <w:r w:rsidR="00E9306C" w:rsidRPr="00E9306C">
        <w:rPr>
          <w:sz w:val="24"/>
          <w:szCs w:val="24"/>
        </w:rPr>
        <w:instrText xml:space="preserve"> ADDIN ZOTERO_ITEM CSL_CITATION {"citationID":"hsZySfZV","properties":{"formattedCitation":"(Ollerton et al., 2011)","plainCitation":"(Ollerton et al., 2011)","noteIndex":0},"citationItems":[{"id":3178,"uris":["http://zotero.org/users/5681886/items/7E59ZQC4"],"itemData":{"id":3178,"type":"article-journal","abstract":"It is clear that the majority of flowering plants are pollinated by insects and other animals, with a minority utilising abiotic pollen vectors, mainly wind. However there is no accurate published calculation of the proportion of the ca 352 000 species of angiosperms that interact with pollinators. Widely cited figures range from 67% to 96% but these have not been based on firm data. We estimated the number and proportion of flowering plants that are pollinated by animals using published and unpublished community-level surveys of plant pollination systems that recorded whether each species present was pollinated by animals or wind. The proportion of animal-pollinated species rises from a mean of 78% in temperate-zone communities to 94% in tropical communities. By correcting for the latitudinal diversity trend in flowering plants, we estimate the global number and proportion of animal pollinated angiosperms as 308 006, which is 87.5% of the estimated species-level diversity of flowering plants. Given current concerns about the decline in pollinators and the possible resulting impacts on both natural communities and agricultural crops, such estimates are vital to both ecologists and policy makers. Further research is required to assess in detail the absolute dependency of these plants on their pollinators, and how this varies with latitude and community type, but there is no doubt that plant-pollinator interactions play a significant role in maintaining the functional integrity of most terrestrial ecosystems. © 2011 The Authors. Oikos © 2011 Nordic Society Oikos.","container-title":"Oikos","DOI":"10.1111/j.1600-0706.2010.18644.x","ISSN":"00301299","issue":"3","page":"321-326","title":"How many flowering plants are pollinated by animals?","volume":"120","author":[{"family":"Ollerton","given":"Jeff"},{"family":"Winfree","given":"Rachael"},{"family":"Tarrant","given":"Sam"}],"issued":{"date-parts":[["2011"]]}}}],"schema":"https://github.com/citation-style-language/schema/raw/master/csl-citation.json"} </w:instrText>
      </w:r>
      <w:r w:rsidR="00E9306C" w:rsidRPr="00E9306C">
        <w:rPr>
          <w:sz w:val="24"/>
          <w:szCs w:val="24"/>
        </w:rPr>
        <w:fldChar w:fldCharType="separate"/>
      </w:r>
      <w:r w:rsidR="00E9306C" w:rsidRPr="00E9306C">
        <w:rPr>
          <w:szCs w:val="24"/>
        </w:rPr>
        <w:t>(Ollerton et al., 2011)</w:t>
      </w:r>
      <w:r w:rsidR="00E9306C" w:rsidRPr="00E9306C">
        <w:rPr>
          <w:sz w:val="24"/>
          <w:szCs w:val="24"/>
        </w:rPr>
        <w:fldChar w:fldCharType="end"/>
      </w:r>
      <w:r w:rsidRPr="00310D43">
        <w:t xml:space="preserve">. However, in environments where pollinators are scarce, such as high-altitude ecosystems, plants </w:t>
      </w:r>
      <w:r w:rsidR="00E530B8">
        <w:t>can</w:t>
      </w:r>
      <w:r w:rsidRPr="00310D43">
        <w:t xml:space="preserve"> experience pollen limitation—a reduction in reproductive success due to insufficient pollen supply </w:t>
      </w:r>
      <w:r w:rsidR="00E9306C" w:rsidRPr="00E9306C">
        <w:rPr>
          <w:sz w:val="24"/>
          <w:szCs w:val="24"/>
        </w:rPr>
        <w:fldChar w:fldCharType="begin"/>
      </w:r>
      <w:r w:rsidR="00E9306C" w:rsidRPr="00E9306C">
        <w:rPr>
          <w:sz w:val="24"/>
          <w:szCs w:val="24"/>
        </w:rPr>
        <w:instrText xml:space="preserve"> ADDIN ZOTERO_ITEM CSL_CITATION {"citationID":"FUScz2PI","properties":{"formattedCitation":"(Knight et al., 2005; Torres-D\\uc0\\u237{}az et al., 2011)","plainCitation":"(Knight et al., 2005; Torres-Díaz et al., 2011)","noteIndex":0},"citationItems":[{"id":2508,"uris":["http://zotero.org/users/5681886/items/7P8DGU26"],"itemData":{"id":2508,"type":"article-journal","abstract":"Quantifying the extent to which seed production is limited by the availability of pollen has been an area of intensive empirical study over the past few decades. Whereas theory predicts that pollen augmentation should not increase seed production, numerous empirical studies report significant and strong pollen limitation. Here, we use a variety of approaches to examine the correlates of pollen limitation in an effort to understand its occurrence and importance in plant evolutionary ecology. In particular, we examine the role of recent ecological perturbations in influencing pollen limitation and discuss the relation between pollen limitation and plant traits. We find that the magnitude of pollen limitation observed in natural populations depends on both historical constraints and contemporary ecological factors. Copyright © 2005 by Annual Reviews. All rights reserved.","container-title":"Annual Review of Ecology, Evolution, and Systematics","DOI":"10.1146/annurev.ecolsys.36.102403.115320","ISSN":"00664162","page":"467-497","title":"Pollen limitation of plant reproduction: Pattern and process","volume":"36","author":[{"family":"Knight","given":"Tiffany M."},{"family":"Steets","given":"Janette A."},{"family":"Vamosi","given":"Jana C."},{"family":"Mazer","given":"Susan J."},{"family":"Burd","given":"Martin"},{"family":"Campbell","given":"Diane R."},{"family":"Dudash","given":"Michele R."},{"family":"Johnston","given":"Mark O."},{"family":"Mitchell","given":"Randall J."},{"family":"Ashman","given":"Tia Lynn"}],"issued":{"date-parts":[["2005"]]}}},{"id":2927,"uris":["http://zotero.org/users/5681886/items/2NSVT8B4"],"itemData":{"id":2927,"type":"article-journal","abstract":"High-elevation ecosystems are traditionally viewed as environments in which predominantly autogamous breeding systems should be selected because of the limited pollinator availability. Chaetanthera renifolia (Asteraceae) is an endemic monocarpic triennial herb restricted to a narrow altitudinal range within the high Andes of central Chile (3300-3500 m a.s.l.), just below the vegetation limit. This species displays one of the larger capitulum within the genus. Under the reproductive assurance hypothesis, and considering its short longevity (monocarpic triennial), an autogamous breeding system and low levels of pollen limitation would be predicted for C. renifolia. In contrast, considering its large floral size, a xenogamous breeding system, and significant levels of pollen limitation could be expected. In addition, the increased pollination probability hypothesis predicts prolonged stigma longevity for high alpine plants. We tested these alternative predictions by performing experimental crossings in the field to establish the breeding system and to measure the magnitude of pollen limitation in two populations of C. renifolia. In addition, we measured the stigma longevity in unpollinated and open pollinated capitula, and pollinator visitation rates in the field. We found low levels of self-compatibility and significant levels of pollen limitation in C. renifolia. Pollinator visitation rates were moderate (0.047-0.079 visits per capitulum per 30 min). Although pollinator visitation rate significantly differed between populations, they were not translated into differences in achene output. Finally, C. renifolia stigma longevity of unpollinated plants was extremely long and significantly higher than that of open pollinated plants (26.3±2.8 days vs. 10.1±2.2, respectively), which gives support to the increased pollination probability hypothesis for high-elevation flowering plants. Our results add to a growing number of studies that show that xenogamous breeding systems and mechanisms to increase pollination opportunities can be selected in high-elevation ecosystems. © 2011 Torres-Díaz et al.","container-title":"PLoS ONE","DOI":"10.1371/journal.pone.0019497","ISSN":"19326203","issue":"5","note":"PMID: 21573159","page":"1-8","title":"Extremely long-lived stigmas allow extended cross-pollination opportunities in a high andean plant","volume":"6","author":[{"family":"Torres-Díaz","given":"Cristian"},{"family":"Gómez-González","given":"Susana"},{"family":"Stotz","given":"Gisela C."},{"family":"Torres-Morales","given":"Patricio"},{"family":"Paredes","given":"Brayam"},{"family":"Pérez-Millaqueo","given":"Matías"},{"family":"Gianoli","given":"Ernesto"}],"issued":{"date-parts":[["2011"]]}}}],"schema":"https://github.com/citation-style-language/schema/raw/master/csl-citation.json"} </w:instrText>
      </w:r>
      <w:r w:rsidR="00E9306C" w:rsidRPr="00E9306C">
        <w:rPr>
          <w:sz w:val="24"/>
          <w:szCs w:val="24"/>
        </w:rPr>
        <w:fldChar w:fldCharType="separate"/>
      </w:r>
      <w:r w:rsidR="00E9306C" w:rsidRPr="00E9306C">
        <w:rPr>
          <w:rFonts w:cs="Times New Roman"/>
          <w:kern w:val="0"/>
          <w:szCs w:val="24"/>
        </w:rPr>
        <w:t>(Knight et al., 2005; Torres-Díaz et al., 2011)</w:t>
      </w:r>
      <w:r w:rsidR="00E9306C" w:rsidRPr="00E9306C">
        <w:rPr>
          <w:sz w:val="24"/>
          <w:szCs w:val="24"/>
        </w:rPr>
        <w:fldChar w:fldCharType="end"/>
      </w:r>
      <w:r w:rsidR="00E9306C">
        <w:t>.</w:t>
      </w:r>
      <w:r w:rsidRPr="00310D43">
        <w:t xml:space="preserve">To overcome this </w:t>
      </w:r>
      <w:r w:rsidR="00102498">
        <w:t>barrier</w:t>
      </w:r>
      <w:r w:rsidRPr="00310D43">
        <w:t>, plants employ various strategies to ensure reproduction, including shifts in breeding systems, which can have profound ecological and evolutionary implications.</w:t>
      </w:r>
    </w:p>
    <w:p w14:paraId="0BE1D179" w14:textId="3CF11CE8" w:rsidR="00D219A1" w:rsidRPr="00310D43" w:rsidRDefault="00913FCF" w:rsidP="00D219A1">
      <w:r w:rsidRPr="00913FCF">
        <w:t xml:space="preserve">One of the most significant shifts in breeding systems involves the transition from </w:t>
      </w:r>
      <w:commentRangeStart w:id="0"/>
      <w:r w:rsidRPr="00913FCF">
        <w:t>self-incompatibility to self-compatibility</w:t>
      </w:r>
      <w:commentRangeEnd w:id="0"/>
      <w:r w:rsidR="0043278E">
        <w:rPr>
          <w:rStyle w:val="CommentReference"/>
        </w:rPr>
        <w:commentReference w:id="0"/>
      </w:r>
      <w:r w:rsidRPr="00913FCF">
        <w:t xml:space="preserve">. Many plants rely exclusively on genetically distinct pollen for fertilization (termed outcrossing pollination, or xenogamy) </w:t>
      </w:r>
      <w:r w:rsidR="00E9306C">
        <w:fldChar w:fldCharType="begin"/>
      </w:r>
      <w:r w:rsidR="0078479E">
        <w:instrText xml:space="preserve"> ADDIN ZOTERO_ITEM CSL_CITATION {"citationID":"9a5NO3FM","properties":{"formattedCitation":"(Ferrer and Good-Avila, 2007; Wright et al., 2013)","plainCitation":"(Ferrer and Good-Avila, 2007; Wright et al., 2013)","noteIndex":0},"citationItems":[{"id":2711,"uris":["http://zotero.org/users/5681886/items/DQJNPDA2"],"itemData":{"id":2711,"type":"article-journal","abstract":"• The self-incompatibility (SI) status of 571 taxa from the Asteraceae was identified and the taxa were scored as having SI, partial SI or self-compatibility (SC) as their breeding system. A molecular phylogeny of the internal transcribed spacer (ITS) region was constructed for 211 of these taxa. • Macrophylogenetic methods were used to test hypotheses concerning the ancestral state of SI in the Asteraceae, the gain and loss of SI, the irreversibility of the loss of SI and the potential for partial SI or SC to be terminal states. • The ancestral breeding system in the family could not be resolved. Both maximum likelihood and parsimony analyses indicated that transitions among all breeding system states provide the best fit to the data and that neither partial SI nor SC is a terminal state. Furthermore, the data indicated that the loss of SI is not irreversible, although breeding system evolution has been more dynamic in some clades than in others. • These results are discussed within the context of evidence for the gain and loss of SI, the evolutionary role of partial SI and methodological assumptions of tests of breeding system evolution. © The Authors (2006).","container-title":"New Phytologist","DOI":"10.1111/j.1469-8137.2006.01905.x","ISSN":"0028646X","issue":"2","note":"PMID: 17204086","page":"401-414","title":"Macrophylogenetic analyses of the gain and loss of self-incompatibility in the Asteraceae","volume":"173","author":[{"family":"Ferrer","given":"Miriam M."},{"family":"Good-Avila","given":"Sara V."}],"issued":{"date-parts":[["2007"]]}}},{"id":2947,"uris":["http://zotero.org/users/5681886/items/65MQQZWV"],"itemData":{"id":2947,"type":"article-journal","abstract":"The transition from out crossing to self-fertilization is one of the most common evolutionary changes in plants, yet only about 10-15% of flowering plants are predominantly selfing. To explain this phenomenon, Stebbins proposed that selfing may be an 'evolutionary dead end'. According to this hypothesis, transitions from outcrossing to selfing are irreversible, and selfing lineages suffer from an increased risk of extinction owing to a reduced potential for adaptation. Thus, although selfing can be advantageous in the short term, selfing lineages may be mostly short-lived owing to higher extinction rates. Here, we review recent results relevant to the 'dead-end hypothesis' of selfing and the maintenance of outcrossing over longer evolutionary time periods. In particular, we highlight recent results regarding diversification rates in self-incompatible and self-compatible taxa, and review evidence regarding the accumulation of deleterious mutations in selfing lineages. We conclude that while some aspects of the hypothesis of selfing as a dead end are supported by theory and empirical results, the evolutionary and ecological mechanisms remain unclear. We highlight the need for more studies on the effects of quantitative changes in outcrossing rates and on the potential for adaptation, particularly in selfing plants. In addition, there is growing evidence that transitions to selfing may themselves be drivers of speciation, and future studies of diversification and speciation should investigate this further. © 2013 The Author(s) Published by the Royal Society. All rights reserved.","container-title":"Proceedings of the Royal Society B: Biological Sciences","DOI":"10.1098/rspb.2013.0133","ISSN":"14712954","issue":"1760","note":"PMID: 23595268","title":"Evolutionary consequences of self-fertilization in plants","volume":"280","author":[{"family":"Wright","given":"Stephen I."},{"family":"Kalisz","given":"Susan"},{"family":"Slotte","given":"Tanja"}],"issued":{"date-parts":[["2013"]]}}}],"schema":"https://github.com/citation-style-language/schema/raw/master/csl-citation.json"} </w:instrText>
      </w:r>
      <w:r w:rsidR="00E9306C">
        <w:fldChar w:fldCharType="separate"/>
      </w:r>
      <w:r w:rsidR="0078479E" w:rsidRPr="0078479E">
        <w:t>(Ferrer and Good-Avila, 2007; Wright et al., 2013)</w:t>
      </w:r>
      <w:r w:rsidR="00E9306C">
        <w:fldChar w:fldCharType="end"/>
      </w:r>
      <w:r w:rsidR="00D219A1" w:rsidRPr="00310D43">
        <w:t xml:space="preserve">. </w:t>
      </w:r>
      <w:r w:rsidRPr="00913FCF">
        <w:t>However, when pollinator visitation is unreliable, self-compatibility can provide reproductive assurance by enabling self-fertilization</w:t>
      </w:r>
      <w:r w:rsidR="00D219A1" w:rsidRPr="00310D43">
        <w:t xml:space="preserve"> </w:t>
      </w:r>
      <w:r>
        <w:t>(selfing)</w:t>
      </w:r>
      <w:r w:rsidR="00E9306C">
        <w:fldChar w:fldCharType="begin"/>
      </w:r>
      <w:r w:rsidR="00E9306C">
        <w:instrText xml:space="preserve"> ADDIN ZOTERO_ITEM CSL_CITATION {"citationID":"pDasS6ip","properties":{"formattedCitation":"(Takebayashi and Morrell, 2001)","plainCitation":"(Takebayashi and Morrell, 2001)","noteIndex":0},"citationItems":[{"id":2701,"uris":["http://zotero.org/users/5681886/items/5VIQ2GR8"],"itemData":{"id":2701,"type":"article-journal","abstract":"G. Ledyard Stebbins suggested that self-fertilization (selfing) may be an evolutionary dead end because it may result in the loss of genetic diversity and consequently preclude adaptation to changing environments. While the basic premise of selfing as a dead end is widely accepted, there have been few rigorous evaluations of the hypothesis. We examine the foundations of the dead-end hypothesis by considering theoretical advances in the study of mating-system evolution. We discuss theories predicting the irreversibility of self-fertilization and the extinction of selfing lineages through the loss of adaptive potential and genetic degradation. In the second portion of the review, focusing on the irreversibility of selfing, we summarize the contribution of phylogenetic studies of mating-system evolution to determine if evolutionary history supports this well-established hypothesis. Most studies are in accord with the hypothesis; no single study unequivocally demonstrates the transition from highly selfing to outcrossing lineages. Finally, we discuss the problems encountered when phylogenetic studies rely on reconstruction of ancestral mating systems. To avoid some of these problems, we applied likelihood ratio tests of irreversibility of mating-system evolution to several data sets and found that current data sets are probably too small for this test.","container-title":"American Journal of Botany","DOI":"10.2307/3558325","ISSN":"00029122","issue":"7","note":"PMID: 11454614","page":"1143-1150","title":"Is self-fertilization an evolutionary dead end? Revisiting an old hypothesis with genetic theories and a macroevolutionary approach","volume":"88","author":[{"family":"Takebayashi","given":"Naoki"},{"family":"Morrell","given":"Peter L."}],"issued":{"date-parts":[["2001"]]}}}],"schema":"https://github.com/citation-style-language/schema/raw/master/csl-citation.json"} </w:instrText>
      </w:r>
      <w:r w:rsidR="00E9306C">
        <w:fldChar w:fldCharType="separate"/>
      </w:r>
      <w:r w:rsidR="00E9306C" w:rsidRPr="00E9306C">
        <w:t>(Takebayashi and Morrell, 2001)</w:t>
      </w:r>
      <w:r w:rsidR="00E9306C">
        <w:fldChar w:fldCharType="end"/>
      </w:r>
      <w:r w:rsidR="00D219A1" w:rsidRPr="00310D43">
        <w:t xml:space="preserve">. </w:t>
      </w:r>
      <w:r w:rsidRPr="00913FCF">
        <w:t xml:space="preserve">While this shift can be advantageous in pollinator-limited environments, it also carries evolutionary trade-offs, such as inbreeding depression and reduced genetic diversity, which may influence long-term population viability </w:t>
      </w:r>
      <w:r w:rsidR="00E9306C">
        <w:fldChar w:fldCharType="begin"/>
      </w:r>
      <w:r w:rsidR="00E9306C">
        <w:instrText xml:space="preserve"> ADDIN ZOTERO_ITEM CSL_CITATION {"citationID":"qWavhyg2","properties":{"formattedCitation":"(Barrett et al., 2014; Schemske and Lande, 1985)","plainCitation":"(Barrett et al., 2014; Schemske and Lande, 1985)","noteIndex":0},"citationItems":[{"id":186,"uris":["http://zotero.org/users/5681886/items/HPEVDCVX"],"itemData":{"id":186,"type":"article-journal","abstract":"The evolution of self-fertilization from outcrossing has occurred on numerous occasions in flowering plants. This shift inmating systemprofoundly influences themorphology, ecology, genetics and evolution of selfing lineages. As a result, there has been sustained interest in understanding the mechanisms driving the evolution of selfing and its environmental context. Recently, patterns of molecular variation have been used to make inferences about the selective mechanisms associated with mating system transitions. However, these inferences can be complicated by the action of linked selection following the transition. Here, using multilocus simulations and comparative molecular data from related selfers and outcrossers, we demonstrate that there is little evidence for strong bottlenecks associatedwith initial transitions to selfing, and our simulation results cast doubt on whether it is possible to infer the role of bottlenecks associated with reproductive assurance in the evolution of selfing. They indicate that the effects of background selection on the loss of diversity and efficacy of selection occur rapidly following the shift to high selfing. Future comparative studies that integrate explicit ecological and genomic details are necessary for quantifying the independent and joint effects of selection and demography on transitions to selfing and the loss of genetic diversity. © 2014 The Author(s) Published by the Royal Society. All rights reserved.","container-title":"Philosophical Transactions of the Royal Society B: Biological Sciences","DOI":"10.1098/rstb.2013.0344","ISSN":"14712970","issue":"1648","title":"The demography and population genomics of evolutionary transitions to self-fertilization in plants","volume":"369","author":[{"family":"Barrett","given":"Spencer C.H."},{"family":"Arunkumar","given":"Ramesh"},{"family":"Wright","given":"Stephen I."}],"issued":{"date-parts":[["2014"]]}}},{"id":3174,"uris":["http://zotero.org/users/5681886/items/7DZN9B9M"],"itemData":{"id":3174,"type":"article-journal","abstract":"A bimodal distribution of outcrossing rates was observed for natural plant populations, with more primarily selfing and primarily outcrossing species, and fewer species with intermediate outcrossing rate than expected by chance. This distrbution is argued to result from selection for the maintenance of outcrossing in historically large, outcrossing populations with substantial inbreeding depression, and from selection for selfing when increased inbreeding, due to pollinator failure or population bottlenecks, reduces the level of inbreeding depression. Few species or populations are fixed at complete selfing or complete outcrossing. A low level of selfing in primarily outcrossing species is unlikely to be selectively advantageous, but will not reduce inbreeding depression to the level where selfing is selectively favored particularly if accompanied by reproductive compensation. Similarly, occasional outcrossing in primarily selfing species is unlikely to regularly provide sufficient heterosis to maintain selection for outcrossing through individual selection. Genetic, morphological and ecological constraints may limit the potential for outcrossing rates in selfers to be reduced below some minimum level. -Authors","container-title":"Evolution","DOI":"10.1111/j.1558-5646.1985.tb04078.x","ISSN":"00143820","issue":"1","page":"41-52","title":"The evolution of self-fertilization and inbreeding depression in plants. II. Empirical observations.","volume":"39","author":[{"family":"Schemske","given":"D. W."},{"family":"Lande","given":"R."}],"issued":{"date-parts":[["1985"]]}}}],"schema":"https://github.com/citation-style-language/schema/raw/master/csl-citation.json"} </w:instrText>
      </w:r>
      <w:r w:rsidR="00E9306C">
        <w:fldChar w:fldCharType="separate"/>
      </w:r>
      <w:r w:rsidR="00E9306C" w:rsidRPr="00E9306C">
        <w:t>(Barrett et al., 2014; Schemske and Lande, 1985)</w:t>
      </w:r>
      <w:r w:rsidR="00E9306C">
        <w:fldChar w:fldCharType="end"/>
      </w:r>
      <w:r w:rsidR="00E9306C">
        <w:t>.</w:t>
      </w:r>
    </w:p>
    <w:p w14:paraId="499511B7" w14:textId="04F8F1E9" w:rsidR="00243BAB" w:rsidRDefault="00913FCF" w:rsidP="00D219A1">
      <w:r w:rsidRPr="00913FCF">
        <w:lastRenderedPageBreak/>
        <w:t xml:space="preserve">High-elevation habitats present a particularly challenging environment for plant reproduction, where pollinator abundance and activity decline due to low temperatures, strong winds, and reduced floral resources </w:t>
      </w:r>
      <w:r w:rsidR="00E9306C">
        <w:fldChar w:fldCharType="begin"/>
      </w:r>
      <w:r w:rsidR="00E9306C">
        <w:instrText xml:space="preserve"> ADDIN ZOTERO_ITEM CSL_CITATION {"citationID":"qGkPvHnL","properties":{"formattedCitation":"(Arroyo et al., 1985; Totland, 1997)","plainCitation":"(Arroyo et al., 1985; Totland, 1997)","noteIndex":0},"citationItems":[{"id":2770,"uris":["http://zotero.org/users/5681886/items/9HU4BK25"],"itemData":{"id":2770,"type":"article-journal","abstract":"Visitation rates and mean numbers of visits per flower per day are determined at three altitudinal levels (2 200-3 600 m) in the high Andes of central Chile from quantified observations of flowers visitors to a total of 134 species of plants, studied over three flowering seasons. Significant altitudinal decreases in the mean no. visits/flower/minute and per day were recorded, with Level III flowers, on the average, being pollinated only about 1/2 as frequently and to as low as 1/4 as frequently in certain months, as Level I flowers. Visitation rates are generally highest in early and mid-summer at all altitudes. - The lower visitation rates at the higher elevations are due to lower insect abundance relative to plant resources and lower levels of activity for the insects present, stemming from the generally lower ambient temperatures. Seasonal differences in visitation rates may also be related to differences in insect abundance levels. The total probability of ovule pollination cannot be estimated directly from the pollination rates, because stigmas are probably receptive for longer periods at the higher elevations. When differences in the duration of stigma receptivity are estimated from differences in flower lifelength, the probability of pollination in Level III is not very different from that expected in Level I. However, for some months, the deficit in Level III may still be substantial. - These results underline the inherent dangers of predicting pollination possibilities directly from pollination rates. They also suggest that the impoverished pollination conditions assumed in hypotheses predicting higher amounts of self-compatibility at high altitudes might not be justified for all high temperate mountains. © 1985 Springer-Verlag.","container-title":"Plant Systematics and Evolution","DOI":"10.1007/BF00983305","ISSN":"03782697","issue":"3-4","page":"187-203","title":"Community studies in pollination ecology in the high temperate Andes of central Chile II. effect of temperature on visitation rates and pollination possibilities","volume":"149","author":[{"family":"Arroyo","given":"Mary T.Kalin"},{"family":"Armesto","given":"Juan J."},{"family":"Primack","given":"Richard B."}],"issued":{"date-parts":[["1985"]]}}},{"id":3187,"uris":["http://zotero.org/users/5681886/items/S6IRHJ3A"],"itemData":{"id":3187,"type":"article-journal","abstract":"In most alpine and arctic plants there is selection for early flowering because of the short time available to complete seed production before the season terminates. Despite this, some species initiate flowering late in the season, but little work has been done on the reproductive ecology of such species. This work investigates the reproductive consequences of late flowering in Leontodon autumnalis var. taraxaci in alpine southwest Norway during two seasons. In addition, the effects of an experimental increase in growing-season temperature on growth and reproduction are also examined. The reproductive success of Leontodon decreased strongly as the flowering season progressed, possibly as a result of increased climatic severity and increased extent of pollen and resource limitation on reproduction. Experimentally warmed plants produced significantly more and heavier seeds, and flowered more than 1 wk earlier than control plants, showing that temperature conditions influence both reproductive processes and flowering phenology. The results suggest that this late-flowering alpine species will bloom earlier, reproduce more, and grow larger under global warming.","container-title":"Arctic and Alpine Research","DOI":"10.2307/1552142","ISSN":"00040851","issue":"3","page":"285-290","title":"Effects of flowering time and temperature on growth and reproduction in Leontodon autumnalis var. taraxaci, a late-flowering alpine plant","volume":"29","author":[{"family":"Totland","given":"Ørjan"}],"issued":{"date-parts":[["1997"]]}}}],"schema":"https://github.com/citation-style-language/schema/raw/master/csl-citation.json"} </w:instrText>
      </w:r>
      <w:r w:rsidR="00E9306C">
        <w:fldChar w:fldCharType="separate"/>
      </w:r>
      <w:r w:rsidR="00E9306C" w:rsidRPr="00E9306C">
        <w:t>(Arroyo et al., 1985; Totland, 1997)</w:t>
      </w:r>
      <w:r w:rsidR="00E9306C">
        <w:fldChar w:fldCharType="end"/>
      </w:r>
      <w:r w:rsidR="00D219A1" w:rsidRPr="00310D43">
        <w:t xml:space="preserve">. </w:t>
      </w:r>
      <w:r w:rsidRPr="00913FCF">
        <w:t>In response, plants have evolved diverse reproductive strategies to mitigate pollen limitation. Some species extend floral longevity, increasing the window for pollination, while others bypass sexual reproduction entirely and rely on clonal propagation</w:t>
      </w:r>
      <w:r w:rsidRPr="00913FCF">
        <w:t xml:space="preserve"> </w:t>
      </w:r>
      <w:r w:rsidR="00D219A1" w:rsidRPr="00310D43">
        <w:t xml:space="preserve">(Torres-Díaz et al., 2011; Trunschke &amp; Stöcklin, 2017). </w:t>
      </w:r>
      <w:r w:rsidR="00243BAB" w:rsidRPr="00243BAB">
        <w:t>However, an intermediate strategy that maintains sexual reproduction while reducing dependence on pollinators is self-fertilization</w:t>
      </w:r>
      <w:r w:rsidR="005F5CF7">
        <w:t xml:space="preserve">. </w:t>
      </w:r>
      <w:r w:rsidR="00243BAB" w:rsidRPr="00243BAB">
        <w:t xml:space="preserve">The </w:t>
      </w:r>
      <w:r w:rsidR="00243BAB">
        <w:t>“</w:t>
      </w:r>
      <w:r w:rsidR="00243BAB" w:rsidRPr="00243BAB">
        <w:t>autogamy reproductive assurance hypothesis</w:t>
      </w:r>
      <w:r w:rsidR="00243BAB">
        <w:t>”</w:t>
      </w:r>
      <w:r w:rsidR="00243BAB" w:rsidRPr="00243BAB">
        <w:t xml:space="preserve"> suggests that selfing evolves as an adaptive response to pollinator scarcity, ensuring seed set when pollen transfer is unreliable (Schoen et al., 1996). Rather than being mutually exclusive, these strategies can co-occur within plant communities, shaping reproductive dynamics in high-altitude environments. </w:t>
      </w:r>
    </w:p>
    <w:p w14:paraId="05017D0F" w14:textId="55F0E1E5" w:rsidR="00D219A1" w:rsidRPr="00310D43" w:rsidRDefault="00D219A1" w:rsidP="00D219A1">
      <w:r w:rsidRPr="00310D43">
        <w:t xml:space="preserve">Despite these theoretical frameworks, empirical evidence regarding the prevalence and drivers of selfing along elevational gradients remains mixed. While some studies have documented increased selfing in high-altitude populations of already self-compatible species </w:t>
      </w:r>
      <w:r w:rsidR="00E9306C">
        <w:fldChar w:fldCharType="begin"/>
      </w:r>
      <w:r w:rsidR="00E9306C">
        <w:instrText xml:space="preserve"> ADDIN ZOTERO_ITEM CSL_CITATION {"citationID":"eDPV1Dp8","properties":{"formattedCitation":"(Etcheverry et al., 2008; Segu\\uc0\\u237{} et al., 2018)","plainCitation":"(Etcheverry et al., 2008; Seguí et al., 2018)","noteIndex":0},"citationItems":[{"id":3197,"uris":["http://zotero.org/users/5681886/items/UMB7WIXS"],"itemData":{"id":3197,"type":"article-journal","abstract":"• Background and Aims: Vigna caracallahas the most complex flower among asymmetrical Papilionoideae. The objective of this study was to understand the relationships among floral characteristics, specialization, mating system and the role of floral visitors under different ecological contexts. • Methods: Five populations were studied in north-western Argentina, from 700 to 1570 m a.s.l. Anthesis, colour and odour patterns, stigmatic receptivity, visitors and pollination mechanism were examined and mating-system experiments were performed. • Key Results: The petals are highly modified and the keel shows 3.75-5.25 revolutions. The sense of asymmetry was always left-handed. Hand-crosses showed that V. caracalla is self-compatible, but depends on pollinators to set seeds. Hand-crossed fruits were more successful than hand-selfed ones, with the exception of the site at the highest elevation. Bombus morio (queens and workers), Centris bicolor, Eufriesea mariana and Xylocopa eximia trigger the pollination mechanism (a 'brush type'). The greatest level of self-compatibility and autonomous self-pollination were found at the highest elevation, together with the lowest reproductive success and number of pollinators (B. morio workers only). • Conclusions: Self-fertilization may have evolved in the peripheral population at the highest site of V. caracalla because of the benefits of reproductive assurance under reduced pollinator diversity. © The Author 2008. Published by Oxford University Press on behalf of the Annals of Botany Company. All rights reserved.","container-title":"Annals of Botany","DOI":"10.1093/aob/mcn106","ISSN":"03057364","issue":"3","note":"PMID: 18587133","page":"305-316","title":"Flower morphology, pollination biology and mating system of the complex flower of Vigna caracalla (Fabaceae: Papilionoideae)","volume":"102","author":[{"family":"Etcheverry","given":"Angela Virginia"},{"family":"Alemán","given":"Maria Mercedes"},{"family":"Fleming","given":"Trinidad Figueroa"}],"issued":{"date-parts":[["2008"]]}}},{"id":60,"uris":["http://zotero.org/users/5681886/items/W26ZDNN5"],"itemData":{"id":60,"type":"article-journal","abstract":"Environmental gradients in alpine systems may lead to differences in both abiotic conditions and species interactions in very short distances. This may lead to reproductive and phenotypic changes in plants to enhance fitness in each environment. In this study, we explored how the Central Andean Viola maculata responds to the elevation gradient, where it is distributed, with an expected increase in water availability and a decrease in pollinator availability with elevation. We hypothesized that: (1) plants would be more water-stressed at low elevations; (2) investment in and success of cleistogamous flowers (closed, self-pollinated) would increase with elevation; and (3) correlation patterns between floral and vegetative traits would vary along the gradient according to changes in biotic/abiotic selection pressures across sites. We partially confirmed the inverse gradient of water stress with elevation, with V. maculata populations in the lowest site experiencing lower soil moisture and showing thicker leaves and lower stomatal conductance. Cleistogamy was more prevalent and successful at the highest site, thus confirming the hypothesis of maintenance of a mixed-mating system as reproductive assurance. Correlation patterns between flower and leaf size differed across sites, with stronger vegetative–floral correlation at the lower sites and a weak correlation at the highest site. This finding disagrees with the notion of pollinators as drivers of correlation between floral and vegetative traits. Our study shows how a narrow gradient in an alpine system may affect not only reproductive and physiological responses in plants, but also floral and vegetative covariances.","container-title":"Alpine Botany","DOI":"10.1007/s00035-017-0195-9","ISSN":"1664221X","issue":"1","page":"59-69","title":"Phenotypic and reproductive responses of an Andean violet to environmental variation across an elevational gradient","volume":"128","author":[{"family":"Seguí","given":"J."},{"family":"Lázaro","given":"A."},{"family":"Traveset","given":"A."},{"family":"Salgado-Luarte","given":"C."},{"family":"Gianoli","given":"E."}],"issued":{"date-parts":[["2018"]]}}}],"schema":"https://github.com/citation-style-language/schema/raw/master/csl-citation.json"} </w:instrText>
      </w:r>
      <w:r w:rsidR="00E9306C">
        <w:fldChar w:fldCharType="separate"/>
      </w:r>
      <w:r w:rsidR="00E9306C" w:rsidRPr="00E9306C">
        <w:rPr>
          <w:rFonts w:cs="Times New Roman"/>
          <w:kern w:val="0"/>
        </w:rPr>
        <w:t>(Etcheverry et al., 2008; Seguí et al., 2018)</w:t>
      </w:r>
      <w:r w:rsidR="00E9306C">
        <w:fldChar w:fldCharType="end"/>
      </w:r>
      <w:r w:rsidRPr="00310D43">
        <w:t xml:space="preserve">, others have found no such trend </w:t>
      </w:r>
      <w:r w:rsidR="00E9306C">
        <w:fldChar w:fldCharType="begin"/>
      </w:r>
      <w:r w:rsidR="00E9306C">
        <w:instrText xml:space="preserve"> ADDIN ZOTERO_ITEM CSL_CITATION {"citationID":"EkVRkumb","properties":{"formattedCitation":"(Gugerli, 1998; Wirth et al., 2010)","plainCitation":"(Gugerli, 1998; Wirth et al., 2010)","noteIndex":0},"citationItems":[{"id":1485,"uris":["http://zotero.org/users/5681886/items/9HWYDYUW"],"itemData":{"id":1485,"type":"article-journal","abstract":"Self-compatibility in high arctic and alpine areas is regarded as an adaptation to low pollinator abundance. However, high genetic variability as a consequence of outcrossing is, with regard to population persistence, favorable in highly stochastic environments such as tundra habitats. To evaluate these contradictory scenarios, I performed in situ pollination experiments to examine the breeding system of the predominant outcrosser Saxifraga oppositifolia in ten populations at two different elevations in the Swiss Alps. Pollinator limitation was detected at both elevations, but fruit set in naturally pollinated flowers was only slightly less at the higher elevation. Increased pollinator limitation at high compared with low elevation thus could not be demonstrated in this experiment. Hand-crossings yielded equal mean proportion seed set at both elevations, and so did hand-selfings. This constant pattern of the breeding system in S. oppositifolia indicates selective factors that lead to the maintenance of a high level of outcrossing even in high-elevation populations. Based on sex allocation models, it was expected that a high ovule number should be selectively advantageous in a plant-pollinator system where chance visitation or selfing play important roles. However, female reproductive offer in terms of ovule number per flower did not change from low to high elevation. Since neither increased pollinator limitation nor increased seed set in selfed flowers was found at high compared with low elevation, the prerequisites for testing the hypothesis were not given. This study contradicts the hypothesis that inimical environmental factors in alpine or arctic habitats necessarily select for increased selfing rates in a preferentially outcrossing species like S. oppositifolia.","container-title":"Oecologia","DOI":"10.1007/s004420050420","ISSN":"00298549","issue":"1","page":"60-66","title":"Effect of elevation on sexual reproduction in alpine populations of Saxifraga oppositifolia (Saxifragaceae)","volume":"114","author":[{"family":"Gugerli","given":"Felix"}],"issued":{"date-parts":[["1998",3]]}}},{"id":203,"uris":["http://zotero.org/users/5681886/items/WUKJANUG"],"itemData":{"id":203,"type":"article-journal","abstract":"A general hypothesis on mating patterns in alpine plants states that self-fertilization should increase with increasing altitude as a result of pollinator limitation at higher altitudes. However, realized selfing rates under natural conditions, as based on genetic progeny analysis, have not yet been determined for any alpine species across altitude. We therefore assessed the realized selfing rates in about 100 open-pollinated families of the high-alpine cushion plant Eritrichium nanum, sampled along an altitudinal gradient in the Swiss Alps, by using progeny analysis based on six microsatellites. In marked contrast to the general hypothesis, realized selfing rates in E. nanum significantly decreased with increasing altitude, and only progenies from low altitudes were predominantly selfed. However, the higher selfing rates of individuals at lower altitudes could have been caused by unfavorable weather conditions during early growing season when low-elevation plants flowered. In summary, our results on selfing rates in an alpine plant across altitude as well as the results of other studies using experimental hand-pollinations and/or population genetic methods generally do not support the expectation of higher selfing rates at higher altitudes. We therefore ask for further critical examination of realized mating systems in alpine plants. © 2010 Botanical Society of America.","container-title":"American Journal of Botany","DOI":"10.3732/ajb.0900297","ISSN":"00029122","issue":"5","page":"899-901","title":"Lower selfing rate at higher altitudes in the alpine plant Eritrichium nanum (Boraginaceae)","volume":"97","author":[{"family":"Wirth","given":"Lea Rahel"},{"family":"Graf","given":"René"},{"family":"Gugerli","given":"Felix"},{"family":"Landergott","given":"Urs"},{"family":"Holderegger","given":"Rolf"}],"issued":{"date-parts":[["2010"]]}}}],"schema":"https://github.com/citation-style-language/schema/raw/master/csl-citation.json"} </w:instrText>
      </w:r>
      <w:r w:rsidR="00E9306C">
        <w:fldChar w:fldCharType="separate"/>
      </w:r>
      <w:r w:rsidR="00E9306C" w:rsidRPr="00E9306C">
        <w:t>(Gugerli, 1998; Wirth et al., 2010)</w:t>
      </w:r>
      <w:r w:rsidR="00E9306C">
        <w:fldChar w:fldCharType="end"/>
      </w:r>
      <w:r w:rsidRPr="00310D43">
        <w:t>. This gap hinders our understanding of how plants adapt to high-altitude environments and the role of selfing as a reproductive strategy.</w:t>
      </w:r>
    </w:p>
    <w:p w14:paraId="11A557E9" w14:textId="6F0F08B9" w:rsidR="00D219A1" w:rsidRPr="00310D43" w:rsidRDefault="00D219A1" w:rsidP="00D219A1">
      <w:r w:rsidRPr="00310D43">
        <w:t xml:space="preserve">Here, we examine the breeding systems of </w:t>
      </w:r>
      <w:r w:rsidR="00A559AE" w:rsidRPr="00310D43">
        <w:t>seven</w:t>
      </w:r>
      <w:r w:rsidRPr="00310D43">
        <w:t xml:space="preserve"> plant species in montane grasslands along an elevational gradient on Mount Cameroon, Central Africa’s highest peak. Mount Cameroon, with its sharp elevational range (0–4,095 m a.s.l.), provides an ideal natural laboratory to study plant adaptation in tropical montane ecosystems. We hypothesize that (1) reproductive output decreases with elevation due to harsher environmental conditions; (2) pollen limitation intensifies at higher altitudes; and (3) autonomous self-pollination increases with elevation, reflecting an adaptive response to pollinator scarcity. By addressing these hypotheses, this study aims to provide novel insights into the interplay between reproductive strategies and environmental gradients in a poorly studied montane biome.</w:t>
      </w:r>
    </w:p>
    <w:p w14:paraId="569D8B70" w14:textId="4FD280B6" w:rsidR="00CB3108" w:rsidRPr="00310D43" w:rsidRDefault="00CB3108" w:rsidP="00CB3108">
      <w:pPr>
        <w:pStyle w:val="Heading1"/>
        <w:rPr>
          <w:rFonts w:ascii="Garamond" w:hAnsi="Garamond"/>
          <w:lang w:val="en-US"/>
        </w:rPr>
      </w:pPr>
      <w:r w:rsidRPr="00310D43">
        <w:rPr>
          <w:rFonts w:ascii="Garamond" w:hAnsi="Garamond"/>
          <w:lang w:val="en-US"/>
        </w:rPr>
        <w:t>Methodology</w:t>
      </w:r>
      <w:r w:rsidR="00C33445" w:rsidRPr="00310D43">
        <w:rPr>
          <w:rFonts w:ascii="Garamond" w:hAnsi="Garamond"/>
          <w:lang w:val="en-US"/>
        </w:rPr>
        <w:t xml:space="preserve"> / Materials and methods</w:t>
      </w:r>
    </w:p>
    <w:p w14:paraId="662137C5" w14:textId="74A7EC77" w:rsidR="00602032" w:rsidRPr="00310D43" w:rsidRDefault="00602032" w:rsidP="00602032">
      <w:pPr>
        <w:rPr>
          <w:lang w:val="en-US"/>
        </w:rPr>
      </w:pPr>
      <w:r w:rsidRPr="00310D43">
        <w:rPr>
          <w:lang w:val="en-US"/>
        </w:rPr>
        <w:t>Plant biology has “Materials and methods separated into parts. What are the parts which I would like to emphasize?</w:t>
      </w:r>
    </w:p>
    <w:p w14:paraId="67690565" w14:textId="2C9C8AA5" w:rsidR="006D418D" w:rsidRPr="00310D43" w:rsidRDefault="00602032" w:rsidP="006D418D">
      <w:pPr>
        <w:pStyle w:val="ListParagraph"/>
        <w:numPr>
          <w:ilvl w:val="0"/>
          <w:numId w:val="3"/>
        </w:numPr>
        <w:rPr>
          <w:lang w:val="en-US"/>
        </w:rPr>
      </w:pPr>
      <w:r w:rsidRPr="00310D43">
        <w:rPr>
          <w:lang w:val="en-US"/>
        </w:rPr>
        <w:t xml:space="preserve">Study </w:t>
      </w:r>
      <w:r w:rsidR="006D418D" w:rsidRPr="00310D43">
        <w:rPr>
          <w:lang w:val="en-US"/>
        </w:rPr>
        <w:t>site and species</w:t>
      </w:r>
    </w:p>
    <w:p w14:paraId="489E90C2" w14:textId="3D11219C" w:rsidR="00602032" w:rsidRPr="00310D43" w:rsidRDefault="00F558B6" w:rsidP="00602032">
      <w:pPr>
        <w:pStyle w:val="ListParagraph"/>
        <w:numPr>
          <w:ilvl w:val="0"/>
          <w:numId w:val="3"/>
        </w:numPr>
        <w:rPr>
          <w:lang w:val="en-US"/>
        </w:rPr>
      </w:pPr>
      <w:r w:rsidRPr="00310D43">
        <w:rPr>
          <w:lang w:val="en-US"/>
        </w:rPr>
        <w:t>Hand-p</w:t>
      </w:r>
      <w:r w:rsidR="00602032" w:rsidRPr="00310D43">
        <w:rPr>
          <w:lang w:val="en-US"/>
        </w:rPr>
        <w:t>ollination experiment</w:t>
      </w:r>
    </w:p>
    <w:p w14:paraId="0B8ED89B" w14:textId="3CD5A6A5" w:rsidR="00602032" w:rsidRPr="00310D43" w:rsidRDefault="00602032" w:rsidP="00602032">
      <w:pPr>
        <w:pStyle w:val="ListParagraph"/>
        <w:numPr>
          <w:ilvl w:val="0"/>
          <w:numId w:val="3"/>
        </w:numPr>
        <w:rPr>
          <w:lang w:val="en-US"/>
        </w:rPr>
      </w:pPr>
      <w:r w:rsidRPr="00310D43">
        <w:rPr>
          <w:lang w:val="en-US"/>
        </w:rPr>
        <w:t>Visitation data</w:t>
      </w:r>
    </w:p>
    <w:p w14:paraId="61B78C71" w14:textId="78EEF4FE" w:rsidR="00602032" w:rsidRPr="00310D43" w:rsidRDefault="00602032" w:rsidP="00602032">
      <w:pPr>
        <w:pStyle w:val="ListParagraph"/>
        <w:numPr>
          <w:ilvl w:val="0"/>
          <w:numId w:val="3"/>
        </w:numPr>
        <w:rPr>
          <w:lang w:val="en-US"/>
        </w:rPr>
      </w:pPr>
      <w:r w:rsidRPr="00310D43">
        <w:rPr>
          <w:lang w:val="en-US"/>
        </w:rPr>
        <w:t>Statistical analysis</w:t>
      </w:r>
    </w:p>
    <w:p w14:paraId="519A799F" w14:textId="4490328C" w:rsidR="006D418D" w:rsidRPr="00310D43" w:rsidRDefault="006D418D" w:rsidP="001A0636">
      <w:pPr>
        <w:pStyle w:val="Heading2"/>
        <w:rPr>
          <w:rFonts w:ascii="Garamond" w:hAnsi="Garamond"/>
          <w:lang w:val="en-US"/>
        </w:rPr>
      </w:pPr>
      <w:r w:rsidRPr="00310D43">
        <w:rPr>
          <w:rFonts w:ascii="Garamond" w:hAnsi="Garamond"/>
          <w:lang w:val="en-US"/>
        </w:rPr>
        <w:t>Study site and species</w:t>
      </w:r>
    </w:p>
    <w:p w14:paraId="32F80DD0" w14:textId="77777777" w:rsidR="00477ED1" w:rsidRPr="00310D43" w:rsidRDefault="00477ED1" w:rsidP="006D418D">
      <w:r w:rsidRPr="00310D43">
        <w:t>The study was conducted on Mount Cameroon, above the timberline in montane grasslands at four elevations: 2,300 m, 2,800 m, 3,500 m, and 4,000 m a.s.l. Data collection was carried out over three years due to logistical constraints caused by the COVID-19 pandemic. In 2019, surveys were conducted at 2,800 m (Hut 2: 4°11'38"N, 9°11'51"E) and 3,500 m (Wevondi Cave: 4°12'14"N, 9°11'9"E). In 2020, sampling at 4,000 m (Hut 3: 4°12'33"N, 9°10'48"E) was conducted with the assistance of local collaborators led by co-author Kobe Ishmeal. Finally, in 2021, the lowest elevation, 2,300 m (Mann’s Spring: 4°8'40"N, 9°7'14"E), was surveyed when travel restrictions were eased.</w:t>
      </w:r>
    </w:p>
    <w:p w14:paraId="265B5807" w14:textId="172F7E1E" w:rsidR="006D418D" w:rsidRPr="00310D43" w:rsidRDefault="006D418D" w:rsidP="00637BFF">
      <w:r w:rsidRPr="00310D43">
        <w:t>In 2019, all flowering zoogamous plant species present within the studied elevations were identified. From these, seven plant species were selected based on the following criteria:</w:t>
      </w:r>
      <w:r w:rsidRPr="00310D43">
        <w:br/>
        <w:t>i. Occurrence in at least two of the studied elevations.</w:t>
      </w:r>
      <w:r w:rsidRPr="00310D43">
        <w:br/>
        <w:t>ii. Adequate specimen abundance within individual elevations.</w:t>
      </w:r>
      <w:r w:rsidRPr="00310D43">
        <w:br/>
        <w:t>iii. Suitability for hand-pollination experiments, including large and robust flowers or inflorescences, sufficient flower quantity per plant, and accessibility of pollen and stigmas.</w:t>
      </w:r>
    </w:p>
    <w:p w14:paraId="6ECE5AEE" w14:textId="25A66DA0" w:rsidR="002C4B46" w:rsidRPr="00310D43" w:rsidRDefault="002C4B46" w:rsidP="006D418D">
      <w:pPr>
        <w:rPr>
          <w:i/>
          <w:iCs/>
        </w:rPr>
      </w:pPr>
      <w:r w:rsidRPr="00310D43">
        <w:lastRenderedPageBreak/>
        <w:t xml:space="preserve">The following plant species were chosen for the hand-pollination experiment: </w:t>
      </w:r>
      <w:r w:rsidRPr="00310D43">
        <w:rPr>
          <w:i/>
          <w:iCs/>
        </w:rPr>
        <w:t xml:space="preserve">Clematis simensis </w:t>
      </w:r>
      <w:r w:rsidRPr="00310D43">
        <w:t>(Ranunculaceae)</w:t>
      </w:r>
      <w:r w:rsidRPr="00310D43">
        <w:rPr>
          <w:i/>
          <w:iCs/>
        </w:rPr>
        <w:t xml:space="preserve">, Crepis hypochoeridea </w:t>
      </w:r>
      <w:r w:rsidRPr="00310D43">
        <w:t>(Asteraceae)</w:t>
      </w:r>
      <w:r w:rsidRPr="00310D43">
        <w:rPr>
          <w:i/>
          <w:iCs/>
        </w:rPr>
        <w:t xml:space="preserve">, Geranium arabicum </w:t>
      </w:r>
      <w:r w:rsidRPr="00310D43">
        <w:t>(Geraniaceae)</w:t>
      </w:r>
      <w:r w:rsidRPr="00310D43">
        <w:rPr>
          <w:i/>
          <w:iCs/>
        </w:rPr>
        <w:t xml:space="preserve">, Hypericum revolutum </w:t>
      </w:r>
      <w:r w:rsidRPr="00310D43">
        <w:t>(Hypericaceae)</w:t>
      </w:r>
      <w:r w:rsidRPr="00310D43">
        <w:rPr>
          <w:i/>
          <w:iCs/>
        </w:rPr>
        <w:t xml:space="preserve">, Lactuca inermis </w:t>
      </w:r>
      <w:r w:rsidRPr="00310D43">
        <w:t>(Asteraceae)</w:t>
      </w:r>
      <w:r w:rsidRPr="00310D43">
        <w:rPr>
          <w:i/>
          <w:iCs/>
        </w:rPr>
        <w:t xml:space="preserve">, Senecio burtonii </w:t>
      </w:r>
      <w:r w:rsidRPr="00310D43">
        <w:t>(Asteraceae)</w:t>
      </w:r>
      <w:r w:rsidRPr="00310D43">
        <w:rPr>
          <w:i/>
          <w:iCs/>
        </w:rPr>
        <w:t xml:space="preserve"> </w:t>
      </w:r>
      <w:r w:rsidRPr="00310D43">
        <w:t>and</w:t>
      </w:r>
      <w:r w:rsidRPr="00310D43">
        <w:rPr>
          <w:i/>
          <w:iCs/>
        </w:rPr>
        <w:t xml:space="preserve"> Senecio purpureus </w:t>
      </w:r>
      <w:r w:rsidRPr="00310D43">
        <w:t>(Asteraceae).</w:t>
      </w:r>
    </w:p>
    <w:p w14:paraId="526AC3B9" w14:textId="1C122AA4" w:rsidR="006D418D" w:rsidRPr="00310D43" w:rsidRDefault="001A0636" w:rsidP="001A0636">
      <w:pPr>
        <w:pStyle w:val="Heading2"/>
        <w:rPr>
          <w:rFonts w:ascii="Garamond" w:hAnsi="Garamond"/>
          <w:lang w:val="en-US"/>
        </w:rPr>
      </w:pPr>
      <w:r w:rsidRPr="00310D43">
        <w:rPr>
          <w:rFonts w:ascii="Garamond" w:hAnsi="Garamond"/>
          <w:lang w:val="en-US"/>
        </w:rPr>
        <w:t>Hand-pollination experiment</w:t>
      </w:r>
    </w:p>
    <w:p w14:paraId="4E2583FB" w14:textId="5AE060FC" w:rsidR="00477ED1" w:rsidRPr="00310D43" w:rsidRDefault="00477ED1" w:rsidP="00477ED1">
      <w:r w:rsidRPr="00310D43">
        <w:t xml:space="preserve">To determine the breeding systems of selected plant species, </w:t>
      </w:r>
      <w:r w:rsidR="006B3183" w:rsidRPr="00310D43">
        <w:t xml:space="preserve">hand-pollination experiments were carried out on individual flowers and seed-sets produced by the flowers were used to assess </w:t>
      </w:r>
      <w:r w:rsidR="006B3183" w:rsidRPr="000B4613">
        <w:t>reproduction efficiency.</w:t>
      </w:r>
      <w:r w:rsidR="006B3183" w:rsidRPr="00310D43">
        <w:t xml:space="preserve"> </w:t>
      </w:r>
      <w:r w:rsidR="00E434EB" w:rsidRPr="00310D43">
        <w:t>Within a given elevation, unopened buds of the experimental species were covered with nylon mesh bags of appropriate sizes to prevent pre-experimental pollination. One of f</w:t>
      </w:r>
      <w:r w:rsidRPr="00310D43">
        <w:t>our treatments</w:t>
      </w:r>
      <w:r w:rsidR="006B3183" w:rsidRPr="00310D43">
        <w:t xml:space="preserve"> w</w:t>
      </w:r>
      <w:r w:rsidR="00E434EB" w:rsidRPr="00310D43">
        <w:t>as</w:t>
      </w:r>
      <w:r w:rsidR="00D43A9A">
        <w:t xml:space="preserve"> to be</w:t>
      </w:r>
      <w:r w:rsidR="006B3183" w:rsidRPr="00310D43">
        <w:t xml:space="preserve"> carried out on</w:t>
      </w:r>
      <w:r w:rsidRPr="00310D43">
        <w:t xml:space="preserve"> experimental flowers</w:t>
      </w:r>
      <w:r w:rsidR="00B428C7">
        <w:t xml:space="preserve"> (Fig. 1)</w:t>
      </w:r>
      <w:r w:rsidRPr="00310D43">
        <w:t>:</w:t>
      </w:r>
    </w:p>
    <w:p w14:paraId="1045142C" w14:textId="01682FA8" w:rsidR="00477ED1" w:rsidRPr="00310D43" w:rsidRDefault="00477ED1" w:rsidP="00477ED1">
      <w:pPr>
        <w:numPr>
          <w:ilvl w:val="0"/>
          <w:numId w:val="4"/>
        </w:numPr>
      </w:pPr>
      <w:r w:rsidRPr="00310D43">
        <w:rPr>
          <w:b/>
          <w:bCs/>
        </w:rPr>
        <w:t>Autogamy</w:t>
      </w:r>
      <w:r w:rsidR="00503508" w:rsidRPr="00310D43">
        <w:rPr>
          <w:b/>
          <w:bCs/>
        </w:rPr>
        <w:t xml:space="preserve"> (A)</w:t>
      </w:r>
      <w:r w:rsidRPr="00310D43">
        <w:t>: Flowers were bagged to prevent external pollen transfer.</w:t>
      </w:r>
    </w:p>
    <w:p w14:paraId="4523833F" w14:textId="60E6EE8F" w:rsidR="00477ED1" w:rsidRPr="00310D43" w:rsidRDefault="00477ED1" w:rsidP="00477ED1">
      <w:pPr>
        <w:numPr>
          <w:ilvl w:val="0"/>
          <w:numId w:val="4"/>
        </w:numPr>
      </w:pPr>
      <w:r w:rsidRPr="00310D43">
        <w:rPr>
          <w:b/>
          <w:bCs/>
        </w:rPr>
        <w:t>Geitonogamy</w:t>
      </w:r>
      <w:r w:rsidR="00503508" w:rsidRPr="00310D43">
        <w:rPr>
          <w:b/>
          <w:bCs/>
        </w:rPr>
        <w:t xml:space="preserve"> (G)</w:t>
      </w:r>
      <w:r w:rsidRPr="00310D43">
        <w:t>: Flowers were hand-pollinated with pollen from another flower on the same individual.</w:t>
      </w:r>
    </w:p>
    <w:p w14:paraId="7E6EE89E" w14:textId="2AD35EC8" w:rsidR="00477ED1" w:rsidRPr="00310D43" w:rsidRDefault="00477ED1" w:rsidP="00477ED1">
      <w:pPr>
        <w:numPr>
          <w:ilvl w:val="0"/>
          <w:numId w:val="4"/>
        </w:numPr>
      </w:pPr>
      <w:r w:rsidRPr="00310D43">
        <w:rPr>
          <w:b/>
          <w:bCs/>
        </w:rPr>
        <w:t>Outcrossing</w:t>
      </w:r>
      <w:r w:rsidR="00503508" w:rsidRPr="00310D43">
        <w:rPr>
          <w:b/>
          <w:bCs/>
        </w:rPr>
        <w:t xml:space="preserve"> (O)</w:t>
      </w:r>
      <w:r w:rsidRPr="00310D43">
        <w:t xml:space="preserve">: Flowers were hand-pollinated with pollen from a different individual located at least </w:t>
      </w:r>
      <w:r w:rsidR="00E434EB" w:rsidRPr="00310D43">
        <w:t>50</w:t>
      </w:r>
      <w:r w:rsidRPr="00310D43">
        <w:t xml:space="preserve"> m away.</w:t>
      </w:r>
    </w:p>
    <w:p w14:paraId="7FDEE257" w14:textId="488C94E6" w:rsidR="00477ED1" w:rsidRDefault="00477ED1" w:rsidP="00B428C7">
      <w:pPr>
        <w:numPr>
          <w:ilvl w:val="0"/>
          <w:numId w:val="4"/>
        </w:numPr>
      </w:pPr>
      <w:r w:rsidRPr="00310D43">
        <w:rPr>
          <w:b/>
          <w:bCs/>
        </w:rPr>
        <w:t>Control</w:t>
      </w:r>
      <w:r w:rsidR="00503508" w:rsidRPr="00310D43">
        <w:rPr>
          <w:b/>
          <w:bCs/>
        </w:rPr>
        <w:t xml:space="preserve"> (C )</w:t>
      </w:r>
      <w:r w:rsidRPr="00310D43">
        <w:t>: Flowers were left exposed to natural pollination.</w:t>
      </w:r>
    </w:p>
    <w:p w14:paraId="285FBEEA" w14:textId="2597279B" w:rsidR="00B428C7" w:rsidRDefault="00B428C7" w:rsidP="00B428C7">
      <w:pPr>
        <w:jc w:val="center"/>
      </w:pPr>
      <w:r w:rsidRPr="004044AC">
        <w:rPr>
          <w:rFonts w:ascii="Times New Roman" w:hAnsi="Times New Roman" w:cs="Times New Roman"/>
          <w:b/>
          <w:bCs/>
          <w:noProof/>
          <w:sz w:val="24"/>
          <w:szCs w:val="24"/>
          <w:lang w:val="en-US"/>
        </w:rPr>
        <w:drawing>
          <wp:inline distT="0" distB="0" distL="0" distR="0" wp14:anchorId="32D72154" wp14:editId="2E48A8C9">
            <wp:extent cx="4317365" cy="2520950"/>
            <wp:effectExtent l="0" t="0" r="6985" b="0"/>
            <wp:docPr id="13" name="Picture 13" descr="A diagram of a bee on a yellow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bee on a yellow flower&#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069" t="12213" r="6069" b="7265"/>
                    <a:stretch/>
                  </pic:blipFill>
                  <pic:spPr bwMode="auto">
                    <a:xfrm>
                      <a:off x="0" y="0"/>
                      <a:ext cx="4317365" cy="2520950"/>
                    </a:xfrm>
                    <a:prstGeom prst="rect">
                      <a:avLst/>
                    </a:prstGeom>
                    <a:noFill/>
                    <a:ln>
                      <a:noFill/>
                    </a:ln>
                    <a:extLst>
                      <a:ext uri="{53640926-AAD7-44D8-BBD7-CCE9431645EC}">
                        <a14:shadowObscured xmlns:a14="http://schemas.microsoft.com/office/drawing/2010/main"/>
                      </a:ext>
                    </a:extLst>
                  </pic:spPr>
                </pic:pic>
              </a:graphicData>
            </a:graphic>
          </wp:inline>
        </w:drawing>
      </w:r>
    </w:p>
    <w:p w14:paraId="190C2830" w14:textId="63396971" w:rsidR="00B428C7" w:rsidRPr="00B428C7" w:rsidRDefault="00B428C7" w:rsidP="00B428C7">
      <w:pPr>
        <w:pStyle w:val="Caption"/>
        <w:jc w:val="center"/>
        <w:rPr>
          <w:lang w:val="cs-CZ"/>
        </w:rPr>
      </w:pPr>
      <w:r w:rsidRPr="00E66DE4">
        <w:rPr>
          <w:b/>
          <w:bCs/>
        </w:rPr>
        <w:t>Figure 1.</w:t>
      </w:r>
      <w:r w:rsidRPr="0064100E">
        <w:t xml:space="preserve"> </w:t>
      </w:r>
      <w:r>
        <w:t>The four experimental treatments illustrating pollen transfer (yellow arrows) on the studied plant species. Illustrator: Barbora Dro</w:t>
      </w:r>
      <w:r>
        <w:rPr>
          <w:lang w:val="cs-CZ"/>
        </w:rPr>
        <w:t>zdová</w:t>
      </w:r>
    </w:p>
    <w:p w14:paraId="249E2801" w14:textId="3F2916E7" w:rsidR="00477ED1" w:rsidRPr="00310D43" w:rsidRDefault="00477ED1" w:rsidP="00477ED1">
      <w:r w:rsidRPr="00310D43">
        <w:t xml:space="preserve">For every three buds bagged on a plant, one was left uncovered and labeled as a control flower. Untreated flowers were also left to serve as pollen sources for geitonogamy. Each plant species was tested with at least 40 replicates per elevation (10 per treatment) </w:t>
      </w:r>
      <w:r w:rsidR="00587E28">
        <w:t>on a</w:t>
      </w:r>
      <w:r w:rsidR="00587E28" w:rsidRPr="00587E28">
        <w:t xml:space="preserve">t least 10 </w:t>
      </w:r>
      <w:r w:rsidR="00587E28">
        <w:t xml:space="preserve">distinct </w:t>
      </w:r>
      <w:r w:rsidR="00587E28" w:rsidRPr="00587E28">
        <w:t>plant individuals, when</w:t>
      </w:r>
      <w:r w:rsidR="00587E28">
        <w:t>ever</w:t>
      </w:r>
      <w:r w:rsidR="00587E28" w:rsidRPr="00587E28">
        <w:t xml:space="preserve"> possible</w:t>
      </w:r>
      <w:r w:rsidR="00587E28">
        <w:t xml:space="preserve">. </w:t>
      </w:r>
      <w:r w:rsidR="006B3183" w:rsidRPr="00310D43">
        <w:t xml:space="preserve">Every experimental plant individual was labelled with a plant ID, which consisted of the elevation in which the individual occurred, the species of the individual and </w:t>
      </w:r>
      <w:r w:rsidR="00A67953" w:rsidRPr="00310D43">
        <w:t xml:space="preserve">a unique number specific to one individual </w:t>
      </w:r>
      <w:r w:rsidR="00622E6D" w:rsidRPr="00310D43">
        <w:t xml:space="preserve">for a given species </w:t>
      </w:r>
      <w:r w:rsidR="00A67953" w:rsidRPr="00310D43">
        <w:t>per elevation.</w:t>
      </w:r>
    </w:p>
    <w:p w14:paraId="627186B4" w14:textId="77777777" w:rsidR="00477ED1" w:rsidRPr="00310D43" w:rsidRDefault="00477ED1" w:rsidP="00477ED1">
      <w:r w:rsidRPr="00310D43">
        <w:t>Experimental flowers were observed to determine optimal timing for pollination based on stigma receptivity and pollen viability. When a flower became receptive, it was unbagged, the assigned treatment was performed, and the flower was re-bagged. Pollen transfer was conducted by brushing pollen from a conspecific flower onto the stigma and verifying success with a magnifying glass. Control flowers were bagged after flowering to preserve seeds.</w:t>
      </w:r>
    </w:p>
    <w:p w14:paraId="38498726" w14:textId="44B07FF8" w:rsidR="00477ED1" w:rsidRPr="00310D43" w:rsidRDefault="00477ED1" w:rsidP="00477ED1">
      <w:r w:rsidRPr="00310D43">
        <w:t xml:space="preserve">For </w:t>
      </w:r>
      <w:r w:rsidR="00E434EB" w:rsidRPr="00310D43">
        <w:t xml:space="preserve">some </w:t>
      </w:r>
      <w:r w:rsidRPr="00310D43">
        <w:t xml:space="preserve">Asteraceae species, where inflorescences flower over ~1 week, pollination was repeated daily until all florets were treated. Species with limited simultaneous flower availability (e.g., </w:t>
      </w:r>
      <w:r w:rsidRPr="00310D43">
        <w:rPr>
          <w:i/>
          <w:iCs/>
        </w:rPr>
        <w:t>Lactuca inermis</w:t>
      </w:r>
      <w:r w:rsidR="00053D1B" w:rsidRPr="00310D43">
        <w:t xml:space="preserve"> and </w:t>
      </w:r>
      <w:r w:rsidRPr="00310D43">
        <w:rPr>
          <w:i/>
          <w:iCs/>
        </w:rPr>
        <w:lastRenderedPageBreak/>
        <w:t>Geranium</w:t>
      </w:r>
      <w:r w:rsidRPr="00310D43">
        <w:t xml:space="preserve"> </w:t>
      </w:r>
      <w:r w:rsidR="00053D1B" w:rsidRPr="00310D43">
        <w:rPr>
          <w:i/>
          <w:iCs/>
        </w:rPr>
        <w:t>arabicum</w:t>
      </w:r>
      <w:r w:rsidRPr="00310D43">
        <w:t>) were subjected to fewer treatments, prioritizing autogamy + control or outcrossing + control</w:t>
      </w:r>
    </w:p>
    <w:p w14:paraId="4B1B6C49" w14:textId="0C1B0BEC" w:rsidR="00053D1B" w:rsidRPr="00310D43" w:rsidRDefault="00053D1B" w:rsidP="00053D1B">
      <w:r w:rsidRPr="00310D43">
        <w:t>Approximately 30–40 days after the experiments, when the flowers had fruited, all mesh bags were collected. Each bag containing a fruit was cut off, placed in a labeled paper bag, and dried using silica gel. Labels included the elevation, plant species, plant number, and applied treatment. The fruits were subsequently transported to Czechia, where they were sorted by species.</w:t>
      </w:r>
    </w:p>
    <w:p w14:paraId="761600BC" w14:textId="77777777" w:rsidR="00053D1B" w:rsidRPr="00310D43" w:rsidRDefault="00053D1B" w:rsidP="00053D1B">
      <w:r w:rsidRPr="00310D43">
        <w:t xml:space="preserve">For each plant species, a reference chart was created from ~10 bags (each containing one flower/inflorescence) to distinguish between fully developed and undeveloped seeds. Seeds were counted using a stereomicroscope in a paper tray, except for </w:t>
      </w:r>
      <w:r w:rsidRPr="00310D43">
        <w:rPr>
          <w:i/>
          <w:iCs/>
        </w:rPr>
        <w:t>Hypericum revolutum</w:t>
      </w:r>
      <w:r w:rsidRPr="00310D43">
        <w:t>, whose seeds, due to their small size and pod structure, were counted using a counting grid.</w:t>
      </w:r>
    </w:p>
    <w:p w14:paraId="19313E19" w14:textId="5BED92B6" w:rsidR="001A0636" w:rsidRPr="00310D43" w:rsidRDefault="00053D1B" w:rsidP="00053D1B">
      <w:pPr>
        <w:pStyle w:val="Heading2"/>
        <w:rPr>
          <w:rFonts w:ascii="Garamond" w:hAnsi="Garamond"/>
        </w:rPr>
      </w:pPr>
      <w:r w:rsidRPr="00310D43">
        <w:rPr>
          <w:rFonts w:ascii="Garamond" w:hAnsi="Garamond"/>
        </w:rPr>
        <w:t>Visitation data</w:t>
      </w:r>
    </w:p>
    <w:p w14:paraId="2D77153D" w14:textId="03497029" w:rsidR="00D43A9A" w:rsidRPr="00D43A9A" w:rsidRDefault="00D43A9A" w:rsidP="00053D1B">
      <w:pPr>
        <w:rPr>
          <w:i/>
          <w:iCs/>
          <w:highlight w:val="yellow"/>
        </w:rPr>
      </w:pPr>
      <w:r>
        <w:rPr>
          <w:i/>
          <w:iCs/>
          <w:highlight w:val="yellow"/>
        </w:rPr>
        <w:t xml:space="preserve">It it not yet clear how much of use will this data be, so this part is just a </w:t>
      </w:r>
    </w:p>
    <w:p w14:paraId="404E7A28" w14:textId="11D511B5" w:rsidR="00DE1074" w:rsidRDefault="00DE1074" w:rsidP="00053D1B">
      <w:pPr>
        <w:rPr>
          <w:highlight w:val="yellow"/>
        </w:rPr>
      </w:pPr>
      <w:r w:rsidRPr="00DE1074">
        <w:rPr>
          <w:highlight w:val="yellow"/>
        </w:rPr>
        <w:t>Alongside the hand-pollination experiment, our research group</w:t>
      </w:r>
      <w:r w:rsidR="00A8023B">
        <w:rPr>
          <w:highlight w:val="yellow"/>
        </w:rPr>
        <w:t xml:space="preserve"> was simultaniously</w:t>
      </w:r>
      <w:r w:rsidRPr="00DE1074">
        <w:rPr>
          <w:highlight w:val="yellow"/>
        </w:rPr>
        <w:t xml:space="preserve"> conduc</w:t>
      </w:r>
      <w:r w:rsidR="00A8023B">
        <w:rPr>
          <w:highlight w:val="yellow"/>
        </w:rPr>
        <w:t>ting</w:t>
      </w:r>
      <w:r w:rsidRPr="00DE1074">
        <w:rPr>
          <w:highlight w:val="yellow"/>
        </w:rPr>
        <w:t xml:space="preserve"> a complementary study on pollination networks along the same elevational gradient. From this broader dataset, we extracted visitation data relevant to our study species to assess their interactions with pollinators and potential influences on reproductive success.</w:t>
      </w:r>
    </w:p>
    <w:p w14:paraId="4E0A8311" w14:textId="5812FE2D" w:rsidR="00C26A55" w:rsidRPr="00D43A9A" w:rsidRDefault="00DE1074" w:rsidP="00053D1B">
      <w:pPr>
        <w:rPr>
          <w:highlight w:val="yellow"/>
        </w:rPr>
      </w:pPr>
      <w:r w:rsidRPr="00DE1074">
        <w:rPr>
          <w:highlight w:val="yellow"/>
        </w:rPr>
        <w:t>To document pollinator visitation, six 100 m × 5 m transects were established at each elevation, where all flowering plant species were identified. Each species was monitored using a VIVOTEK IB8367T CCTV camera with IR night vision for 24-hour periods, repeated seven times per species</w:t>
      </w:r>
      <w:r w:rsidR="003E36FD">
        <w:rPr>
          <w:highlight w:val="yellow"/>
        </w:rPr>
        <w:t xml:space="preserve"> across the transects, where it was present</w:t>
      </w:r>
      <w:r>
        <w:rPr>
          <w:highlight w:val="yellow"/>
        </w:rPr>
        <w:t xml:space="preserve"> (</w:t>
      </w:r>
      <w:r w:rsidR="00D06C12" w:rsidRPr="00D43A9A">
        <w:rPr>
          <w:highlight w:val="yellow"/>
        </w:rPr>
        <w:t>for more information on the methodology see Mertens et al., 2018, 2020; Klomberg et al., 2019).</w:t>
      </w:r>
    </w:p>
    <w:p w14:paraId="07DDC874" w14:textId="30E858B4" w:rsidR="00CC1B6F" w:rsidRPr="00310D43" w:rsidRDefault="00CC1B6F" w:rsidP="00053D1B">
      <w:r w:rsidRPr="00D43A9A">
        <w:rPr>
          <w:highlight w:val="yellow"/>
        </w:rPr>
        <w:t xml:space="preserve">All visitors were identified into </w:t>
      </w:r>
      <w:r w:rsidR="006169B0" w:rsidRPr="00D43A9A">
        <w:rPr>
          <w:highlight w:val="yellow"/>
        </w:rPr>
        <w:t>species level and only</w:t>
      </w:r>
      <w:r w:rsidR="00D43A9A">
        <w:rPr>
          <w:highlight w:val="yellow"/>
        </w:rPr>
        <w:t xml:space="preserve"> </w:t>
      </w:r>
      <w:r w:rsidR="006169B0" w:rsidRPr="00D43A9A">
        <w:rPr>
          <w:highlight w:val="yellow"/>
        </w:rPr>
        <w:t xml:space="preserve">visitors </w:t>
      </w:r>
      <w:r w:rsidR="00DE1074">
        <w:rPr>
          <w:highlight w:val="yellow"/>
        </w:rPr>
        <w:t xml:space="preserve">belonging </w:t>
      </w:r>
      <w:r w:rsidR="00D43A9A">
        <w:rPr>
          <w:highlight w:val="yellow"/>
        </w:rPr>
        <w:t xml:space="preserve">into one of eight </w:t>
      </w:r>
      <w:r w:rsidR="00DE1074">
        <w:rPr>
          <w:highlight w:val="yellow"/>
        </w:rPr>
        <w:t xml:space="preserve">predefined </w:t>
      </w:r>
      <w:r w:rsidR="00D43A9A">
        <w:rPr>
          <w:highlight w:val="yellow"/>
        </w:rPr>
        <w:t>functional groups</w:t>
      </w:r>
      <w:r w:rsidR="006169B0" w:rsidRPr="00D43A9A">
        <w:rPr>
          <w:highlight w:val="yellow"/>
        </w:rPr>
        <w:t xml:space="preserve"> were used in further analysis</w:t>
      </w:r>
      <w:r w:rsidR="00D43A9A">
        <w:rPr>
          <w:highlight w:val="yellow"/>
        </w:rPr>
        <w:t xml:space="preserve">: </w:t>
      </w:r>
      <w:r w:rsidR="006169B0" w:rsidRPr="00D43A9A">
        <w:rPr>
          <w:highlight w:val="yellow"/>
        </w:rPr>
        <w:t xml:space="preserve">Bee, Beetle, Bird, Butterfly, </w:t>
      </w:r>
      <w:r w:rsidR="004D66DD" w:rsidRPr="00D43A9A">
        <w:rPr>
          <w:highlight w:val="yellow"/>
        </w:rPr>
        <w:t xml:space="preserve">Hoverfly, Other </w:t>
      </w:r>
      <w:r w:rsidR="006169B0" w:rsidRPr="00D43A9A">
        <w:rPr>
          <w:highlight w:val="yellow"/>
        </w:rPr>
        <w:t>Fly, Moth, Wasp.</w:t>
      </w:r>
      <w:r w:rsidR="00471ECE" w:rsidRPr="00D43A9A">
        <w:rPr>
          <w:highlight w:val="yellow"/>
        </w:rPr>
        <w:t xml:space="preserve"> </w:t>
      </w:r>
    </w:p>
    <w:p w14:paraId="298F6D95" w14:textId="18AA4B53" w:rsidR="00CC1B6F" w:rsidRPr="00310D43" w:rsidRDefault="00CC1B6F" w:rsidP="00CC1B6F">
      <w:pPr>
        <w:pStyle w:val="Heading2"/>
        <w:rPr>
          <w:rFonts w:ascii="Garamond" w:hAnsi="Garamond"/>
        </w:rPr>
      </w:pPr>
      <w:r w:rsidRPr="00310D43">
        <w:rPr>
          <w:rFonts w:ascii="Garamond" w:hAnsi="Garamond"/>
        </w:rPr>
        <w:t>Statistical analysis</w:t>
      </w:r>
    </w:p>
    <w:p w14:paraId="3DDC8602" w14:textId="4E46D5B8" w:rsidR="00CC1B6F" w:rsidRPr="00310D43" w:rsidRDefault="00AD5CDF" w:rsidP="00053D1B">
      <w:r w:rsidRPr="00310D43">
        <w:t>To analyze changes in seed production by elevation, four indexes were calculated: control, pollen lim</w:t>
      </w:r>
      <w:r w:rsidR="004868FD" w:rsidRPr="00310D43">
        <w:t>i</w:t>
      </w:r>
      <w:r w:rsidRPr="00310D43">
        <w:t>tat</w:t>
      </w:r>
      <w:r w:rsidR="004868FD" w:rsidRPr="00310D43">
        <w:t>i</w:t>
      </w:r>
      <w:r w:rsidRPr="00310D43">
        <w:t>on, autogamy and geitonogamy. For the control</w:t>
      </w:r>
      <w:r w:rsidR="00E3720B" w:rsidRPr="00310D43">
        <w:t xml:space="preserve"> index</w:t>
      </w:r>
      <w:r w:rsidRPr="00310D43">
        <w:t>,</w:t>
      </w:r>
      <w:r w:rsidR="00E3720B" w:rsidRPr="00310D43">
        <w:t xml:space="preserve"> the seedsets of individual flowers treated with the control treatment</w:t>
      </w:r>
      <w:r w:rsidRPr="00310D43">
        <w:t xml:space="preserve"> were used as indexes</w:t>
      </w:r>
      <w:r w:rsidR="00E3720B" w:rsidRPr="00310D43">
        <w:t xml:space="preserve">. </w:t>
      </w:r>
      <w:r w:rsidR="00A67953" w:rsidRPr="00310D43">
        <w:t xml:space="preserve">For the remaining indexes, the </w:t>
      </w:r>
      <w:r w:rsidR="00BA2C4B" w:rsidRPr="00310D43">
        <w:t xml:space="preserve">number of seeds produced by outcrossing treatment were considered to be the maximum number of seeds capable of being produced by a given plant in a given elevation. </w:t>
      </w:r>
      <w:r w:rsidR="00E3720B" w:rsidRPr="00310D43">
        <w:t xml:space="preserve">The pollen limitation index was calculated as PL = 1 – C / O, </w:t>
      </w:r>
      <w:r w:rsidRPr="00310D43">
        <w:t>where a value of 0 signifies no pollen limitation and a value of 1</w:t>
      </w:r>
      <w:r w:rsidR="00E3720B" w:rsidRPr="00310D43">
        <w:t xml:space="preserve"> </w:t>
      </w:r>
      <w:r w:rsidRPr="00310D43">
        <w:t xml:space="preserve">signifies complete pollen limitation. If the index returned a </w:t>
      </w:r>
      <w:r w:rsidR="00E3720B" w:rsidRPr="00310D43">
        <w:t xml:space="preserve">negative number, </w:t>
      </w:r>
      <w:r w:rsidRPr="00310D43">
        <w:t xml:space="preserve">the value was </w:t>
      </w:r>
      <w:r w:rsidR="00E3720B" w:rsidRPr="00310D43">
        <w:t>converted to 0</w:t>
      </w:r>
      <w:r w:rsidRPr="00310D43">
        <w:t>, since a</w:t>
      </w:r>
      <w:r w:rsidR="00E3720B" w:rsidRPr="00310D43">
        <w:t>ny value below zero means that the plants produced more seeds with the control treatment than the outcrossing treatment, thus making them not pollen limited.</w:t>
      </w:r>
      <w:r w:rsidR="00503508" w:rsidRPr="00310D43">
        <w:t xml:space="preserve"> Both the autogamy and geitonogamy index were calculated as A/O and G/O, respectively. </w:t>
      </w:r>
      <w:r w:rsidR="008D4285" w:rsidRPr="00310D43">
        <w:t xml:space="preserve">The autogamy and geitonogamy indexes </w:t>
      </w:r>
      <w:r w:rsidR="00693714" w:rsidRPr="00310D43">
        <w:t>contain</w:t>
      </w:r>
      <w:r w:rsidR="008D4285" w:rsidRPr="00310D43">
        <w:t xml:space="preserve"> continuous variable</w:t>
      </w:r>
      <w:r w:rsidR="00693714" w:rsidRPr="00310D43">
        <w:t>s</w:t>
      </w:r>
      <w:r w:rsidR="008D4285" w:rsidRPr="00310D43">
        <w:t xml:space="preserve">, </w:t>
      </w:r>
      <w:r w:rsidR="00693714" w:rsidRPr="00310D43">
        <w:t xml:space="preserve">so </w:t>
      </w:r>
      <w:r w:rsidR="008D4285" w:rsidRPr="00310D43">
        <w:t>the data was transformed: “index” was multiplied by 100</w:t>
      </w:r>
      <w:r w:rsidR="00693714" w:rsidRPr="00310D43">
        <w:t xml:space="preserve"> to be able to be analyzed.</w:t>
      </w:r>
    </w:p>
    <w:p w14:paraId="03F10DEB" w14:textId="23234B2D" w:rsidR="00F15EE4" w:rsidRDefault="00290DB4" w:rsidP="00053D1B">
      <w:pPr>
        <w:rPr>
          <w:i/>
          <w:iCs/>
        </w:rPr>
      </w:pPr>
      <w:r w:rsidRPr="00310D43">
        <w:t>To answer the question of whether elevation had any effect on the indexes, packcage glmmTMB in R studio was used to fit a generalized linear mixed model for each index. For each index, t</w:t>
      </w:r>
      <w:r w:rsidR="00F15EE4" w:rsidRPr="00310D43">
        <w:t>he model which I fit for all the indexes was as follows: “index” was the dependant variable, “elevation” was fit as the predictor</w:t>
      </w:r>
      <w:r w:rsidR="00B31683" w:rsidRPr="00310D43">
        <w:t>. Two random</w:t>
      </w:r>
      <w:r w:rsidR="00F15EE4" w:rsidRPr="00310D43">
        <w:t xml:space="preserve"> effect</w:t>
      </w:r>
      <w:r w:rsidR="00B31683" w:rsidRPr="00310D43">
        <w:t xml:space="preserve">s were added: </w:t>
      </w:r>
      <w:r w:rsidR="00F15EE4" w:rsidRPr="00310D43">
        <w:t xml:space="preserve">“species” </w:t>
      </w:r>
      <w:r w:rsidR="00B31683" w:rsidRPr="00310D43">
        <w:t>which was only the name of the species</w:t>
      </w:r>
      <w:r w:rsidR="00F15EE4" w:rsidRPr="00310D43">
        <w:t xml:space="preserve">, </w:t>
      </w:r>
      <w:r w:rsidR="00B31683" w:rsidRPr="00310D43">
        <w:t>and</w:t>
      </w:r>
      <w:r w:rsidR="00F15EE4" w:rsidRPr="00310D43">
        <w:t xml:space="preserve"> “plant.</w:t>
      </w:r>
      <w:r w:rsidR="00B31683" w:rsidRPr="00310D43">
        <w:t>id</w:t>
      </w:r>
      <w:r w:rsidR="00F15EE4" w:rsidRPr="00310D43">
        <w:t>”,</w:t>
      </w:r>
      <w:r w:rsidR="00B31683" w:rsidRPr="00310D43">
        <w:t xml:space="preserve"> a crossed effect consisting of the elevation, species and the specific plant number on which the treatments were carried out in a given elevation. </w:t>
      </w:r>
      <w:r w:rsidR="00B31683" w:rsidRPr="00310D43">
        <w:rPr>
          <w:i/>
          <w:iCs/>
        </w:rPr>
        <w:t>This was</w:t>
      </w:r>
      <w:r w:rsidR="00F15EE4" w:rsidRPr="00310D43">
        <w:rPr>
          <w:i/>
          <w:iCs/>
        </w:rPr>
        <w:t xml:space="preserve"> to take care of the pseudoreplications of having multiple seedsets from one plant individual in some cases.</w:t>
      </w:r>
    </w:p>
    <w:p w14:paraId="5C79B641" w14:textId="454D0D40" w:rsidR="007A0AC6" w:rsidRPr="007A0AC6" w:rsidRDefault="007A0AC6" w:rsidP="007A0AC6">
      <w:pPr>
        <w:jc w:val="center"/>
        <w:rPr>
          <w:i/>
          <w:iCs/>
        </w:rPr>
      </w:pPr>
      <w:r w:rsidRPr="007A0AC6">
        <w:rPr>
          <w:i/>
          <w:iCs/>
        </w:rPr>
        <w:t>Index ~ elevation + (1|species) + (1|plant.id)</w:t>
      </w:r>
    </w:p>
    <w:p w14:paraId="28E1827F" w14:textId="7701BE24" w:rsidR="00011AE9" w:rsidRPr="00310D43" w:rsidRDefault="00011AE9" w:rsidP="00053D1B">
      <w:r w:rsidRPr="00310D43">
        <w:lastRenderedPageBreak/>
        <w:t xml:space="preserve">For the control </w:t>
      </w:r>
      <w:r w:rsidR="00290DB4" w:rsidRPr="00310D43">
        <w:t>index,</w:t>
      </w:r>
      <w:r w:rsidRPr="00310D43">
        <w:t xml:space="preserve"> the best fit for the data was a zero-inflated negative binomial distribution. For pollen limitation, since it contained values from 0 to 1, the ordbeta</w:t>
      </w:r>
      <w:r w:rsidR="00D04CB1" w:rsidRPr="00310D43">
        <w:t xml:space="preserve"> family was used</w:t>
      </w:r>
      <w:r w:rsidR="00503508" w:rsidRPr="00310D43">
        <w:t xml:space="preserve">, which is capable of carrying out a beta regression </w:t>
      </w:r>
      <w:r w:rsidR="00B31683" w:rsidRPr="00310D43">
        <w:t>containing significant</w:t>
      </w:r>
      <w:r w:rsidR="00503508" w:rsidRPr="00310D43">
        <w:t xml:space="preserve"> 0’s and 1’s are present</w:t>
      </w:r>
      <w:r w:rsidR="00D04CB1" w:rsidRPr="00310D43">
        <w:t xml:space="preserve">. For autogamy </w:t>
      </w:r>
      <w:r w:rsidR="000179B1" w:rsidRPr="00310D43">
        <w:t xml:space="preserve">the best fitting model was </w:t>
      </w:r>
      <w:r w:rsidR="00A67953" w:rsidRPr="00310D43">
        <w:t>a zero inflated poisson.</w:t>
      </w:r>
      <w:r w:rsidR="000179B1" w:rsidRPr="00310D43">
        <w:t xml:space="preserve"> For </w:t>
      </w:r>
      <w:r w:rsidR="00D04CB1" w:rsidRPr="00310D43">
        <w:t>geitonogamy</w:t>
      </w:r>
      <w:r w:rsidR="00E3720B" w:rsidRPr="00310D43">
        <w:t xml:space="preserve">, </w:t>
      </w:r>
      <w:r w:rsidR="000179B1" w:rsidRPr="00310D43">
        <w:t>the best fitting model was</w:t>
      </w:r>
      <w:r w:rsidR="00A67953" w:rsidRPr="00310D43">
        <w:t xml:space="preserve"> a zero inflated poisson.</w:t>
      </w:r>
      <w:r w:rsidR="00BA2C4B" w:rsidRPr="00310D43">
        <w:t xml:space="preserve"> The DHARMa package was used in all cases to assess the goodness of fit </w:t>
      </w:r>
      <w:r w:rsidR="003615D7" w:rsidRPr="00310D43">
        <w:t>f</w:t>
      </w:r>
      <w:r w:rsidR="00BA2C4B" w:rsidRPr="00310D43">
        <w:t>or all the models.</w:t>
      </w:r>
    </w:p>
    <w:p w14:paraId="4E73954F" w14:textId="2DE94F6D" w:rsidR="00CC1B6F" w:rsidRPr="00310D43" w:rsidRDefault="000179B1" w:rsidP="00053D1B">
      <w:r w:rsidRPr="00310D43">
        <w:t xml:space="preserve">To analyze the effect of individual visitation frequencies in given elevation on the </w:t>
      </w:r>
      <w:r w:rsidR="004D14CD" w:rsidRPr="00310D43">
        <w:t xml:space="preserve">hand-pollination indices, we used </w:t>
      </w:r>
      <w:r w:rsidR="00CD1226">
        <w:t>…</w:t>
      </w:r>
      <w:r w:rsidR="00FD2C9E" w:rsidRPr="00310D43">
        <w:t xml:space="preserve"> </w:t>
      </w:r>
    </w:p>
    <w:p w14:paraId="30D91354" w14:textId="6FDB1DD4" w:rsidR="00CB3108" w:rsidRPr="00310D43" w:rsidRDefault="00CB3108" w:rsidP="00CB3108">
      <w:pPr>
        <w:pStyle w:val="Heading1"/>
        <w:rPr>
          <w:rFonts w:ascii="Garamond" w:hAnsi="Garamond"/>
          <w:lang w:val="en-US"/>
        </w:rPr>
      </w:pPr>
      <w:r w:rsidRPr="00310D43">
        <w:rPr>
          <w:rFonts w:ascii="Garamond" w:hAnsi="Garamond"/>
          <w:lang w:val="en-US"/>
        </w:rPr>
        <w:t>Results</w:t>
      </w:r>
    </w:p>
    <w:p w14:paraId="31A1965D" w14:textId="70D4748A" w:rsidR="00CD1226" w:rsidRDefault="00CD1226" w:rsidP="00CD1226">
      <w:pPr>
        <w:rPr>
          <w:lang w:val="en-US"/>
        </w:rPr>
      </w:pPr>
      <w:r w:rsidRPr="00CD1226">
        <w:rPr>
          <w:lang w:val="en-US"/>
        </w:rPr>
        <w:t>The analysis shows that plants in elevation 2800 had the highest capability of producing seeds when left to be pollinated by visitors</w:t>
      </w:r>
      <w:r w:rsidR="00BA364D">
        <w:rPr>
          <w:lang w:val="en-US"/>
        </w:rPr>
        <w:t xml:space="preserve"> (</w:t>
      </w:r>
      <w:r w:rsidR="00BA364D" w:rsidRPr="00BA364D">
        <w:rPr>
          <w:i/>
          <w:iCs/>
          <w:lang w:val="en-US"/>
        </w:rPr>
        <w:t>P</w:t>
      </w:r>
      <w:r w:rsidR="00BA364D">
        <w:rPr>
          <w:lang w:val="en-US"/>
        </w:rPr>
        <w:t xml:space="preserve"> = 0.00165)</w:t>
      </w:r>
      <w:r w:rsidRPr="00CD1226">
        <w:rPr>
          <w:lang w:val="en-US"/>
        </w:rPr>
        <w:t>. Plants from elevations 2300 and 3500</w:t>
      </w:r>
      <w:r w:rsidR="002155B0">
        <w:rPr>
          <w:lang w:val="en-US"/>
        </w:rPr>
        <w:t xml:space="preserve"> produced</w:t>
      </w:r>
      <w:r w:rsidRPr="00CD1226">
        <w:rPr>
          <w:lang w:val="en-US"/>
        </w:rPr>
        <w:t xml:space="preserve"> similar amount of seeds (both lower than 2800) and plant in 4000 produced significantly fewer seeds than any of the lower elevations</w:t>
      </w:r>
      <w:r w:rsidR="00BA364D">
        <w:rPr>
          <w:lang w:val="en-US"/>
        </w:rPr>
        <w:t xml:space="preserve"> (</w:t>
      </w:r>
      <w:r w:rsidR="00BA364D" w:rsidRPr="00BA364D">
        <w:rPr>
          <w:i/>
          <w:iCs/>
          <w:lang w:val="en-US"/>
        </w:rPr>
        <w:t>P</w:t>
      </w:r>
      <w:r w:rsidR="00BA364D">
        <w:rPr>
          <w:lang w:val="en-US"/>
        </w:rPr>
        <w:t xml:space="preserve"> = 0.00109)</w:t>
      </w:r>
      <w:r w:rsidRPr="00CD1226">
        <w:rPr>
          <w:lang w:val="en-US"/>
        </w:rPr>
        <w:t>.</w:t>
      </w:r>
      <w:r w:rsidR="00BA364D">
        <w:rPr>
          <w:lang w:val="en-US"/>
        </w:rPr>
        <w:t xml:space="preserve"> </w:t>
      </w:r>
      <w:r w:rsidR="002155B0">
        <w:rPr>
          <w:lang w:val="en-US"/>
        </w:rPr>
        <w:t>This was further evidenced by the zero-inflation model, which showed that p</w:t>
      </w:r>
      <w:r w:rsidR="00BA364D">
        <w:rPr>
          <w:lang w:val="en-US"/>
        </w:rPr>
        <w:t xml:space="preserve">lants in elevation 4000 </w:t>
      </w:r>
      <w:r w:rsidR="002155B0">
        <w:rPr>
          <w:lang w:val="en-US"/>
        </w:rPr>
        <w:t>produced</w:t>
      </w:r>
      <w:r w:rsidR="00BA364D">
        <w:rPr>
          <w:lang w:val="en-US"/>
        </w:rPr>
        <w:t xml:space="preserve"> more zero’s than any other elevation (</w:t>
      </w:r>
      <w:r w:rsidR="00BA364D" w:rsidRPr="00BA364D">
        <w:rPr>
          <w:i/>
          <w:iCs/>
          <w:lang w:val="en-US"/>
        </w:rPr>
        <w:t>P</w:t>
      </w:r>
      <w:r w:rsidR="00BA364D">
        <w:rPr>
          <w:lang w:val="en-US"/>
        </w:rPr>
        <w:t xml:space="preserve"> &lt; 0.0001)</w:t>
      </w:r>
      <w:r w:rsidR="00C91BA3">
        <w:rPr>
          <w:lang w:val="en-US"/>
        </w:rPr>
        <w:t>. Seedsets of individual plant</w:t>
      </w:r>
      <w:r w:rsidR="00606B2F">
        <w:rPr>
          <w:lang w:val="en-US"/>
        </w:rPr>
        <w:t>s in various elevatios is show in Fig. 2</w:t>
      </w:r>
    </w:p>
    <w:p w14:paraId="5F09FF3F" w14:textId="4C3D884D" w:rsidR="00C91BA3" w:rsidRDefault="00C91BA3" w:rsidP="00C91BA3">
      <w:pPr>
        <w:jc w:val="center"/>
        <w:rPr>
          <w:lang w:val="en-US"/>
        </w:rPr>
      </w:pPr>
      <w:r w:rsidRPr="00954977">
        <w:rPr>
          <w:noProof/>
        </w:rPr>
        <w:drawing>
          <wp:inline distT="0" distB="0" distL="0" distR="0" wp14:anchorId="6FA2D21A" wp14:editId="5463315F">
            <wp:extent cx="2906285" cy="1697420"/>
            <wp:effectExtent l="0" t="0" r="8890" b="0"/>
            <wp:docPr id="1687192082" name="Picture 1" descr="A graph of different colored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2082" name="Picture 1" descr="A graph of different colored shapes&#10;&#10;Description automatically generated with medium confidence"/>
                    <pic:cNvPicPr/>
                  </pic:nvPicPr>
                  <pic:blipFill rotWithShape="1">
                    <a:blip r:embed="rId14"/>
                    <a:srcRect b="890"/>
                    <a:stretch/>
                  </pic:blipFill>
                  <pic:spPr bwMode="auto">
                    <a:xfrm>
                      <a:off x="0" y="0"/>
                      <a:ext cx="2965473" cy="1731989"/>
                    </a:xfrm>
                    <a:prstGeom prst="rect">
                      <a:avLst/>
                    </a:prstGeom>
                    <a:ln>
                      <a:noFill/>
                    </a:ln>
                    <a:extLst>
                      <a:ext uri="{53640926-AAD7-44D8-BBD7-CCE9431645EC}">
                        <a14:shadowObscured xmlns:a14="http://schemas.microsoft.com/office/drawing/2010/main"/>
                      </a:ext>
                    </a:extLst>
                  </pic:spPr>
                </pic:pic>
              </a:graphicData>
            </a:graphic>
          </wp:inline>
        </w:drawing>
      </w:r>
    </w:p>
    <w:p w14:paraId="7AB02A14" w14:textId="79852B11" w:rsidR="00606B2F" w:rsidRPr="00A8520B" w:rsidRDefault="00606B2F" w:rsidP="00CB6ACE">
      <w:pPr>
        <w:pStyle w:val="Caption"/>
        <w:jc w:val="center"/>
        <w:rPr>
          <w:rFonts w:ascii="Garamond" w:hAnsi="Garamond"/>
          <w:lang w:val="cs-CZ"/>
        </w:rPr>
      </w:pPr>
      <w:r w:rsidRPr="00A8520B">
        <w:rPr>
          <w:rFonts w:ascii="Garamond" w:hAnsi="Garamond"/>
          <w:b/>
          <w:bCs/>
        </w:rPr>
        <w:t>Figure 2.</w:t>
      </w:r>
      <w:r w:rsidRPr="00A8520B">
        <w:rPr>
          <w:rFonts w:ascii="Garamond" w:hAnsi="Garamond"/>
        </w:rPr>
        <w:t xml:space="preserve"> </w:t>
      </w:r>
      <w:r w:rsidR="00A8023B" w:rsidRPr="00A8520B">
        <w:rPr>
          <w:rFonts w:ascii="Garamond" w:hAnsi="Garamond"/>
          <w:lang w:val="en-GB"/>
        </w:rPr>
        <w:t>Control index values for seven experimental plant species across four elevations. Each subplot represents a different species, with control index data shown for the elevations where the species was studied. The number of observations per elevation (n) is indicated above each violin plot.</w:t>
      </w:r>
    </w:p>
    <w:p w14:paraId="387B6120" w14:textId="70E5CC62" w:rsidR="00CD1226" w:rsidRDefault="00CD1226" w:rsidP="00CD1226">
      <w:pPr>
        <w:rPr>
          <w:lang w:val="en-US"/>
        </w:rPr>
      </w:pPr>
      <w:commentRangeStart w:id="1"/>
      <w:r w:rsidRPr="00CD1226">
        <w:rPr>
          <w:lang w:val="en-US"/>
        </w:rPr>
        <w:t>The only trend in pollen limitation was found in elevation 4000, which was significantly more pollen limited than the other elevations</w:t>
      </w:r>
      <w:r w:rsidR="00B428C7">
        <w:rPr>
          <w:lang w:val="en-US"/>
        </w:rPr>
        <w:t xml:space="preserve"> (</w:t>
      </w:r>
      <w:r w:rsidR="00B428C7" w:rsidRPr="00BA364D">
        <w:rPr>
          <w:i/>
          <w:iCs/>
          <w:lang w:val="en-US"/>
        </w:rPr>
        <w:t>P</w:t>
      </w:r>
      <w:r w:rsidR="00B428C7">
        <w:rPr>
          <w:lang w:val="en-US"/>
        </w:rPr>
        <w:t xml:space="preserve"> &lt; 0.0001)</w:t>
      </w:r>
      <w:r w:rsidRPr="00CD1226">
        <w:rPr>
          <w:lang w:val="en-US"/>
        </w:rPr>
        <w:t>.</w:t>
      </w:r>
      <w:commentRangeEnd w:id="1"/>
      <w:r w:rsidR="00A8520B">
        <w:rPr>
          <w:rStyle w:val="CommentReference"/>
        </w:rPr>
        <w:commentReference w:id="1"/>
      </w:r>
    </w:p>
    <w:p w14:paraId="546B0D89" w14:textId="576476E4" w:rsidR="00A8520B" w:rsidRDefault="00A8520B" w:rsidP="00A8520B">
      <w:pPr>
        <w:jc w:val="center"/>
        <w:rPr>
          <w:lang w:val="en-US"/>
        </w:rPr>
      </w:pPr>
      <w:r w:rsidRPr="00954977">
        <w:rPr>
          <w:noProof/>
        </w:rPr>
        <w:drawing>
          <wp:inline distT="0" distB="0" distL="0" distR="0" wp14:anchorId="4431E717" wp14:editId="497B242A">
            <wp:extent cx="3166044" cy="1915551"/>
            <wp:effectExtent l="0" t="0" r="0" b="8890"/>
            <wp:docPr id="195456019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60197" name="Picture 1" descr="A screenshot of a graph&#10;&#10;Description automatically generated"/>
                    <pic:cNvPicPr/>
                  </pic:nvPicPr>
                  <pic:blipFill>
                    <a:blip r:embed="rId15"/>
                    <a:stretch>
                      <a:fillRect/>
                    </a:stretch>
                  </pic:blipFill>
                  <pic:spPr>
                    <a:xfrm>
                      <a:off x="0" y="0"/>
                      <a:ext cx="3183023" cy="1925824"/>
                    </a:xfrm>
                    <a:prstGeom prst="rect">
                      <a:avLst/>
                    </a:prstGeom>
                  </pic:spPr>
                </pic:pic>
              </a:graphicData>
            </a:graphic>
          </wp:inline>
        </w:drawing>
      </w:r>
    </w:p>
    <w:p w14:paraId="21C52152" w14:textId="7A0338D6" w:rsidR="00A8520B" w:rsidRPr="00A8520B" w:rsidRDefault="00A8520B" w:rsidP="00A8520B">
      <w:pPr>
        <w:pStyle w:val="Caption"/>
        <w:jc w:val="center"/>
        <w:rPr>
          <w:rFonts w:ascii="Garamond" w:hAnsi="Garamond"/>
          <w:lang w:val="cs-CZ"/>
        </w:rPr>
      </w:pPr>
      <w:r w:rsidRPr="00A8520B">
        <w:rPr>
          <w:rFonts w:ascii="Garamond" w:hAnsi="Garamond"/>
          <w:b/>
          <w:bCs/>
        </w:rPr>
        <w:t>Figure 2.</w:t>
      </w:r>
      <w:r w:rsidRPr="00A8520B">
        <w:rPr>
          <w:rFonts w:ascii="Garamond" w:hAnsi="Garamond"/>
        </w:rPr>
        <w:t xml:space="preserve"> </w:t>
      </w:r>
      <w:r>
        <w:rPr>
          <w:rFonts w:ascii="Garamond" w:hAnsi="Garamond"/>
          <w:lang w:val="en-GB"/>
        </w:rPr>
        <w:t xml:space="preserve">Pollen limitation (PL) </w:t>
      </w:r>
      <w:r w:rsidRPr="00A8520B">
        <w:rPr>
          <w:rFonts w:ascii="Garamond" w:hAnsi="Garamond"/>
          <w:lang w:val="en-GB"/>
        </w:rPr>
        <w:t xml:space="preserve">index values for seven experimental plant species across four elevations. Each subplot represents a different species, with </w:t>
      </w:r>
      <w:r>
        <w:rPr>
          <w:rFonts w:ascii="Garamond" w:hAnsi="Garamond"/>
          <w:lang w:val="en-GB"/>
        </w:rPr>
        <w:t xml:space="preserve">PL </w:t>
      </w:r>
      <w:r w:rsidRPr="00A8520B">
        <w:rPr>
          <w:rFonts w:ascii="Garamond" w:hAnsi="Garamond"/>
          <w:lang w:val="en-GB"/>
        </w:rPr>
        <w:t>index data shown for the elevations where the species was studied. The number of observations per elevation (n) is indicated above each violin plot.</w:t>
      </w:r>
    </w:p>
    <w:p w14:paraId="4A277D9D" w14:textId="115537BD" w:rsidR="00CD1226" w:rsidRPr="00B428C7" w:rsidRDefault="00CD1226" w:rsidP="00CD1226">
      <w:pPr>
        <w:rPr>
          <w:lang w:val="en-US"/>
        </w:rPr>
      </w:pPr>
      <w:r w:rsidRPr="00CD1226">
        <w:rPr>
          <w:lang w:val="en-US"/>
        </w:rPr>
        <w:t>Autogamy was borderline significantly lower in elevation 4000 (</w:t>
      </w:r>
      <w:r w:rsidR="00B428C7">
        <w:rPr>
          <w:i/>
          <w:iCs/>
          <w:lang w:val="en-US"/>
        </w:rPr>
        <w:t>P</w:t>
      </w:r>
      <w:r w:rsidRPr="00CD1226">
        <w:rPr>
          <w:lang w:val="en-US"/>
        </w:rPr>
        <w:t xml:space="preserve"> = 0.0</w:t>
      </w:r>
      <w:r w:rsidR="00B428C7">
        <w:rPr>
          <w:lang w:val="en-US"/>
        </w:rPr>
        <w:t>5861</w:t>
      </w:r>
      <w:r w:rsidRPr="00CD1226">
        <w:rPr>
          <w:lang w:val="en-US"/>
        </w:rPr>
        <w:t>) that the intercept (elevation 2300), so there is a possibility that the highest elevation produced less seeds when plant were left to self pollinate than the lower elevation.</w:t>
      </w:r>
      <w:r w:rsidR="00B428C7">
        <w:rPr>
          <w:lang w:val="en-US"/>
        </w:rPr>
        <w:t xml:space="preserve"> The zero inflation model shows that elevation 4000 was most probable to produce zero’s (</w:t>
      </w:r>
      <w:r w:rsidR="00B428C7">
        <w:rPr>
          <w:i/>
          <w:iCs/>
          <w:lang w:val="en-US"/>
        </w:rPr>
        <w:t xml:space="preserve">P = </w:t>
      </w:r>
      <w:r w:rsidR="00B428C7">
        <w:rPr>
          <w:lang w:val="en-US"/>
        </w:rPr>
        <w:t>0.00186)</w:t>
      </w:r>
    </w:p>
    <w:p w14:paraId="1E06F1AF" w14:textId="11918035" w:rsidR="00CD1226" w:rsidRDefault="00CD1226" w:rsidP="00CD1226">
      <w:pPr>
        <w:rPr>
          <w:lang w:val="en-US"/>
        </w:rPr>
      </w:pPr>
      <w:r w:rsidRPr="00CD1226">
        <w:rPr>
          <w:lang w:val="en-US"/>
        </w:rPr>
        <w:lastRenderedPageBreak/>
        <w:t>A</w:t>
      </w:r>
      <w:r w:rsidR="00B428C7">
        <w:rPr>
          <w:lang w:val="en-US"/>
        </w:rPr>
        <w:t>n</w:t>
      </w:r>
      <w:r w:rsidRPr="00CD1226">
        <w:rPr>
          <w:lang w:val="en-US"/>
        </w:rPr>
        <w:t xml:space="preserve"> opposite trend was observed in geitonogamy, where plants were observed to produce more seeds through geitonogamy in elevation 4000 when compared with elevation 2300 (p = 0.159), however we did have geitonogamy treatment from only two species in 4000 (Senecio purpureus and Crepis hypochoeridea) and so these results must be interpreted carefully.</w:t>
      </w:r>
    </w:p>
    <w:p w14:paraId="4B097375" w14:textId="77777777" w:rsidR="00C91BA3" w:rsidRDefault="00C91BA3" w:rsidP="00CD1226">
      <w:pPr>
        <w:rPr>
          <w:lang w:val="en-US"/>
        </w:rPr>
      </w:pPr>
    </w:p>
    <w:p w14:paraId="16672750" w14:textId="70982E60" w:rsidR="00C91BA3" w:rsidRDefault="00C91BA3" w:rsidP="00CD1226">
      <w:pPr>
        <w:rPr>
          <w:lang w:val="en-US"/>
        </w:rPr>
      </w:pPr>
      <w:r>
        <w:rPr>
          <w:lang w:val="en-US"/>
        </w:rPr>
        <w:t>For the graphs, Sail</w:t>
      </w:r>
      <w:r w:rsidR="00A469F5">
        <w:rPr>
          <w:lang w:val="en-US"/>
        </w:rPr>
        <w:t>le</w:t>
      </w:r>
      <w:r>
        <w:rPr>
          <w:lang w:val="en-US"/>
        </w:rPr>
        <w:t>e’s suggestions:</w:t>
      </w:r>
    </w:p>
    <w:p w14:paraId="127D4D72" w14:textId="4686C803" w:rsidR="00C91BA3" w:rsidRDefault="00C91BA3" w:rsidP="00C91BA3">
      <w:pPr>
        <w:pStyle w:val="ListParagraph"/>
        <w:numPr>
          <w:ilvl w:val="0"/>
          <w:numId w:val="1"/>
        </w:numPr>
        <w:rPr>
          <w:lang w:val="en-US"/>
        </w:rPr>
      </w:pPr>
      <w:r>
        <w:rPr>
          <w:lang w:val="en-US"/>
        </w:rPr>
        <w:t>Pictures of species in individual graphs</w:t>
      </w:r>
    </w:p>
    <w:p w14:paraId="4C6FBD94" w14:textId="6F90AA5B" w:rsidR="00C91BA3" w:rsidRDefault="00C91BA3" w:rsidP="00C91BA3">
      <w:pPr>
        <w:pStyle w:val="ListParagraph"/>
        <w:numPr>
          <w:ilvl w:val="0"/>
          <w:numId w:val="1"/>
        </w:numPr>
        <w:rPr>
          <w:lang w:val="en-US"/>
        </w:rPr>
      </w:pPr>
      <w:r>
        <w:rPr>
          <w:lang w:val="en-US"/>
        </w:rPr>
        <w:t>When possible, add overall graph (it will not be possible only for the control index, since the variations in seeds produced are huge)</w:t>
      </w:r>
    </w:p>
    <w:p w14:paraId="5420A87A" w14:textId="374A1EDE" w:rsidR="00C91BA3" w:rsidRDefault="00C91BA3" w:rsidP="00C91BA3">
      <w:pPr>
        <w:pStyle w:val="ListParagraph"/>
        <w:numPr>
          <w:ilvl w:val="0"/>
          <w:numId w:val="1"/>
        </w:numPr>
        <w:rPr>
          <w:lang w:val="en-US"/>
        </w:rPr>
      </w:pPr>
      <w:r>
        <w:rPr>
          <w:lang w:val="en-US"/>
        </w:rPr>
        <w:t>Play around with the median. Violin plots are ok, maybe try just a dot for the median without an overlaying boxplot?</w:t>
      </w:r>
    </w:p>
    <w:p w14:paraId="3EE3DCD1" w14:textId="4F121A3A" w:rsidR="00C91BA3" w:rsidRDefault="00C91BA3" w:rsidP="00C91BA3">
      <w:pPr>
        <w:pStyle w:val="ListParagraph"/>
        <w:numPr>
          <w:ilvl w:val="0"/>
          <w:numId w:val="1"/>
        </w:numPr>
        <w:rPr>
          <w:lang w:val="en-US"/>
        </w:rPr>
      </w:pPr>
      <w:r>
        <w:rPr>
          <w:lang w:val="en-US"/>
        </w:rPr>
        <w:t>Lighter colors</w:t>
      </w:r>
    </w:p>
    <w:p w14:paraId="4A6EAD55" w14:textId="06EA75E7" w:rsidR="00C91BA3" w:rsidRDefault="00C91BA3" w:rsidP="00C91BA3">
      <w:pPr>
        <w:pStyle w:val="ListParagraph"/>
        <w:numPr>
          <w:ilvl w:val="0"/>
          <w:numId w:val="1"/>
        </w:numPr>
        <w:rPr>
          <w:lang w:val="en-US"/>
        </w:rPr>
      </w:pPr>
      <w:r>
        <w:rPr>
          <w:lang w:val="en-US"/>
        </w:rPr>
        <w:t>Inkscapped</w:t>
      </w:r>
    </w:p>
    <w:p w14:paraId="42BAE4DC" w14:textId="5C8686BE" w:rsidR="001D29A9" w:rsidRPr="00C91BA3" w:rsidRDefault="001D29A9" w:rsidP="00C91BA3">
      <w:pPr>
        <w:pStyle w:val="ListParagraph"/>
        <w:numPr>
          <w:ilvl w:val="0"/>
          <w:numId w:val="1"/>
        </w:numPr>
        <w:rPr>
          <w:lang w:val="en-US"/>
        </w:rPr>
      </w:pPr>
      <w:r w:rsidRPr="001D29A9">
        <w:rPr>
          <w:noProof/>
          <w:lang w:val="en-US"/>
        </w:rPr>
        <w:drawing>
          <wp:inline distT="0" distB="0" distL="0" distR="0" wp14:anchorId="2FEC117F" wp14:editId="3CD213F9">
            <wp:extent cx="1579217" cy="1311965"/>
            <wp:effectExtent l="0" t="0" r="2540" b="2540"/>
            <wp:docPr id="1092382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2182" name="Picture 1" descr="A screenshot of a computer&#10;&#10;AI-generated content may be incorrect."/>
                    <pic:cNvPicPr/>
                  </pic:nvPicPr>
                  <pic:blipFill>
                    <a:blip r:embed="rId16"/>
                    <a:stretch>
                      <a:fillRect/>
                    </a:stretch>
                  </pic:blipFill>
                  <pic:spPr>
                    <a:xfrm>
                      <a:off x="0" y="0"/>
                      <a:ext cx="1582360" cy="1314576"/>
                    </a:xfrm>
                    <a:prstGeom prst="rect">
                      <a:avLst/>
                    </a:prstGeom>
                  </pic:spPr>
                </pic:pic>
              </a:graphicData>
            </a:graphic>
          </wp:inline>
        </w:drawing>
      </w:r>
    </w:p>
    <w:p w14:paraId="78AACEB7" w14:textId="045389AF" w:rsidR="00CD1226" w:rsidRPr="00310D43" w:rsidRDefault="00CD1226" w:rsidP="00CD1226">
      <w:pPr>
        <w:pStyle w:val="Heading1"/>
        <w:rPr>
          <w:rFonts w:ascii="Garamond" w:hAnsi="Garamond"/>
          <w:lang w:val="en-US"/>
        </w:rPr>
      </w:pPr>
      <w:r w:rsidRPr="00310D43">
        <w:rPr>
          <w:rFonts w:ascii="Garamond" w:hAnsi="Garamond"/>
          <w:lang w:val="en-US"/>
        </w:rPr>
        <w:t>Discussion</w:t>
      </w:r>
    </w:p>
    <w:p w14:paraId="556C212B" w14:textId="2BF1EBD6" w:rsidR="00CB3108" w:rsidRPr="00310D43" w:rsidRDefault="00CB3108" w:rsidP="00CB3108">
      <w:pPr>
        <w:pStyle w:val="Heading1"/>
        <w:rPr>
          <w:rFonts w:ascii="Garamond" w:hAnsi="Garamond"/>
          <w:lang w:val="en-US"/>
        </w:rPr>
      </w:pPr>
      <w:r w:rsidRPr="00310D43">
        <w:rPr>
          <w:rFonts w:ascii="Garamond" w:hAnsi="Garamond"/>
          <w:lang w:val="en-US"/>
        </w:rPr>
        <w:t>Conclusion</w:t>
      </w:r>
    </w:p>
    <w:p w14:paraId="0DCD8C46" w14:textId="11ED2945" w:rsidR="00CD1226" w:rsidRDefault="00CD1226">
      <w:pPr>
        <w:pStyle w:val="Heading1"/>
        <w:rPr>
          <w:rFonts w:ascii="Garamond" w:hAnsi="Garamond"/>
          <w:lang w:val="en-US"/>
        </w:rPr>
      </w:pPr>
      <w:r>
        <w:rPr>
          <w:rFonts w:ascii="Garamond" w:hAnsi="Garamond"/>
          <w:lang w:val="en-US"/>
        </w:rPr>
        <w:t>References</w:t>
      </w:r>
    </w:p>
    <w:p w14:paraId="42BB74B2" w14:textId="77777777" w:rsidR="0078479E" w:rsidRPr="0078479E" w:rsidRDefault="00E530B8" w:rsidP="0078479E">
      <w:pPr>
        <w:pStyle w:val="Bibliography"/>
      </w:pPr>
      <w:r>
        <w:rPr>
          <w:lang w:val="en-US"/>
        </w:rPr>
        <w:fldChar w:fldCharType="begin"/>
      </w:r>
      <w:r w:rsidR="00E9306C">
        <w:rPr>
          <w:lang w:val="en-US"/>
        </w:rPr>
        <w:instrText xml:space="preserve"> ADDIN ZOTERO_BIBL {"uncited":[],"omitted":[],"custom":[]} CSL_BIBLIOGRAPHY </w:instrText>
      </w:r>
      <w:r>
        <w:rPr>
          <w:lang w:val="en-US"/>
        </w:rPr>
        <w:fldChar w:fldCharType="separate"/>
      </w:r>
      <w:r w:rsidR="0078479E" w:rsidRPr="0078479E">
        <w:t>Arroyo, M.T.K., Armesto, J.J., Primack, R.B., 1985. Community studies in pollination ecology in the high temperate Andes of central Chile II. effect of temperature on visitation rates and pollination possibilities. Plant Syst. Evol. 149, 187–203. https://doi.org/10.1007/BF00983305</w:t>
      </w:r>
    </w:p>
    <w:p w14:paraId="2C78A436" w14:textId="77777777" w:rsidR="0078479E" w:rsidRPr="0078479E" w:rsidRDefault="0078479E" w:rsidP="0078479E">
      <w:pPr>
        <w:pStyle w:val="Bibliography"/>
      </w:pPr>
      <w:r w:rsidRPr="0078479E">
        <w:t>Barrett, S.C.H., Arunkumar, R., Wright, S.I., 2014. The demography and population genomics of evolutionary transitions to self-fertilization in plants. Philos. Trans. R. Soc. B Biol. Sci. 369. https://doi.org/10.1098/rstb.2013.0344</w:t>
      </w:r>
    </w:p>
    <w:p w14:paraId="2B407366" w14:textId="77777777" w:rsidR="0078479E" w:rsidRPr="0078479E" w:rsidRDefault="0078479E" w:rsidP="0078479E">
      <w:pPr>
        <w:pStyle w:val="Bibliography"/>
      </w:pPr>
      <w:r w:rsidRPr="0078479E">
        <w:t>Etcheverry, A.V., Alemán, M.M., Fleming, T.F., 2008. Flower morphology, pollination biology and mating system of the complex flower of Vigna caracalla (Fabaceae: Papilionoideae). Ann. Bot. 102, 305–316. https://doi.org/10.1093/aob/mcn106</w:t>
      </w:r>
    </w:p>
    <w:p w14:paraId="6297EA57" w14:textId="77777777" w:rsidR="0078479E" w:rsidRPr="0078479E" w:rsidRDefault="0078479E" w:rsidP="0078479E">
      <w:pPr>
        <w:pStyle w:val="Bibliography"/>
      </w:pPr>
      <w:r w:rsidRPr="0078479E">
        <w:t>Ferrer, M.M., Good-Avila, S.V., 2007. Macrophylogenetic analyses of the gain and loss of self-incompatibility in the Asteraceae. New Phytol. 173, 401–414. https://doi.org/10.1111/j.1469-8137.2006.01905.x</w:t>
      </w:r>
    </w:p>
    <w:p w14:paraId="79060716" w14:textId="77777777" w:rsidR="0078479E" w:rsidRPr="0078479E" w:rsidRDefault="0078479E" w:rsidP="0078479E">
      <w:pPr>
        <w:pStyle w:val="Bibliography"/>
      </w:pPr>
      <w:r w:rsidRPr="0078479E">
        <w:t>Gugerli, F., 1998. Effect of elevation on sexual reproduction in alpine populations of Saxifraga oppositifolia (Saxifragaceae). Oecologia 114, 60–66. https://doi.org/10.1007/s004420050420</w:t>
      </w:r>
    </w:p>
    <w:p w14:paraId="774ABE04" w14:textId="77777777" w:rsidR="0078479E" w:rsidRPr="0078479E" w:rsidRDefault="0078479E" w:rsidP="0078479E">
      <w:pPr>
        <w:pStyle w:val="Bibliography"/>
      </w:pPr>
      <w:r w:rsidRPr="0078479E">
        <w:t>Knight, T.M., Steets, J.A., Vamosi, J.C., Mazer, S.J., Burd, M., Campbell, D.R., Dudash, M.R., Johnston, M.O., Mitchell, R.J., Ashman, T.L., 2005. Pollen limitation of plant reproduction: Pattern and process. Annu. Rev. Ecol. Evol. Syst. 36, 467–497. https://doi.org/10.1146/annurev.ecolsys.36.102403.115320</w:t>
      </w:r>
    </w:p>
    <w:p w14:paraId="0968965E" w14:textId="77777777" w:rsidR="0078479E" w:rsidRPr="0078479E" w:rsidRDefault="0078479E" w:rsidP="0078479E">
      <w:pPr>
        <w:pStyle w:val="Bibliography"/>
      </w:pPr>
      <w:r w:rsidRPr="0078479E">
        <w:t>Ollerton, J., Winfree, R., Tarrant, S., 2011. How many flowering plants are pollinated by animals? Oikos 120, 321–326. https://doi.org/10.1111/j.1600-0706.2010.18644.x</w:t>
      </w:r>
    </w:p>
    <w:p w14:paraId="0C5D51D1" w14:textId="77777777" w:rsidR="0078479E" w:rsidRPr="0078479E" w:rsidRDefault="0078479E" w:rsidP="0078479E">
      <w:pPr>
        <w:pStyle w:val="Bibliography"/>
      </w:pPr>
      <w:r w:rsidRPr="0078479E">
        <w:lastRenderedPageBreak/>
        <w:t>Schemske, D.W., Lande, R., 1985. The evolution of self-fertilization and inbreeding depression in plants. II. Empirical observations. Evolution 39, 41–52. https://doi.org/10.1111/j.1558-5646.1985.tb04078.x</w:t>
      </w:r>
    </w:p>
    <w:p w14:paraId="73188535" w14:textId="77777777" w:rsidR="0078479E" w:rsidRPr="0078479E" w:rsidRDefault="0078479E" w:rsidP="0078479E">
      <w:pPr>
        <w:pStyle w:val="Bibliography"/>
      </w:pPr>
      <w:r w:rsidRPr="0078479E">
        <w:t>Seguí, J., Lázaro, A., Traveset, A., Salgado-Luarte, C., Gianoli, E., 2018. Phenotypic and reproductive responses of an Andean violet to environmental variation across an elevational gradient. Alp. Bot. 128, 59–69. https://doi.org/10.1007/s00035-017-0195-9</w:t>
      </w:r>
    </w:p>
    <w:p w14:paraId="0EBB2AA2" w14:textId="77777777" w:rsidR="0078479E" w:rsidRPr="0078479E" w:rsidRDefault="0078479E" w:rsidP="0078479E">
      <w:pPr>
        <w:pStyle w:val="Bibliography"/>
      </w:pPr>
      <w:r w:rsidRPr="0078479E">
        <w:t>Takebayashi, N., Morrell, P.L., 2001. Is self-fertilization an evolutionary dead end? Revisiting an old hypothesis with genetic theories and a macroevolutionary approach. Am. J. Bot. 88, 1143–1150. https://doi.org/10.2307/3558325</w:t>
      </w:r>
    </w:p>
    <w:p w14:paraId="3D5F3D60" w14:textId="77777777" w:rsidR="0078479E" w:rsidRPr="0078479E" w:rsidRDefault="0078479E" w:rsidP="0078479E">
      <w:pPr>
        <w:pStyle w:val="Bibliography"/>
      </w:pPr>
      <w:r w:rsidRPr="0078479E">
        <w:t>Torres-Díaz, C., Gómez-González, S., Stotz, G.C., Torres-Morales, P., Paredes, B., Pérez-Millaqueo, M., Gianoli, E., 2011. Extremely long-lived stigmas allow extended cross-pollination opportunities in a high andean plant. PLoS ONE 6, 1–8. https://doi.org/10.1371/journal.pone.0019497</w:t>
      </w:r>
    </w:p>
    <w:p w14:paraId="09C27261" w14:textId="77777777" w:rsidR="0078479E" w:rsidRPr="0078479E" w:rsidRDefault="0078479E" w:rsidP="0078479E">
      <w:pPr>
        <w:pStyle w:val="Bibliography"/>
      </w:pPr>
      <w:r w:rsidRPr="0078479E">
        <w:t>Totland, Ø., 1997. Effects of flowering time and temperature on growth and reproduction in Leontodon autumnalis var. taraxaci, a late-flowering alpine plant. Arct. Alp. Res. 29, 285–290. https://doi.org/10.2307/1552142</w:t>
      </w:r>
    </w:p>
    <w:p w14:paraId="03AAB94D" w14:textId="77777777" w:rsidR="0078479E" w:rsidRPr="0078479E" w:rsidRDefault="0078479E" w:rsidP="0078479E">
      <w:pPr>
        <w:pStyle w:val="Bibliography"/>
      </w:pPr>
      <w:r w:rsidRPr="0078479E">
        <w:t>Wirth, L.R., Graf, R., Gugerli, F., Landergott, U., Holderegger, R., 2010. Lower selfing rate at higher altitudes in the alpine plant Eritrichium nanum (Boraginaceae). Am. J. Bot. 97, 899–901. https://doi.org/10.3732/ajb.0900297</w:t>
      </w:r>
    </w:p>
    <w:p w14:paraId="47936C14" w14:textId="77777777" w:rsidR="0078479E" w:rsidRPr="0078479E" w:rsidRDefault="0078479E" w:rsidP="0078479E">
      <w:pPr>
        <w:pStyle w:val="Bibliography"/>
      </w:pPr>
      <w:r w:rsidRPr="0078479E">
        <w:t>Wright, S.I., Kalisz, S., Slotte, T., 2013. Evolutionary consequences of self-fertilization in plants. Proc. R. Soc. B Biol. Sci. 280. https://doi.org/10.1098/rspb.2013.0133</w:t>
      </w:r>
    </w:p>
    <w:p w14:paraId="2F6304F2" w14:textId="69842775" w:rsidR="00E530B8" w:rsidRPr="00E530B8" w:rsidRDefault="00E530B8" w:rsidP="00E530B8">
      <w:pPr>
        <w:rPr>
          <w:lang w:val="en-US"/>
        </w:rPr>
      </w:pPr>
      <w:r>
        <w:rPr>
          <w:lang w:val="en-US"/>
        </w:rPr>
        <w:fldChar w:fldCharType="end"/>
      </w:r>
    </w:p>
    <w:sectPr w:rsidR="00E530B8" w:rsidRPr="00E530B8" w:rsidSect="008F269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minik Anýž" w:date="2025-02-24T11:19:00Z" w:initials="DA">
    <w:p w14:paraId="315D1F4D" w14:textId="77777777" w:rsidR="0043278E" w:rsidRDefault="0043278E" w:rsidP="0043278E">
      <w:pPr>
        <w:pStyle w:val="CommentText"/>
      </w:pPr>
      <w:r>
        <w:rPr>
          <w:rStyle w:val="CommentReference"/>
        </w:rPr>
        <w:annotationRef/>
      </w:r>
      <w:r>
        <w:rPr>
          <w:lang w:val="en-US"/>
        </w:rPr>
        <w:t>Rephrase? Difference between selfing and self-compatibility</w:t>
      </w:r>
    </w:p>
  </w:comment>
  <w:comment w:id="1" w:author="Dominik Anýž" w:date="2025-02-24T12:20:00Z" w:initials="DA">
    <w:p w14:paraId="4661DFA5" w14:textId="77777777" w:rsidR="00A8520B" w:rsidRDefault="00A8520B" w:rsidP="00A8520B">
      <w:pPr>
        <w:pStyle w:val="CommentText"/>
      </w:pPr>
      <w:r>
        <w:rPr>
          <w:rStyle w:val="CommentReference"/>
        </w:rPr>
        <w:annotationRef/>
      </w:r>
      <w:r>
        <w:rPr>
          <w:lang w:val="en-US"/>
        </w:rPr>
        <w:t>Make a PL overall graph as the first or last 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1F4D" w15:done="0"/>
  <w15:commentEx w15:paraId="4661DF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FBFF31" w16cex:dateUtc="2025-02-24T10:19:00Z"/>
  <w16cex:commentExtensible w16cex:durableId="783ACF2A" w16cex:dateUtc="2025-02-24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1F4D" w16cid:durableId="11FBFF31"/>
  <w16cid:commentId w16cid:paraId="4661DFA5" w16cid:durableId="783ACF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C2C0" w14:textId="77777777" w:rsidR="00B31A56" w:rsidRDefault="00B31A56" w:rsidP="00E530B8">
      <w:pPr>
        <w:spacing w:after="0" w:line="240" w:lineRule="auto"/>
      </w:pPr>
      <w:r>
        <w:separator/>
      </w:r>
    </w:p>
  </w:endnote>
  <w:endnote w:type="continuationSeparator" w:id="0">
    <w:p w14:paraId="3FBB7A05" w14:textId="77777777" w:rsidR="00B31A56" w:rsidRDefault="00B31A56" w:rsidP="00E5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8E82" w14:textId="77777777" w:rsidR="00B31A56" w:rsidRDefault="00B31A56" w:rsidP="00E530B8">
      <w:pPr>
        <w:spacing w:after="0" w:line="240" w:lineRule="auto"/>
      </w:pPr>
      <w:r>
        <w:separator/>
      </w:r>
    </w:p>
  </w:footnote>
  <w:footnote w:type="continuationSeparator" w:id="0">
    <w:p w14:paraId="02BFF3A1" w14:textId="77777777" w:rsidR="00B31A56" w:rsidRDefault="00B31A56" w:rsidP="00E53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D56AC"/>
    <w:multiLevelType w:val="multilevel"/>
    <w:tmpl w:val="8ABC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7D73B3"/>
    <w:multiLevelType w:val="hybridMultilevel"/>
    <w:tmpl w:val="FE00F6C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562AF7"/>
    <w:multiLevelType w:val="hybridMultilevel"/>
    <w:tmpl w:val="E3A4B6F0"/>
    <w:lvl w:ilvl="0" w:tplc="060A2F5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7F34FA"/>
    <w:multiLevelType w:val="hybridMultilevel"/>
    <w:tmpl w:val="DF7E7D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4584364">
    <w:abstractNumId w:val="2"/>
  </w:num>
  <w:num w:numId="2" w16cid:durableId="646667032">
    <w:abstractNumId w:val="1"/>
  </w:num>
  <w:num w:numId="3" w16cid:durableId="365102349">
    <w:abstractNumId w:val="3"/>
  </w:num>
  <w:num w:numId="4" w16cid:durableId="12917393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inik Anýž">
    <w15:presenceInfo w15:providerId="Windows Live" w15:userId="58c91934590a9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EFC"/>
    <w:rsid w:val="00011AE9"/>
    <w:rsid w:val="000179B1"/>
    <w:rsid w:val="00053D1B"/>
    <w:rsid w:val="000B4613"/>
    <w:rsid w:val="000F706A"/>
    <w:rsid w:val="00102498"/>
    <w:rsid w:val="00123DD3"/>
    <w:rsid w:val="0015169A"/>
    <w:rsid w:val="00164488"/>
    <w:rsid w:val="001A0636"/>
    <w:rsid w:val="001B033D"/>
    <w:rsid w:val="001D29A9"/>
    <w:rsid w:val="001D4746"/>
    <w:rsid w:val="001D5460"/>
    <w:rsid w:val="00203FC9"/>
    <w:rsid w:val="002155B0"/>
    <w:rsid w:val="00236431"/>
    <w:rsid w:val="00242F54"/>
    <w:rsid w:val="002430C7"/>
    <w:rsid w:val="00243BAB"/>
    <w:rsid w:val="00261A80"/>
    <w:rsid w:val="00290DB4"/>
    <w:rsid w:val="002C4B46"/>
    <w:rsid w:val="002D0B13"/>
    <w:rsid w:val="00306725"/>
    <w:rsid w:val="00310D43"/>
    <w:rsid w:val="003615D7"/>
    <w:rsid w:val="00385BA3"/>
    <w:rsid w:val="003D171F"/>
    <w:rsid w:val="003D1FDF"/>
    <w:rsid w:val="003E36FD"/>
    <w:rsid w:val="0043278E"/>
    <w:rsid w:val="00467EFC"/>
    <w:rsid w:val="00471ECE"/>
    <w:rsid w:val="00477ED1"/>
    <w:rsid w:val="0048016E"/>
    <w:rsid w:val="00485C8D"/>
    <w:rsid w:val="004868FD"/>
    <w:rsid w:val="004D14CD"/>
    <w:rsid w:val="004D66DD"/>
    <w:rsid w:val="00503508"/>
    <w:rsid w:val="00587E28"/>
    <w:rsid w:val="005B01D4"/>
    <w:rsid w:val="005B7668"/>
    <w:rsid w:val="005F5CF7"/>
    <w:rsid w:val="00602032"/>
    <w:rsid w:val="00606B2F"/>
    <w:rsid w:val="006169B0"/>
    <w:rsid w:val="00622E6D"/>
    <w:rsid w:val="00637BFF"/>
    <w:rsid w:val="00641656"/>
    <w:rsid w:val="00681273"/>
    <w:rsid w:val="00693714"/>
    <w:rsid w:val="006B3183"/>
    <w:rsid w:val="006D418D"/>
    <w:rsid w:val="006D5F4D"/>
    <w:rsid w:val="00712871"/>
    <w:rsid w:val="00753CBF"/>
    <w:rsid w:val="00783E22"/>
    <w:rsid w:val="0078479E"/>
    <w:rsid w:val="007A0AC6"/>
    <w:rsid w:val="007E372F"/>
    <w:rsid w:val="008A6E56"/>
    <w:rsid w:val="008D4285"/>
    <w:rsid w:val="008E3FF8"/>
    <w:rsid w:val="008E7F64"/>
    <w:rsid w:val="008F2697"/>
    <w:rsid w:val="0091100F"/>
    <w:rsid w:val="00913FCF"/>
    <w:rsid w:val="00965A5F"/>
    <w:rsid w:val="00983A5F"/>
    <w:rsid w:val="009B4EB4"/>
    <w:rsid w:val="009C644B"/>
    <w:rsid w:val="00A2171A"/>
    <w:rsid w:val="00A2683B"/>
    <w:rsid w:val="00A469F5"/>
    <w:rsid w:val="00A559AE"/>
    <w:rsid w:val="00A64422"/>
    <w:rsid w:val="00A65CE6"/>
    <w:rsid w:val="00A67953"/>
    <w:rsid w:val="00A764A8"/>
    <w:rsid w:val="00A8023B"/>
    <w:rsid w:val="00A8520B"/>
    <w:rsid w:val="00AA16DE"/>
    <w:rsid w:val="00AD5CDF"/>
    <w:rsid w:val="00AE57A9"/>
    <w:rsid w:val="00B31683"/>
    <w:rsid w:val="00B31A56"/>
    <w:rsid w:val="00B428C7"/>
    <w:rsid w:val="00B93E4B"/>
    <w:rsid w:val="00BA2373"/>
    <w:rsid w:val="00BA2C4B"/>
    <w:rsid w:val="00BA364D"/>
    <w:rsid w:val="00BB02CD"/>
    <w:rsid w:val="00C26A55"/>
    <w:rsid w:val="00C33445"/>
    <w:rsid w:val="00C43560"/>
    <w:rsid w:val="00C91BA3"/>
    <w:rsid w:val="00CB3108"/>
    <w:rsid w:val="00CB6316"/>
    <w:rsid w:val="00CB6ACE"/>
    <w:rsid w:val="00CC1B6F"/>
    <w:rsid w:val="00CD1226"/>
    <w:rsid w:val="00D04CB1"/>
    <w:rsid w:val="00D06C12"/>
    <w:rsid w:val="00D219A1"/>
    <w:rsid w:val="00D43A9A"/>
    <w:rsid w:val="00DD0B35"/>
    <w:rsid w:val="00DE1074"/>
    <w:rsid w:val="00E3720B"/>
    <w:rsid w:val="00E434EB"/>
    <w:rsid w:val="00E530B8"/>
    <w:rsid w:val="00E6319A"/>
    <w:rsid w:val="00E9306C"/>
    <w:rsid w:val="00EC0500"/>
    <w:rsid w:val="00EC1EBC"/>
    <w:rsid w:val="00F15EE4"/>
    <w:rsid w:val="00F558B6"/>
    <w:rsid w:val="00F71BF0"/>
    <w:rsid w:val="00FC11F1"/>
    <w:rsid w:val="00FD2C9E"/>
    <w:rsid w:val="00FE0E89"/>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D2D8"/>
  <w15:chartTrackingRefBased/>
  <w15:docId w15:val="{2569ABFA-B931-4A95-AFDB-281DEB74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D43"/>
    <w:rPr>
      <w:rFonts w:ascii="Garamond" w:hAnsi="Garamond"/>
    </w:rPr>
  </w:style>
  <w:style w:type="paragraph" w:styleId="Heading1">
    <w:name w:val="heading 1"/>
    <w:basedOn w:val="Normal"/>
    <w:next w:val="Normal"/>
    <w:link w:val="Heading1Char"/>
    <w:uiPriority w:val="9"/>
    <w:qFormat/>
    <w:rsid w:val="0046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7E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E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E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E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7E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7E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E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E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EFC"/>
    <w:rPr>
      <w:rFonts w:eastAsiaTheme="majorEastAsia" w:cstheme="majorBidi"/>
      <w:color w:val="272727" w:themeColor="text1" w:themeTint="D8"/>
    </w:rPr>
  </w:style>
  <w:style w:type="paragraph" w:styleId="Title">
    <w:name w:val="Title"/>
    <w:basedOn w:val="Normal"/>
    <w:next w:val="Normal"/>
    <w:link w:val="TitleChar"/>
    <w:uiPriority w:val="10"/>
    <w:qFormat/>
    <w:rsid w:val="0046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EFC"/>
    <w:pPr>
      <w:spacing w:before="160"/>
      <w:jc w:val="center"/>
    </w:pPr>
    <w:rPr>
      <w:i/>
      <w:iCs/>
      <w:color w:val="404040" w:themeColor="text1" w:themeTint="BF"/>
    </w:rPr>
  </w:style>
  <w:style w:type="character" w:customStyle="1" w:styleId="QuoteChar">
    <w:name w:val="Quote Char"/>
    <w:basedOn w:val="DefaultParagraphFont"/>
    <w:link w:val="Quote"/>
    <w:uiPriority w:val="29"/>
    <w:rsid w:val="00467EFC"/>
    <w:rPr>
      <w:i/>
      <w:iCs/>
      <w:color w:val="404040" w:themeColor="text1" w:themeTint="BF"/>
    </w:rPr>
  </w:style>
  <w:style w:type="paragraph" w:styleId="ListParagraph">
    <w:name w:val="List Paragraph"/>
    <w:basedOn w:val="Normal"/>
    <w:uiPriority w:val="34"/>
    <w:qFormat/>
    <w:rsid w:val="00467EFC"/>
    <w:pPr>
      <w:ind w:left="720"/>
      <w:contextualSpacing/>
    </w:pPr>
  </w:style>
  <w:style w:type="character" w:styleId="IntenseEmphasis">
    <w:name w:val="Intense Emphasis"/>
    <w:basedOn w:val="DefaultParagraphFont"/>
    <w:uiPriority w:val="21"/>
    <w:qFormat/>
    <w:rsid w:val="00467EFC"/>
    <w:rPr>
      <w:i/>
      <w:iCs/>
      <w:color w:val="2F5496" w:themeColor="accent1" w:themeShade="BF"/>
    </w:rPr>
  </w:style>
  <w:style w:type="paragraph" w:styleId="IntenseQuote">
    <w:name w:val="Intense Quote"/>
    <w:basedOn w:val="Normal"/>
    <w:next w:val="Normal"/>
    <w:link w:val="IntenseQuoteChar"/>
    <w:uiPriority w:val="30"/>
    <w:qFormat/>
    <w:rsid w:val="00467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EFC"/>
    <w:rPr>
      <w:i/>
      <w:iCs/>
      <w:color w:val="2F5496" w:themeColor="accent1" w:themeShade="BF"/>
    </w:rPr>
  </w:style>
  <w:style w:type="character" w:styleId="IntenseReference">
    <w:name w:val="Intense Reference"/>
    <w:basedOn w:val="DefaultParagraphFont"/>
    <w:uiPriority w:val="32"/>
    <w:qFormat/>
    <w:rsid w:val="00467EFC"/>
    <w:rPr>
      <w:b/>
      <w:bCs/>
      <w:smallCaps/>
      <w:color w:val="2F5496" w:themeColor="accent1" w:themeShade="BF"/>
      <w:spacing w:val="5"/>
    </w:rPr>
  </w:style>
  <w:style w:type="character" w:styleId="LineNumber">
    <w:name w:val="line number"/>
    <w:basedOn w:val="DefaultParagraphFont"/>
    <w:uiPriority w:val="99"/>
    <w:semiHidden/>
    <w:unhideWhenUsed/>
    <w:rsid w:val="008F2697"/>
  </w:style>
  <w:style w:type="character" w:styleId="Hyperlink">
    <w:name w:val="Hyperlink"/>
    <w:basedOn w:val="DefaultParagraphFont"/>
    <w:uiPriority w:val="99"/>
    <w:unhideWhenUsed/>
    <w:rsid w:val="00310D43"/>
    <w:rPr>
      <w:color w:val="0563C1" w:themeColor="hyperlink"/>
      <w:u w:val="single"/>
    </w:rPr>
  </w:style>
  <w:style w:type="character" w:styleId="UnresolvedMention">
    <w:name w:val="Unresolved Mention"/>
    <w:basedOn w:val="DefaultParagraphFont"/>
    <w:uiPriority w:val="99"/>
    <w:semiHidden/>
    <w:unhideWhenUsed/>
    <w:rsid w:val="00310D43"/>
    <w:rPr>
      <w:color w:val="605E5C"/>
      <w:shd w:val="clear" w:color="auto" w:fill="E1DFDD"/>
    </w:rPr>
  </w:style>
  <w:style w:type="paragraph" w:styleId="NoSpacing">
    <w:name w:val="No Spacing"/>
    <w:uiPriority w:val="1"/>
    <w:qFormat/>
    <w:rsid w:val="00310D43"/>
    <w:pPr>
      <w:spacing w:after="0" w:line="240" w:lineRule="auto"/>
    </w:pPr>
  </w:style>
  <w:style w:type="paragraph" w:styleId="Caption">
    <w:name w:val="caption"/>
    <w:basedOn w:val="Normal"/>
    <w:next w:val="Normal"/>
    <w:uiPriority w:val="35"/>
    <w:unhideWhenUsed/>
    <w:qFormat/>
    <w:rsid w:val="00B428C7"/>
    <w:pPr>
      <w:spacing w:after="200" w:line="240" w:lineRule="auto"/>
    </w:pPr>
    <w:rPr>
      <w:rFonts w:asciiTheme="minorHAnsi" w:hAnsiTheme="minorHAnsi"/>
      <w:i/>
      <w:iCs/>
      <w:color w:val="44546A" w:themeColor="text2"/>
      <w:kern w:val="0"/>
      <w:sz w:val="18"/>
      <w:szCs w:val="18"/>
      <w:lang w:val="en-US"/>
      <w14:ligatures w14:val="none"/>
    </w:rPr>
  </w:style>
  <w:style w:type="paragraph" w:styleId="FootnoteText">
    <w:name w:val="footnote text"/>
    <w:basedOn w:val="Normal"/>
    <w:link w:val="FootnoteTextChar"/>
    <w:uiPriority w:val="99"/>
    <w:semiHidden/>
    <w:unhideWhenUsed/>
    <w:rsid w:val="00E530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30B8"/>
    <w:rPr>
      <w:rFonts w:ascii="Garamond" w:hAnsi="Garamond"/>
      <w:sz w:val="20"/>
      <w:szCs w:val="20"/>
    </w:rPr>
  </w:style>
  <w:style w:type="character" w:styleId="FootnoteReference">
    <w:name w:val="footnote reference"/>
    <w:basedOn w:val="DefaultParagraphFont"/>
    <w:uiPriority w:val="99"/>
    <w:semiHidden/>
    <w:unhideWhenUsed/>
    <w:rsid w:val="00E530B8"/>
    <w:rPr>
      <w:vertAlign w:val="superscript"/>
    </w:rPr>
  </w:style>
  <w:style w:type="paragraph" w:styleId="Bibliography">
    <w:name w:val="Bibliography"/>
    <w:basedOn w:val="Normal"/>
    <w:next w:val="Normal"/>
    <w:uiPriority w:val="37"/>
    <w:unhideWhenUsed/>
    <w:rsid w:val="00E530B8"/>
    <w:pPr>
      <w:spacing w:after="0" w:line="240" w:lineRule="auto"/>
      <w:ind w:left="720" w:hanging="720"/>
    </w:pPr>
  </w:style>
  <w:style w:type="character" w:styleId="CommentReference">
    <w:name w:val="annotation reference"/>
    <w:basedOn w:val="DefaultParagraphFont"/>
    <w:uiPriority w:val="99"/>
    <w:semiHidden/>
    <w:unhideWhenUsed/>
    <w:rsid w:val="0043278E"/>
    <w:rPr>
      <w:sz w:val="16"/>
      <w:szCs w:val="16"/>
    </w:rPr>
  </w:style>
  <w:style w:type="paragraph" w:styleId="CommentText">
    <w:name w:val="annotation text"/>
    <w:basedOn w:val="Normal"/>
    <w:link w:val="CommentTextChar"/>
    <w:uiPriority w:val="99"/>
    <w:unhideWhenUsed/>
    <w:rsid w:val="0043278E"/>
    <w:pPr>
      <w:spacing w:line="240" w:lineRule="auto"/>
    </w:pPr>
    <w:rPr>
      <w:sz w:val="20"/>
      <w:szCs w:val="20"/>
    </w:rPr>
  </w:style>
  <w:style w:type="character" w:customStyle="1" w:styleId="CommentTextChar">
    <w:name w:val="Comment Text Char"/>
    <w:basedOn w:val="DefaultParagraphFont"/>
    <w:link w:val="CommentText"/>
    <w:uiPriority w:val="99"/>
    <w:rsid w:val="0043278E"/>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43278E"/>
    <w:rPr>
      <w:b/>
      <w:bCs/>
    </w:rPr>
  </w:style>
  <w:style w:type="character" w:customStyle="1" w:styleId="CommentSubjectChar">
    <w:name w:val="Comment Subject Char"/>
    <w:basedOn w:val="CommentTextChar"/>
    <w:link w:val="CommentSubject"/>
    <w:uiPriority w:val="99"/>
    <w:semiHidden/>
    <w:rsid w:val="0043278E"/>
    <w:rPr>
      <w:rFonts w:ascii="Garamond" w:hAnsi="Garamo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672168">
      <w:bodyDiv w:val="1"/>
      <w:marLeft w:val="0"/>
      <w:marRight w:val="0"/>
      <w:marTop w:val="0"/>
      <w:marBottom w:val="0"/>
      <w:divBdr>
        <w:top w:val="none" w:sz="0" w:space="0" w:color="auto"/>
        <w:left w:val="none" w:sz="0" w:space="0" w:color="auto"/>
        <w:bottom w:val="none" w:sz="0" w:space="0" w:color="auto"/>
        <w:right w:val="none" w:sz="0" w:space="0" w:color="auto"/>
      </w:divBdr>
    </w:div>
    <w:div w:id="1031884723">
      <w:bodyDiv w:val="1"/>
      <w:marLeft w:val="0"/>
      <w:marRight w:val="0"/>
      <w:marTop w:val="0"/>
      <w:marBottom w:val="0"/>
      <w:divBdr>
        <w:top w:val="none" w:sz="0" w:space="0" w:color="auto"/>
        <w:left w:val="none" w:sz="0" w:space="0" w:color="auto"/>
        <w:bottom w:val="none" w:sz="0" w:space="0" w:color="auto"/>
        <w:right w:val="none" w:sz="0" w:space="0" w:color="auto"/>
      </w:divBdr>
    </w:div>
    <w:div w:id="1047680654">
      <w:bodyDiv w:val="1"/>
      <w:marLeft w:val="0"/>
      <w:marRight w:val="0"/>
      <w:marTop w:val="0"/>
      <w:marBottom w:val="0"/>
      <w:divBdr>
        <w:top w:val="none" w:sz="0" w:space="0" w:color="auto"/>
        <w:left w:val="none" w:sz="0" w:space="0" w:color="auto"/>
        <w:bottom w:val="none" w:sz="0" w:space="0" w:color="auto"/>
        <w:right w:val="none" w:sz="0" w:space="0" w:color="auto"/>
      </w:divBdr>
    </w:div>
    <w:div w:id="1064060492">
      <w:bodyDiv w:val="1"/>
      <w:marLeft w:val="0"/>
      <w:marRight w:val="0"/>
      <w:marTop w:val="0"/>
      <w:marBottom w:val="0"/>
      <w:divBdr>
        <w:top w:val="none" w:sz="0" w:space="0" w:color="auto"/>
        <w:left w:val="none" w:sz="0" w:space="0" w:color="auto"/>
        <w:bottom w:val="none" w:sz="0" w:space="0" w:color="auto"/>
        <w:right w:val="none" w:sz="0" w:space="0" w:color="auto"/>
      </w:divBdr>
    </w:div>
    <w:div w:id="1271356106">
      <w:bodyDiv w:val="1"/>
      <w:marLeft w:val="0"/>
      <w:marRight w:val="0"/>
      <w:marTop w:val="0"/>
      <w:marBottom w:val="0"/>
      <w:divBdr>
        <w:top w:val="none" w:sz="0" w:space="0" w:color="auto"/>
        <w:left w:val="none" w:sz="0" w:space="0" w:color="auto"/>
        <w:bottom w:val="none" w:sz="0" w:space="0" w:color="auto"/>
        <w:right w:val="none" w:sz="0" w:space="0" w:color="auto"/>
      </w:divBdr>
    </w:div>
    <w:div w:id="1405300405">
      <w:bodyDiv w:val="1"/>
      <w:marLeft w:val="0"/>
      <w:marRight w:val="0"/>
      <w:marTop w:val="0"/>
      <w:marBottom w:val="0"/>
      <w:divBdr>
        <w:top w:val="none" w:sz="0" w:space="0" w:color="auto"/>
        <w:left w:val="none" w:sz="0" w:space="0" w:color="auto"/>
        <w:bottom w:val="none" w:sz="0" w:space="0" w:color="auto"/>
        <w:right w:val="none" w:sz="0" w:space="0" w:color="auto"/>
      </w:divBdr>
    </w:div>
    <w:div w:id="1515072858">
      <w:bodyDiv w:val="1"/>
      <w:marLeft w:val="0"/>
      <w:marRight w:val="0"/>
      <w:marTop w:val="0"/>
      <w:marBottom w:val="0"/>
      <w:divBdr>
        <w:top w:val="none" w:sz="0" w:space="0" w:color="auto"/>
        <w:left w:val="none" w:sz="0" w:space="0" w:color="auto"/>
        <w:bottom w:val="none" w:sz="0" w:space="0" w:color="auto"/>
        <w:right w:val="none" w:sz="0" w:space="0" w:color="auto"/>
      </w:divBdr>
    </w:div>
    <w:div w:id="199649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onlinelibrary.wiley.com/page/journal/14388677/homepage/forauthors.html" TargetMode="Externa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7</Pages>
  <Words>7970</Words>
  <Characters>45433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Anýž</dc:creator>
  <cp:keywords/>
  <dc:description/>
  <cp:lastModifiedBy>Dominik Anýž</cp:lastModifiedBy>
  <cp:revision>7</cp:revision>
  <dcterms:created xsi:type="dcterms:W3CDTF">2025-02-20T15:13:00Z</dcterms:created>
  <dcterms:modified xsi:type="dcterms:W3CDTF">2025-02-24T11:24:00Z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zotero-version="7.0.12"&gt;&lt;session id="BumYVXfV"/&gt;&lt;style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