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86BA65" w14:textId="7F1F0751" w:rsidR="000E1287" w:rsidRPr="00C7169E" w:rsidRDefault="00227293" w:rsidP="00227293">
      <w:pPr>
        <w:pStyle w:val="SITitle"/>
        <w:rPr>
          <w:b/>
          <w:bCs/>
          <w:sz w:val="24"/>
        </w:rPr>
      </w:pPr>
      <w:r w:rsidRPr="00C7169E">
        <w:rPr>
          <w:b/>
          <w:bCs/>
          <w:sz w:val="24"/>
        </w:rPr>
        <w:t xml:space="preserve">Supporting information 7</w:t>
      </w:r>
      <w:r w:rsidR="006E5408" w:rsidRPr="00C7169E">
        <w:rPr>
          <w:b/>
          <w:bCs/>
          <w:sz w:val="24"/>
        </w:rPr>
        <w:t xml:space="preserve"/>
      </w:r>
      <w:r w:rsidRPr="00C7169E">
        <w:rPr>
          <w:b/>
          <w:bCs/>
          <w:sz w:val="24"/>
        </w:rPr>
        <w:t xml:space="preserve">: </w:t>
      </w:r>
      <w:r w:rsidR="006E5408" w:rsidRPr="00C7169E">
        <w:rPr>
          <w:b/>
          <w:bCs/>
          <w:sz w:val="24"/>
        </w:rPr>
        <w:t xml:space="preserve">Validation of </w:t>
      </w:r>
      <w:proofErr w:type="spellStart"/>
      <w:r w:rsidR="006E5408" w:rsidRPr="00C7169E">
        <w:rPr>
          <w:b/>
          <w:bCs/>
          <w:sz w:val="24"/>
        </w:rPr>
        <w:t>dPCR</w:t>
      </w:r>
      <w:proofErr w:type="spellEnd"/>
      <w:r w:rsidR="006E5408" w:rsidRPr="00C7169E">
        <w:rPr>
          <w:b/>
          <w:bCs/>
          <w:sz w:val="24"/>
        </w:rPr>
        <w:t xml:space="preserve"> assays</w:t>
      </w:r>
    </w:p>
    <w:p w14:paraId="685B1EE8" w14:textId="1613EF5D" w:rsidR="00B41D95" w:rsidRDefault="003845B2" w:rsidP="00541048">
      <w:pPr>
        <w:pStyle w:val="SITitle"/>
        <w:spacing w:before="0" w:after="0"/>
        <w:jc w:val="both"/>
        <w:rPr>
          <w:sz w:val="24"/>
        </w:rPr>
      </w:pPr>
      <w:r>
        <w:rPr>
          <w:sz w:val="24"/>
        </w:rPr>
        <w:t xml:space="preserve">To validate that the primers designed for the </w:t>
      </w:r>
      <w:proofErr w:type="spellStart"/>
      <w:r>
        <w:rPr>
          <w:sz w:val="24"/>
        </w:rPr>
        <w:t>dPCR</w:t>
      </w:r>
      <w:proofErr w:type="spellEnd"/>
      <w:r>
        <w:rPr>
          <w:sz w:val="24"/>
        </w:rPr>
        <w:t xml:space="preserve"> assays </w:t>
      </w:r>
      <w:r w:rsidR="00BC16CE">
        <w:rPr>
          <w:sz w:val="24"/>
        </w:rPr>
        <w:t>properly amplify at 60 °C, a</w:t>
      </w:r>
      <w:r>
        <w:rPr>
          <w:sz w:val="24"/>
        </w:rPr>
        <w:t>n additional gradient PCR was performed with each of the DNA pools</w:t>
      </w:r>
      <w:r w:rsidR="00DE1C32">
        <w:rPr>
          <w:sz w:val="24"/>
        </w:rPr>
        <w:t xml:space="preserve"> (Supporting information 2)</w:t>
      </w:r>
      <w:r>
        <w:rPr>
          <w:sz w:val="24"/>
        </w:rPr>
        <w:t xml:space="preserve">. Gradient PCR was performed with the same 10 µL assays used for single specimen barcoding but with cycling conditions identical to the </w:t>
      </w:r>
      <w:proofErr w:type="spellStart"/>
      <w:r>
        <w:rPr>
          <w:sz w:val="24"/>
        </w:rPr>
        <w:t>dPCR</w:t>
      </w:r>
      <w:proofErr w:type="spellEnd"/>
      <w:r>
        <w:rPr>
          <w:sz w:val="24"/>
        </w:rPr>
        <w:t xml:space="preserve"> measurements</w:t>
      </w:r>
      <w:r w:rsidR="00C67467">
        <w:rPr>
          <w:sz w:val="24"/>
        </w:rPr>
        <w:t xml:space="preserve"> and with the specific </w:t>
      </w:r>
      <w:proofErr w:type="spellStart"/>
      <w:r w:rsidR="00C67467">
        <w:rPr>
          <w:sz w:val="24"/>
        </w:rPr>
        <w:t>dPCR</w:t>
      </w:r>
      <w:proofErr w:type="spellEnd"/>
      <w:r w:rsidR="00C67467">
        <w:rPr>
          <w:sz w:val="24"/>
        </w:rPr>
        <w:t xml:space="preserve"> primers for each pool</w:t>
      </w:r>
      <w:r>
        <w:rPr>
          <w:sz w:val="24"/>
        </w:rPr>
        <w:t xml:space="preserve">: 10 min at 96 °C for initial denaturation followed by 40 cycles of denaturation for 15 s at 98 °C and 30 s of annealing and extension at the respective gradient temperature. The temperature gradient levels ranged from 58.1 °C to 66 °C. </w:t>
      </w:r>
      <w:r w:rsidR="00B41D95">
        <w:rPr>
          <w:sz w:val="24"/>
        </w:rPr>
        <w:t>PCR success was controlled on a 1% agarose gel.</w:t>
      </w:r>
      <w:r w:rsidR="002402F7">
        <w:rPr>
          <w:sz w:val="24"/>
        </w:rPr>
        <w:t xml:space="preserve"> </w:t>
      </w:r>
      <w:r w:rsidR="002402F7" w:rsidRPr="002402F7">
        <w:rPr>
          <w:sz w:val="24"/>
        </w:rPr>
        <w:t xml:space="preserve">For all five taxa, a single band of the expected size was obtained at 59.8 °C and 60.6 °C, confirming that the </w:t>
      </w:r>
      <w:proofErr w:type="spellStart"/>
      <w:r w:rsidR="002402F7" w:rsidRPr="002402F7">
        <w:rPr>
          <w:sz w:val="24"/>
        </w:rPr>
        <w:t>dPCR</w:t>
      </w:r>
      <w:proofErr w:type="spellEnd"/>
      <w:r w:rsidR="002402F7" w:rsidRPr="002402F7">
        <w:rPr>
          <w:sz w:val="24"/>
        </w:rPr>
        <w:t xml:space="preserve"> assays amplify at the annealing temperature of 60 °C used in the </w:t>
      </w:r>
      <w:proofErr w:type="spellStart"/>
      <w:r w:rsidR="002402F7" w:rsidRPr="002402F7">
        <w:rPr>
          <w:sz w:val="24"/>
        </w:rPr>
        <w:t>dPCR</w:t>
      </w:r>
      <w:proofErr w:type="spellEnd"/>
      <w:r w:rsidR="002402F7" w:rsidRPr="002402F7">
        <w:rPr>
          <w:sz w:val="24"/>
        </w:rPr>
        <w:t xml:space="preserve"> measurements (Figure 7.1</w:t>
      </w:r>
      <w:r w:rsidR="00541048">
        <w:rPr>
          <w:sz w:val="24"/>
        </w:rPr>
        <w:t xml:space="preserve"/>
      </w:r>
      <w:r w:rsidR="002402F7" w:rsidRPr="002402F7">
        <w:rPr>
          <w:sz w:val="24"/>
        </w:rPr>
        <w:t xml:space="preserve">).</w:t>
      </w:r>
    </w:p>
    <w:p w14:paraId="1C42ACF5" w14:textId="77777777" w:rsidR="00B41D95" w:rsidRDefault="00B41D95" w:rsidP="00B41D95">
      <w:pPr>
        <w:pStyle w:val="SITitle"/>
        <w:spacing w:before="0" w:after="0"/>
        <w:jc w:val="both"/>
      </w:pPr>
      <w:r>
        <w:rPr>
          <w:noProof/>
          <w:sz w:val="24"/>
        </w:rPr>
        <w:drawing>
          <wp:inline distT="0" distB="0" distL="0" distR="0" wp14:anchorId="4B91DB4F" wp14:editId="4F142AB3">
            <wp:extent cx="5753100" cy="3790950"/>
            <wp:effectExtent l="0" t="0" r="0" b="5080"/>
            <wp:docPr id="723128605" name="Grafik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3790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7A5E17" w14:textId="2BAB3E6C" w:rsidR="002402F7" w:rsidRPr="00541048" w:rsidRDefault="00265BF4" w:rsidP="00541048">
      <w:pPr>
        <w:rPr>
          <w:lang w:val="en-US"/>
        </w:rPr>
      </w:pPr>
      <w:r w:rsidRPr="00265BF4">
        <w:rPr>
          <w:rFonts w:ascii="Arial" w:hAnsi="Arial" w:cs="Arial"/>
          <w:b/>
          <w:bCs/>
          <w:color w:val="000000" w:themeColor="text1"/>
          <w:sz w:val="18"/>
          <w:szCs w:val="18"/>
          <w:lang w:val="en-US"/>
        </w:rPr>
        <w:t xml:space="preserve">Figure 7.1</w:t>
      </w:r>
      <w:r w:rsidR="006E5408">
        <w:rPr>
          <w:rFonts w:ascii="Arial" w:hAnsi="Arial" w:cs="Arial"/>
          <w:b/>
          <w:bCs/>
          <w:color w:val="000000" w:themeColor="text1"/>
          <w:sz w:val="18"/>
          <w:szCs w:val="18"/>
          <w:lang w:val="en-US"/>
        </w:rPr>
        <w:t xml:space="preserve"/>
      </w:r>
      <w:r w:rsidRPr="00265BF4">
        <w:rPr>
          <w:rFonts w:ascii="Arial" w:hAnsi="Arial" w:cs="Arial"/>
          <w:b/>
          <w:bCs/>
          <w:color w:val="000000" w:themeColor="text1"/>
          <w:sz w:val="18"/>
          <w:szCs w:val="18"/>
          <w:lang w:val="en-US"/>
        </w:rPr>
        <w:t xml:space="preserve">: Gradient PCR of the </w:t>
      </w:r>
      <w:proofErr w:type="spellStart"/>
      <w:r w:rsidRPr="00265BF4">
        <w:rPr>
          <w:rFonts w:ascii="Arial" w:hAnsi="Arial" w:cs="Arial"/>
          <w:b/>
          <w:bCs/>
          <w:color w:val="000000" w:themeColor="text1"/>
          <w:sz w:val="18"/>
          <w:szCs w:val="18"/>
          <w:lang w:val="en-US"/>
        </w:rPr>
        <w:t>dPCR</w:t>
      </w:r>
      <w:proofErr w:type="spellEnd"/>
      <w:r w:rsidRPr="00265BF4">
        <w:rPr>
          <w:rFonts w:ascii="Arial" w:hAnsi="Arial" w:cs="Arial"/>
          <w:b/>
          <w:bCs/>
          <w:color w:val="000000" w:themeColor="text1"/>
          <w:sz w:val="18"/>
          <w:szCs w:val="18"/>
          <w:lang w:val="en-US"/>
        </w:rPr>
        <w:t xml:space="preserve"> assays on pooled DNA of the five target taxa. </w:t>
      </w:r>
      <w:r w:rsidRPr="00265BF4">
        <w:rPr>
          <w:rFonts w:ascii="Arial" w:hAnsi="Arial" w:cs="Arial"/>
          <w:color w:val="000000" w:themeColor="text1"/>
          <w:sz w:val="18"/>
          <w:szCs w:val="18"/>
          <w:lang w:val="en-US"/>
        </w:rPr>
        <w:t xml:space="preserve">Agarose gel electrophoresis (1% agarose) of the products of gradient PCRs with the taxon-specific </w:t>
      </w:r>
      <w:proofErr w:type="spellStart"/>
      <w:r w:rsidRPr="00265BF4">
        <w:rPr>
          <w:rFonts w:ascii="Arial" w:hAnsi="Arial" w:cs="Arial"/>
          <w:color w:val="000000" w:themeColor="text1"/>
          <w:sz w:val="18"/>
          <w:szCs w:val="18"/>
          <w:lang w:val="en-US"/>
        </w:rPr>
        <w:t>dPCR</w:t>
      </w:r>
      <w:proofErr w:type="spellEnd"/>
      <w:r w:rsidRPr="00265BF4">
        <w:rPr>
          <w:rFonts w:ascii="Arial" w:hAnsi="Arial" w:cs="Arial"/>
          <w:color w:val="000000" w:themeColor="text1"/>
          <w:sz w:val="18"/>
          <w:szCs w:val="18"/>
          <w:lang w:val="en-US"/>
        </w:rPr>
        <w:t xml:space="preserve"> primers (Supporting information 4) on the DNA pool of each taxon (Amphipoda, Blattodea, Diptera, Hymenoptera, Lepidoptera). Each panel shows one taxon; lanes correspond to annealing/extension temperatures from 58.1 °C to 66 °C (58.1, 59.8, 60.6, 61.9, 63.4, 64.7, 65.4, 66 °C). The annealing temperature of the </w:t>
      </w:r>
      <w:proofErr w:type="spellStart"/>
      <w:r w:rsidRPr="00265BF4">
        <w:rPr>
          <w:rFonts w:ascii="Arial" w:hAnsi="Arial" w:cs="Arial"/>
          <w:color w:val="000000" w:themeColor="text1"/>
          <w:sz w:val="18"/>
          <w:szCs w:val="18"/>
          <w:lang w:val="en-US"/>
        </w:rPr>
        <w:t>dPCR</w:t>
      </w:r>
      <w:proofErr w:type="spellEnd"/>
      <w:r w:rsidRPr="00265BF4">
        <w:rPr>
          <w:rFonts w:ascii="Arial" w:hAnsi="Arial" w:cs="Arial"/>
          <w:color w:val="000000" w:themeColor="text1"/>
          <w:sz w:val="18"/>
          <w:szCs w:val="18"/>
          <w:lang w:val="en-US"/>
        </w:rPr>
        <w:t xml:space="preserve"> measurements (60 °C) lies between the 59.8 °C and 60.6 °C lanes.</w:t>
      </w:r>
      <w:r>
        <w:rPr>
          <w:rFonts w:ascii="Arial" w:hAnsi="Arial" w:cs="Arial"/>
          <w:color w:val="000000" w:themeColor="text1"/>
          <w:sz w:val="18"/>
          <w:szCs w:val="18"/>
          <w:lang w:val="en-US"/>
        </w:rPr>
        <w:t xml:space="preserve"> The DNA ladder ranges from 50 bp to 1000 bp</w:t>
      </w:r>
      <w:r w:rsidRPr="00265BF4">
        <w:rPr>
          <w:rFonts w:ascii="Arial" w:hAnsi="Arial" w:cs="Arial"/>
          <w:color w:val="000000" w:themeColor="text1"/>
          <w:sz w:val="18"/>
          <w:szCs w:val="18"/>
          <w:lang w:val="en-US"/>
        </w:rPr>
        <w:t xml:space="preserve">. Expected amplicon sizes are given in Supporting information 4.</w:t>
      </w:r>
    </w:p>
    <w:sectPr w:rsidR="002402F7" w:rsidRPr="00541048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F06582"/>
    <w:multiLevelType w:val="multilevel"/>
    <w:tmpl w:val="0407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8254335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xNjc0MTA0MTM1MDcwNTZR0lEKTi0uzszPAykwqQUAK2PwxSwAAAA="/>
  </w:docVars>
  <w:rsids>
    <w:rsidRoot w:val="00A860FB"/>
    <w:rsid w:val="00072DEC"/>
    <w:rsid w:val="00091A31"/>
    <w:rsid w:val="000E1287"/>
    <w:rsid w:val="00227293"/>
    <w:rsid w:val="002402F7"/>
    <w:rsid w:val="00265BF4"/>
    <w:rsid w:val="003845B2"/>
    <w:rsid w:val="004F2368"/>
    <w:rsid w:val="00541048"/>
    <w:rsid w:val="005F50D0"/>
    <w:rsid w:val="0061732D"/>
    <w:rsid w:val="006E5408"/>
    <w:rsid w:val="006F5961"/>
    <w:rsid w:val="008A58D4"/>
    <w:rsid w:val="00A860FB"/>
    <w:rsid w:val="00AA6C5E"/>
    <w:rsid w:val="00B41D95"/>
    <w:rsid w:val="00BA7DF6"/>
    <w:rsid w:val="00BC16CE"/>
    <w:rsid w:val="00C66B99"/>
    <w:rsid w:val="00C67467"/>
    <w:rsid w:val="00C7169E"/>
    <w:rsid w:val="00D04DBF"/>
    <w:rsid w:val="00D95E2E"/>
    <w:rsid w:val="00DE1C32"/>
    <w:rsid w:val="00EE6C63"/>
    <w:rsid w:val="00FD7A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D5AAFA"/>
  <w15:chartTrackingRefBased/>
  <w15:docId w15:val="{2135598C-66C3-4354-A7A1-3528ECCA03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A860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A860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A860F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A860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A860F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A860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A860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A860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A860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A860F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A860F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A860F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A860FB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A860FB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A860FB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A860FB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A860FB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A860FB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A860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A860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A860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A860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A860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A860FB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A860FB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A860FB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A860F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A860FB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A860FB"/>
    <w:rPr>
      <w:b/>
      <w:bCs/>
      <w:smallCaps/>
      <w:color w:val="0F4761" w:themeColor="accent1" w:themeShade="BF"/>
      <w:spacing w:val="5"/>
    </w:rPr>
  </w:style>
  <w:style w:type="paragraph" w:customStyle="1" w:styleId="SITitle">
    <w:name w:val="SI Title"/>
    <w:basedOn w:val="Textkrper"/>
    <w:qFormat/>
    <w:rsid w:val="00227293"/>
    <w:pPr>
      <w:keepNext/>
      <w:widowControl w:val="0"/>
      <w:spacing w:before="400" w:line="240" w:lineRule="auto"/>
    </w:pPr>
    <w:rPr>
      <w:rFonts w:ascii="Arial" w:eastAsia="Arial" w:hAnsi="Arial" w:cs="Arial"/>
      <w:color w:val="000000"/>
      <w:kern w:val="0"/>
      <w:sz w:val="28"/>
      <w:szCs w:val="24"/>
      <w:lang w:val="en-US" w:eastAsia="zh-CN"/>
      <w14:ligatures w14:val="none"/>
    </w:rPr>
  </w:style>
  <w:style w:type="paragraph" w:styleId="Textkrper">
    <w:name w:val="Body Text"/>
    <w:basedOn w:val="Standard"/>
    <w:link w:val="TextkrperZchn"/>
    <w:uiPriority w:val="99"/>
    <w:semiHidden/>
    <w:unhideWhenUsed/>
    <w:rsid w:val="00227293"/>
    <w:pPr>
      <w:spacing w:after="120"/>
    </w:pPr>
  </w:style>
  <w:style w:type="character" w:customStyle="1" w:styleId="TextkrperZchn">
    <w:name w:val="Textkörper Zchn"/>
    <w:basedOn w:val="Absatz-Standardschriftart"/>
    <w:link w:val="Textkrper"/>
    <w:uiPriority w:val="99"/>
    <w:semiHidden/>
    <w:rsid w:val="00227293"/>
  </w:style>
  <w:style w:type="paragraph" w:styleId="Beschriftung">
    <w:name w:val="caption"/>
    <w:basedOn w:val="Standard"/>
    <w:next w:val="Standard"/>
    <w:uiPriority w:val="35"/>
    <w:unhideWhenUsed/>
    <w:qFormat/>
    <w:rsid w:val="00B41D95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Literaturverzeichnis">
    <w:name w:val="Bibliography"/>
    <w:basedOn w:val="Standard"/>
    <w:next w:val="Standard"/>
    <w:uiPriority w:val="37"/>
    <w:unhideWhenUsed/>
    <w:rsid w:val="002402F7"/>
    <w:pPr>
      <w:spacing w:after="0" w:line="480" w:lineRule="auto"/>
      <w:ind w:left="720" w:hanging="7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220</Words>
  <Characters>1392</Characters>
  <Application>Microsoft Office Word</Application>
  <DocSecurity>0</DocSecurity>
  <Lines>11</Lines>
  <Paragraphs>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Dominik Buchner</dc:creator>
  <cp:keywords/>
  <dc:description/>
  <cp:lastModifiedBy>Dominik Buchner</cp:lastModifiedBy>
  <cp:revision>17</cp:revision>
  <dcterms:created xsi:type="dcterms:W3CDTF">2026-10-22T10:55:00Z</dcterms:created>
  <dcterms:modified xsi:type="dcterms:W3CDTF">2026-10-23T12:57:00Z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ZOTERO_PREF_1">
    <vt:lpwstr>&lt;data data-version="3" zotero-version="9.0.6"&gt;&lt;session id="vz4VnScY"/&gt;&lt;style id="http://www.zotero.org/styles/apa" locale="de-DE" hasBibliography="1" bibliographyStyleHasBeenSet="1"/&gt;&lt;prefs&gt;&lt;pref name="fieldType" value="Field"/&gt;&lt;/prefs&gt;&lt;/data&gt;</vt:lpwstr>
  </property>
</Properties>
</file>