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BA65" w14:textId="4CFA7452" w:rsidR="000E1287" w:rsidRPr="004C738E" w:rsidRDefault="00227293" w:rsidP="00227293">
      <w:pPr>
        <w:pStyle w:val="SITitle"/>
        <w:rPr>
          <w:b/>
          <w:bCs/>
          <w:sz w:val="24"/>
        </w:rPr>
      </w:pPr>
      <w:r w:rsidRPr="004C738E">
        <w:rPr>
          <w:b/>
          <w:bCs/>
          <w:sz w:val="24"/>
        </w:rPr>
        <w:t xml:space="preserve">Supporting information 2: </w:t>
      </w:r>
      <w:r w:rsidR="00533CB4" w:rsidRPr="004C738E">
        <w:rPr>
          <w:b/>
          <w:bCs/>
          <w:sz w:val="24"/>
        </w:rPr>
        <w:t>Single specimen barcoding</w:t>
      </w:r>
    </w:p>
    <w:p w14:paraId="4648137C" w14:textId="7455304D" w:rsidR="00227293" w:rsidRDefault="00227293" w:rsidP="00227293">
      <w:pPr>
        <w:pStyle w:val="SITitle"/>
        <w:spacing w:before="0" w:after="0"/>
        <w:jc w:val="both"/>
        <w:rPr>
          <w:sz w:val="24"/>
        </w:rPr>
      </w:pPr>
      <w:r>
        <w:rPr>
          <w:sz w:val="24"/>
        </w:rPr>
        <w:t xml:space="preserve">16 individuals of each of the five taxa (Amphipoda, Blattodea, Diptera, Hymenoptera, Lepidoptera) were individually extracted according to </w:t>
      </w:r>
      <w:r>
        <w:rPr>
          <w:sz w:val="24"/>
        </w:rPr>
        <w:fldChar w:fldCharType="begin"/>
      </w:r>
      <w:r>
        <w:rPr>
          <w:sz w:val="24"/>
        </w:rPr>
        <w:instrText xml:space="preserve"> ADDIN ZOTERO_ITEM CSL_CITATION {"citationID":"Zliewmjb","properties":{"unsorted":false,"formattedCitation":"(Buchner, 2025)","plainCitation":"(Buchner, 2025)","noteIndex":0},"citationItems":[{"id":1113,"uris":["http://zotero.org/users/6327495/items/77BIRUGX"],"itemData":{"id":1113,"type":"article-journal","abstract":"Guanidine-based DNA extraction with silica-coated beads or silica spin columns. This protocol describe. Read full protocol, steps, and materials on protocols.io","language":"en","source":"www.protocols.io","title":"Guanidine-based DNA extraction with silica-coated beads or silica spin columns V.3","URL":"https://www.protocols.io/view/guanidine-based-dna-extraction-with-silica-coated-eq2ly73mmlx9/v3","author":[{"family":"Buchner","given":"Dominik"}],"accessed":{"date-parts":[["2026",7,8]]},"issued":{"date-parts":[["2025",3,14]]}}}],"schema":"https://github.com/citation-style-language/schema/raw/master/csl-citation.json"} </w:instrText>
      </w:r>
      <w:r>
        <w:rPr>
          <w:sz w:val="24"/>
        </w:rPr>
        <w:fldChar w:fldCharType="separate"/>
      </w:r>
      <w:r w:rsidRPr="00227293">
        <w:rPr>
          <w:sz w:val="24"/>
        </w:rPr>
        <w:t>(Buchner, 2025)</w:t>
      </w:r>
      <w:r>
        <w:rPr>
          <w:sz w:val="24"/>
        </w:rPr>
        <w:fldChar w:fldCharType="end"/>
      </w:r>
      <w:r>
        <w:rPr>
          <w:sz w:val="24"/>
        </w:rPr>
        <w:t xml:space="preserve">. Briefly, each individual was transferred into a 2 mL screwcap tube pre-filled with 2 mm zirconia beads, 900 µL of lysis buffer and 100 µL of Proteinase K (10 mg/mL) </w:t>
      </w:r>
      <w:r>
        <w:rPr>
          <w:sz w:val="24"/>
        </w:rPr>
        <w:fldChar w:fldCharType="begin"/>
      </w:r>
      <w:r w:rsidR="006F5961">
        <w:rPr>
          <w:sz w:val="24"/>
        </w:rPr>
        <w:instrText xml:space="preserve"> ADDIN ZOTERO_ITEM CSL_CITATION {"citationID":"kcbVUqz0","properties":{"unsorted":false,"formattedCitation":"(Buchner, 2022b)","plainCitation":"(Buchner, 2022b)","noteIndex":0},"citationItems":[{"id":500,"uris":["http://zotero.org/users/6327495/items/B3RA6D89"],"itemData":{"id":500,"type":"article-journal","abstract":"This protocol describes the steps of sample preparation and lysis before DNA extraction for the Malaise trap metabarcoding protocol of the LeeseLab.","DOI":"10.17504/protocols.io.dm6gpjrmjgzp/v1","language":"en","source":"www.protocols.io","title":"Sample preparation and lysis of homogenized malaise trap samples","URL":"https://www.protocols.io/view/sample-preparation-and-lysis-of-homogenized-malais-cg9dtz26","author":[{"family":"Buchner","given":"Dominik"}],"accessed":{"date-parts":[["2023",3,1]]},"issued":{"date-parts":[["2022",10,5]]}}}],"schema":"https://github.com/citation-style-language/schema/raw/master/csl-citation.json"} </w:instrText>
      </w:r>
      <w:r>
        <w:rPr>
          <w:sz w:val="24"/>
        </w:rPr>
        <w:fldChar w:fldCharType="separate"/>
      </w:r>
      <w:r w:rsidR="006F5961" w:rsidRPr="006F5961">
        <w:rPr>
          <w:sz w:val="24"/>
        </w:rPr>
        <w:t>(Buchner, 2022b)</w:t>
      </w:r>
      <w:r>
        <w:rPr>
          <w:sz w:val="24"/>
        </w:rPr>
        <w:fldChar w:fldCharType="end"/>
      </w:r>
      <w:r>
        <w:rPr>
          <w:sz w:val="24"/>
        </w:rPr>
        <w:t xml:space="preserve">. Samples were homogenized via bead-beating and subsequently incubated at 56 °C and 1400 rpm. Extraction was performed via silica-coated beads. Extraction success was controlled on a 1% agarose gel. </w:t>
      </w:r>
    </w:p>
    <w:p w14:paraId="108EB86B" w14:textId="733E1854" w:rsidR="00227293" w:rsidRDefault="00227293" w:rsidP="00227293">
      <w:pPr>
        <w:pStyle w:val="SITitle"/>
        <w:spacing w:before="0" w:after="0"/>
        <w:jc w:val="both"/>
        <w:rPr>
          <w:sz w:val="24"/>
        </w:rPr>
      </w:pPr>
      <w:r>
        <w:rPr>
          <w:sz w:val="24"/>
        </w:rPr>
        <w:t>A fragment of the mitochondrial barcoding gene CO1 was amplified with the primer</w:t>
      </w:r>
      <w:r w:rsidR="00B41D95">
        <w:rPr>
          <w:sz w:val="24"/>
        </w:rPr>
        <w:t>s</w:t>
      </w:r>
      <w:r>
        <w:rPr>
          <w:sz w:val="24"/>
        </w:rPr>
        <w:t xml:space="preserve"> LCO1490-JJ and HCO2198-JJ </w:t>
      </w:r>
      <w:r>
        <w:rPr>
          <w:sz w:val="24"/>
        </w:rPr>
        <w:fldChar w:fldCharType="begin"/>
      </w:r>
      <w:r>
        <w:rPr>
          <w:sz w:val="24"/>
        </w:rPr>
        <w:instrText xml:space="preserve"> ADDIN ZOTERO_ITEM CSL_CITATION {"citationID":"rFE5zdmY","properties":{"unsorted":false,"formattedCitation":"(Astrin &amp; St\\uc0\\u252{}ben, 2008)","plainCitation":"(Astrin &amp; Stüben, 2008)","noteIndex":0},"citationItems":[{"id":1141,"uris":["http://zotero.org/users/6327495/items/IXFQEGZI"],"itemData":{"id":1141,"type":"article-journal","abstract":"A phylogeny is presented for the western Palaearctic representatives of the weevil subfamily Cryptorhynchinae using a combination of phenotypic and genotypic characters. This phylogeny is the first for the extremely species-rich Cryptorhynchinae to use molecular data (mitochondrial CO1 and 16S as well as nuclear ribosomal 28S). The results of this study show the need for molecular tools within this morphologically cryptic group of weevils and provide a scaffold based on which genus assignment can be tested. The present study mostly corroborates the current subdivision into genera (but many of the subgeneric groups are questioned). Three new genera are described: Montanacalles gen. nov. (type species: Kyklioacalles nevadaensis Stüben, 2001), Coloracalles gen. nov. (type species: Acalles humerosus Fairmaire, 1862) and Elliptacalles gen. nov. (type species: Acalles longus Desbrochers, 1892). Relevant external characters and the male genitalia of all discussed taxa are illustrated. Three species are transferred to different genera: Kyklioacalles aubei (Boheman, 1837) (formerly: Acalles), Ruteria major (Solari A. &amp;amp; F., 1907) and Ruteria minosi (Bahr &amp;amp; Bayer, 2005) (both formerly Echinodera).","container-title":"Invertebrate Systematics","DOI":"10.1071/IS07057","ISSN":"1445-5226","issue":"5","journalAbbreviation":"Invertebr Syst","page":"503-522","source":"Silverchair","title":"Phylogeny in cryptic weevils: molecules, morphology and new genera of western Palaearctic Cryptorhynchinae (Coleoptera : Curculionidae)","title-short":"Phylogeny in cryptic weevils","volume":"22","author":[{"family":"Astrin","given":"Jonas J."},{"family":"Stüben","given":"Peter E."}],"issued":{"date-parts":[["2008",12,4]]}}}],"schema":"https://github.com/citation-style-language/schema/raw/master/csl-citation.json"} </w:instrText>
      </w:r>
      <w:r>
        <w:rPr>
          <w:sz w:val="24"/>
        </w:rPr>
        <w:fldChar w:fldCharType="separate"/>
      </w:r>
      <w:r w:rsidRPr="00227293">
        <w:rPr>
          <w:sz w:val="24"/>
        </w:rPr>
        <w:t>(Astrin &amp; Stüben, 2008)</w:t>
      </w:r>
      <w:r>
        <w:rPr>
          <w:sz w:val="24"/>
        </w:rPr>
        <w:fldChar w:fldCharType="end"/>
      </w:r>
      <w:r w:rsidR="006F5961">
        <w:rPr>
          <w:sz w:val="24"/>
        </w:rPr>
        <w:t xml:space="preserve"> in 10 µL assays containing 1x Hot-Start Multiplex PCR-</w:t>
      </w:r>
      <w:proofErr w:type="spellStart"/>
      <w:r w:rsidR="006F5961">
        <w:rPr>
          <w:sz w:val="24"/>
        </w:rPr>
        <w:t>Mastermix</w:t>
      </w:r>
      <w:proofErr w:type="spellEnd"/>
      <w:r w:rsidR="006F5961">
        <w:rPr>
          <w:sz w:val="24"/>
        </w:rPr>
        <w:t xml:space="preserve"> (</w:t>
      </w:r>
      <w:proofErr w:type="spellStart"/>
      <w:r w:rsidR="006F5961">
        <w:rPr>
          <w:sz w:val="24"/>
        </w:rPr>
        <w:t>Bio&amp;SELL</w:t>
      </w:r>
      <w:proofErr w:type="spellEnd"/>
      <w:r w:rsidR="006F5961">
        <w:rPr>
          <w:sz w:val="24"/>
        </w:rPr>
        <w:t xml:space="preserve">, Feucht </w:t>
      </w:r>
      <w:proofErr w:type="spellStart"/>
      <w:r w:rsidR="006F5961">
        <w:rPr>
          <w:sz w:val="24"/>
        </w:rPr>
        <w:t>bei</w:t>
      </w:r>
      <w:proofErr w:type="spellEnd"/>
      <w:r w:rsidR="006F5961">
        <w:rPr>
          <w:sz w:val="24"/>
        </w:rPr>
        <w:t xml:space="preserve"> Nürnberg, Germany), 200 </w:t>
      </w:r>
      <w:proofErr w:type="spellStart"/>
      <w:r w:rsidR="006F5961">
        <w:rPr>
          <w:sz w:val="24"/>
        </w:rPr>
        <w:t>nM</w:t>
      </w:r>
      <w:proofErr w:type="spellEnd"/>
      <w:r w:rsidR="006F5961">
        <w:rPr>
          <w:sz w:val="24"/>
        </w:rPr>
        <w:t xml:space="preserve"> of the respective primer, 1 µL of 10-fold diluted DNA extract and PCR grade water. Cycling was performed with a touchdown PCR with the following conditions: 5 min of initial denaturation followed by 10 cycles of 30 s of denaturation at 95 °C, 90 s of annealing with a 1 °C decrease in temperature per cycle starting at 56 °C and 30 s of extension at 72 °C, followed by an additional 40 cycles with identical conditions but the annealing temperature fixed at 46 °C and a final elongation step at 68 °C for 10 min. PCR success was controlled via 1% agarose gel.</w:t>
      </w:r>
    </w:p>
    <w:p w14:paraId="7ABD9874" w14:textId="79C15B53" w:rsidR="006F5961" w:rsidRDefault="006F5961" w:rsidP="00227293">
      <w:pPr>
        <w:pStyle w:val="SITitle"/>
        <w:spacing w:before="0" w:after="0"/>
        <w:jc w:val="both"/>
        <w:rPr>
          <w:sz w:val="24"/>
        </w:rPr>
      </w:pPr>
      <w:r>
        <w:rPr>
          <w:sz w:val="24"/>
        </w:rPr>
        <w:t xml:space="preserve">PCR products were cleaned up with a magnetic bead protocol with a ratio of 0.8x </w:t>
      </w:r>
      <w:r>
        <w:rPr>
          <w:sz w:val="24"/>
        </w:rPr>
        <w:fldChar w:fldCharType="begin"/>
      </w:r>
      <w:r>
        <w:rPr>
          <w:sz w:val="24"/>
        </w:rPr>
        <w:instrText xml:space="preserve"> ADDIN ZOTERO_ITEM CSL_CITATION {"citationID":"YlTCd8U8","properties":{"unsorted":false,"formattedCitation":"(Buchner, 2022a)","plainCitation":"(Buchner, 2022a)","noteIndex":0},"citationItems":[{"id":1115,"uris":["http://zotero.org/users/6327495/items/HAAAVNW6"],"itemData":{"id":1115,"type":"article-journal","abstract":"PCR cleanup and size selection with magnetic beads. This protocol describes how to clean up PCR produc. Read full protocol, steps, and materials on protocols.io","language":"en","source":"www.protocols.io","title":"PCR cleanup and size selection with magnetic beads V.3","URL":"https://www.protocols.io/view/pcr-cleanup-and-size-selection-with-magnetic-beads-36wgqj45xvk5/v3","author":[{"family":"Buchner","given":"Dominik"}],"accessed":{"date-parts":[["2026",7,8]]},"issued":{"date-parts":[["2022",10,19]]}}}],"schema":"https://github.com/citation-style-language/schema/raw/master/csl-citation.json"} </w:instrText>
      </w:r>
      <w:r>
        <w:rPr>
          <w:sz w:val="24"/>
        </w:rPr>
        <w:fldChar w:fldCharType="separate"/>
      </w:r>
      <w:r w:rsidRPr="006F5961">
        <w:rPr>
          <w:sz w:val="24"/>
        </w:rPr>
        <w:t>(Buchner, 2022a)</w:t>
      </w:r>
      <w:r>
        <w:rPr>
          <w:sz w:val="24"/>
        </w:rPr>
        <w:fldChar w:fldCharType="end"/>
      </w:r>
      <w:r>
        <w:rPr>
          <w:sz w:val="24"/>
        </w:rPr>
        <w:t xml:space="preserve"> and subsequently shipped to an external sequencing provider for Sanger sequencing (Eurofins Genomics Germany GmbH, Ebersberg, Germany).</w:t>
      </w:r>
    </w:p>
    <w:p w14:paraId="2FB757DB" w14:textId="6227F542" w:rsidR="00D329D9" w:rsidRDefault="00D329D9" w:rsidP="00227293">
      <w:pPr>
        <w:pStyle w:val="SITitle"/>
        <w:spacing w:before="0" w:after="0"/>
        <w:jc w:val="both"/>
        <w:rPr>
          <w:sz w:val="24"/>
        </w:rPr>
      </w:pPr>
      <w:r>
        <w:rPr>
          <w:sz w:val="24"/>
        </w:rPr>
        <w:t xml:space="preserve">Forward and reverse reads of </w:t>
      </w:r>
      <w:proofErr w:type="gramStart"/>
      <w:r>
        <w:rPr>
          <w:sz w:val="24"/>
        </w:rPr>
        <w:t>each individual</w:t>
      </w:r>
      <w:proofErr w:type="gramEnd"/>
      <w:r>
        <w:rPr>
          <w:sz w:val="24"/>
        </w:rPr>
        <w:t xml:space="preserve"> were assembled into a consensus sequence in </w:t>
      </w:r>
      <w:proofErr w:type="spellStart"/>
      <w:r>
        <w:rPr>
          <w:sz w:val="24"/>
        </w:rPr>
        <w:t>Geneious</w:t>
      </w:r>
      <w:proofErr w:type="spellEnd"/>
      <w:r w:rsidR="00056A52">
        <w:rPr>
          <w:sz w:val="24"/>
        </w:rPr>
        <w:t xml:space="preserve"> Prime</w:t>
      </w:r>
      <w:r>
        <w:rPr>
          <w:sz w:val="24"/>
        </w:rPr>
        <w:t xml:space="preserve"> and trimmed to the region spanning the binding sites of the fwh2 primers. As the sequencing primers bind outside of this region, the sequences of the primer binding sites represent the template and not the primers.</w:t>
      </w:r>
    </w:p>
    <w:p w14:paraId="535D5802" w14:textId="77777777" w:rsidR="00D329D9" w:rsidRDefault="00D329D9" w:rsidP="00227293">
      <w:pPr>
        <w:pStyle w:val="SITitle"/>
        <w:spacing w:before="0" w:after="0"/>
        <w:jc w:val="both"/>
        <w:rPr>
          <w:sz w:val="24"/>
        </w:rPr>
      </w:pPr>
      <w:r>
        <w:rPr>
          <w:sz w:val="24"/>
        </w:rPr>
        <w:t>For the Amphipoda, Sanger sequencing only yielded 5 usable sequences of sufficient quality, while for the remaining orders 16 sequences for each taxon could be generated</w:t>
      </w:r>
      <w:r w:rsidR="00406EC6">
        <w:rPr>
          <w:sz w:val="24"/>
        </w:rPr>
        <w:t xml:space="preserve"> (supporting information 3)</w:t>
      </w:r>
      <w:r>
        <w:rPr>
          <w:sz w:val="24"/>
        </w:rPr>
        <w:t>.</w:t>
      </w:r>
    </w:p>
    <w:p w14:paraId="4F1C2EF9" w14:textId="6B7E2678" w:rsidR="005F50D0" w:rsidRPr="00D95E2E" w:rsidRDefault="0061732D" w:rsidP="00D95E2E">
      <w:pPr>
        <w:pStyle w:val="SITitle"/>
        <w:spacing w:before="0" w:after="0"/>
        <w:jc w:val="both"/>
        <w:rPr>
          <w:sz w:val="24"/>
        </w:rPr>
      </w:pPr>
      <w:r>
        <w:rPr>
          <w:sz w:val="24"/>
        </w:rPr>
        <w:t xml:space="preserve">After verifying that all individuals of a </w:t>
      </w:r>
      <w:proofErr w:type="spellStart"/>
      <w:r>
        <w:rPr>
          <w:sz w:val="24"/>
        </w:rPr>
        <w:t>taxon</w:t>
      </w:r>
      <w:proofErr w:type="spellEnd"/>
      <w:r>
        <w:rPr>
          <w:sz w:val="24"/>
        </w:rPr>
        <w:t xml:space="preserve"> yielded identical sequences for the binding sites of the fwh2 primers (for the complete fwh2 amplicon in four of five taxa; one variable position among the five Amphipoda sequences), one DNA pool per taxon was created, </w:t>
      </w:r>
      <w:r w:rsidRPr="00056A52">
        <w:rPr>
          <w:sz w:val="24"/>
        </w:rPr>
        <w:t>containing DNA of all 16 individuals</w:t>
      </w:r>
      <w:r>
        <w:rPr>
          <w:sz w:val="24"/>
        </w:rPr>
        <w:t xml:space="preserve">, which was used for subsequent analysis steps (qPCR, </w:t>
      </w:r>
      <w:proofErr w:type="spellStart"/>
      <w:r>
        <w:rPr>
          <w:sz w:val="24"/>
        </w:rPr>
        <w:t>dPCR</w:t>
      </w:r>
      <w:proofErr w:type="spellEnd"/>
      <w:r>
        <w:rPr>
          <w:sz w:val="24"/>
        </w:rPr>
        <w:t>).</w:t>
      </w:r>
    </w:p>
    <w:p w14:paraId="06E935FB" w14:textId="77777777" w:rsidR="00D95E2E" w:rsidRDefault="00D95E2E" w:rsidP="00227293">
      <w:pPr>
        <w:pStyle w:val="SITitle"/>
        <w:spacing w:before="0" w:after="0"/>
        <w:rPr>
          <w:sz w:val="24"/>
        </w:rPr>
      </w:pPr>
    </w:p>
    <w:p w14:paraId="6C98392B" w14:textId="416A9AD0" w:rsidR="00D329D9" w:rsidRPr="00C66B99" w:rsidRDefault="00C66B99" w:rsidP="00D329D9">
      <w:pPr>
        <w:pStyle w:val="SITitle"/>
        <w:spacing w:before="0" w:after="0"/>
        <w:jc w:val="both"/>
        <w:rPr>
          <w:b/>
          <w:bCs/>
          <w:sz w:val="24"/>
        </w:rPr>
      </w:pPr>
      <w:r w:rsidRPr="00C66B99">
        <w:rPr>
          <w:b/>
          <w:bCs/>
          <w:sz w:val="24"/>
        </w:rPr>
        <w:t>References</w:t>
      </w:r>
    </w:p>
    <w:p w14:paraId="4A368688" w14:textId="77777777" w:rsidR="00D329D9" w:rsidRPr="00FD0AC6" w:rsidRDefault="002402F7" w:rsidP="00D329D9">
      <w:pPr>
        <w:pStyle w:val="Literaturverzeichnis"/>
        <w:rPr>
          <w:rFonts w:ascii="Arial" w:hAnsi="Arial" w:cs="Arial"/>
          <w:lang w:val="en-US"/>
        </w:rPr>
      </w:pPr>
      <w:r>
        <w:fldChar w:fldCharType="begin"/>
      </w:r>
      <w:r w:rsidR="00D329D9" w:rsidRPr="00406EC6">
        <w:rPr>
          <w:lang w:val="en-US"/>
        </w:rPr>
        <w:instrText xml:space="preserve"> ADDIN ZOTERO_BIBL {"uncited":[],"omitted":[],"custom":[]} CSL_BIBLIOGRAPHY </w:instrText>
      </w:r>
      <w:r>
        <w:fldChar w:fldCharType="separate"/>
      </w:r>
      <w:r w:rsidR="00D329D9" w:rsidRPr="00406EC6">
        <w:rPr>
          <w:rFonts w:ascii="Arial" w:hAnsi="Arial" w:cs="Arial"/>
          <w:lang w:val="en-US"/>
        </w:rPr>
        <w:t xml:space="preserve">Astrin, J. J., &amp; Stüben, P. E. (2008). </w:t>
      </w:r>
      <w:r w:rsidR="00D329D9" w:rsidRPr="00FD0AC6">
        <w:rPr>
          <w:rFonts w:ascii="Arial" w:hAnsi="Arial" w:cs="Arial"/>
          <w:lang w:val="en-US"/>
        </w:rPr>
        <w:t xml:space="preserve">Phylogeny in cryptic weevils: Molecules, morphology and new genera of western Palaearctic Cryptorhynchinae (Coleoptera : Curculionidae). </w:t>
      </w:r>
      <w:r w:rsidR="00D329D9" w:rsidRPr="00FD0AC6">
        <w:rPr>
          <w:rFonts w:ascii="Arial" w:hAnsi="Arial" w:cs="Arial"/>
          <w:i/>
          <w:iCs/>
          <w:lang w:val="en-US"/>
        </w:rPr>
        <w:t>Invertebrate Systematics</w:t>
      </w:r>
      <w:r w:rsidR="00D329D9" w:rsidRPr="00FD0AC6">
        <w:rPr>
          <w:rFonts w:ascii="Arial" w:hAnsi="Arial" w:cs="Arial"/>
          <w:lang w:val="en-US"/>
        </w:rPr>
        <w:t xml:space="preserve">, </w:t>
      </w:r>
      <w:r w:rsidR="00D329D9" w:rsidRPr="00FD0AC6">
        <w:rPr>
          <w:rFonts w:ascii="Arial" w:hAnsi="Arial" w:cs="Arial"/>
          <w:i/>
          <w:iCs/>
          <w:lang w:val="en-US"/>
        </w:rPr>
        <w:t>22</w:t>
      </w:r>
      <w:r w:rsidR="00D329D9" w:rsidRPr="00FD0AC6">
        <w:rPr>
          <w:rFonts w:ascii="Arial" w:hAnsi="Arial" w:cs="Arial"/>
          <w:lang w:val="en-US"/>
        </w:rPr>
        <w:t>(5), 503–522. https://doi.org/10.1071/IS07057</w:t>
      </w:r>
    </w:p>
    <w:p w14:paraId="28D3F888" w14:textId="77777777" w:rsidR="00D329D9" w:rsidRPr="00FD0AC6" w:rsidRDefault="00D329D9" w:rsidP="00D329D9">
      <w:pPr>
        <w:pStyle w:val="Literaturverzeichnis"/>
        <w:rPr>
          <w:rFonts w:ascii="Arial" w:hAnsi="Arial" w:cs="Arial"/>
          <w:lang w:val="en-US"/>
        </w:rPr>
      </w:pPr>
      <w:r w:rsidRPr="00FD0AC6">
        <w:rPr>
          <w:rFonts w:ascii="Arial" w:hAnsi="Arial" w:cs="Arial"/>
          <w:lang w:val="en-US"/>
        </w:rPr>
        <w:t xml:space="preserve">Buchner, D. (2022a). </w:t>
      </w:r>
      <w:r w:rsidRPr="00FD0AC6">
        <w:rPr>
          <w:rFonts w:ascii="Arial" w:hAnsi="Arial" w:cs="Arial"/>
          <w:i/>
          <w:iCs/>
          <w:lang w:val="en-US"/>
        </w:rPr>
        <w:t>PCR cleanup and size selection with magnetic beads V.3</w:t>
      </w:r>
      <w:r w:rsidRPr="00FD0AC6">
        <w:rPr>
          <w:rFonts w:ascii="Arial" w:hAnsi="Arial" w:cs="Arial"/>
          <w:lang w:val="en-US"/>
        </w:rPr>
        <w:t>. https://www.protocols.io/view/pcr-cleanup-and-size-selection-with-magnetic-beads-36wgqj45xvk5/v3</w:t>
      </w:r>
    </w:p>
    <w:p w14:paraId="66F24D2D" w14:textId="77777777" w:rsidR="00D329D9" w:rsidRPr="00FD0AC6" w:rsidRDefault="00D329D9" w:rsidP="00D329D9">
      <w:pPr>
        <w:pStyle w:val="Literaturverzeichnis"/>
        <w:rPr>
          <w:rFonts w:ascii="Arial" w:hAnsi="Arial" w:cs="Arial"/>
          <w:lang w:val="en-US"/>
        </w:rPr>
      </w:pPr>
      <w:r w:rsidRPr="00FD0AC6">
        <w:rPr>
          <w:rFonts w:ascii="Arial" w:hAnsi="Arial" w:cs="Arial"/>
          <w:lang w:val="en-US"/>
        </w:rPr>
        <w:t xml:space="preserve">Buchner, D. (2022b). </w:t>
      </w:r>
      <w:r w:rsidRPr="00FD0AC6">
        <w:rPr>
          <w:rFonts w:ascii="Arial" w:hAnsi="Arial" w:cs="Arial"/>
          <w:i/>
          <w:iCs/>
          <w:lang w:val="en-US"/>
        </w:rPr>
        <w:t>Sample preparation and lysis of homogenized malaise trap samples</w:t>
      </w:r>
      <w:r w:rsidRPr="00FD0AC6">
        <w:rPr>
          <w:rFonts w:ascii="Arial" w:hAnsi="Arial" w:cs="Arial"/>
          <w:lang w:val="en-US"/>
        </w:rPr>
        <w:t>. https://doi.org/10.17504/protocols.io.dm6gpjrmjgzp/v1</w:t>
      </w:r>
    </w:p>
    <w:p w14:paraId="78879408" w14:textId="77777777" w:rsidR="00D329D9" w:rsidRPr="00D329D9" w:rsidRDefault="00D329D9" w:rsidP="00D329D9">
      <w:pPr>
        <w:pStyle w:val="Literaturverzeichnis"/>
        <w:rPr>
          <w:lang w:val="en-US"/>
        </w:rPr>
      </w:pPr>
      <w:r w:rsidRPr="00D329D9">
        <w:rPr>
          <w:lang w:val="en-US"/>
        </w:rPr>
        <w:lastRenderedPageBreak/>
        <w:t xml:space="preserve">Buchner, D. (2025). </w:t>
      </w:r>
      <w:r w:rsidRPr="00D329D9">
        <w:rPr>
          <w:i/>
          <w:iCs/>
          <w:lang w:val="en-US"/>
        </w:rPr>
        <w:t>Guanidine-based DNA extraction with silica-coated beads or silica spin columns V.3</w:t>
      </w:r>
      <w:r w:rsidRPr="00D329D9">
        <w:rPr>
          <w:lang w:val="en-US"/>
        </w:rPr>
        <w:t>. https://www.protocols.io/view/guanidine-based-dna-extraction-with-silica-coated-eq2ly73mmlx9/v3</w:t>
      </w:r>
    </w:p>
    <w:p w14:paraId="4E7A5E17" w14:textId="2FB9B368" w:rsidR="002402F7" w:rsidRPr="00BC16CE" w:rsidRDefault="002402F7" w:rsidP="00227293">
      <w:pPr>
        <w:pStyle w:val="SITitle"/>
        <w:spacing w:before="0" w:after="0"/>
        <w:rPr>
          <w:sz w:val="24"/>
        </w:rPr>
      </w:pPr>
      <w:r>
        <w:rPr>
          <w:sz w:val="24"/>
        </w:rPr>
        <w:fldChar w:fldCharType="end"/>
      </w:r>
    </w:p>
    <w:sectPr w:rsidR="002402F7" w:rsidRPr="00BC16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0658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2543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0MTA0MTM1MDcwNTZR0lEKTi0uzszPAykwrQUAalLr3CwAAAA="/>
  </w:docVars>
  <w:rsids>
    <w:rsidRoot w:val="00A860FB"/>
    <w:rsid w:val="00056A52"/>
    <w:rsid w:val="00072DEC"/>
    <w:rsid w:val="00091A31"/>
    <w:rsid w:val="000E1287"/>
    <w:rsid w:val="00227293"/>
    <w:rsid w:val="002402F7"/>
    <w:rsid w:val="00265BF4"/>
    <w:rsid w:val="003845B2"/>
    <w:rsid w:val="00406EC6"/>
    <w:rsid w:val="004C738E"/>
    <w:rsid w:val="004F2368"/>
    <w:rsid w:val="00533CB4"/>
    <w:rsid w:val="005F50D0"/>
    <w:rsid w:val="0061732D"/>
    <w:rsid w:val="006F5961"/>
    <w:rsid w:val="008A58D4"/>
    <w:rsid w:val="008E2B39"/>
    <w:rsid w:val="00A860FB"/>
    <w:rsid w:val="00AA6C5E"/>
    <w:rsid w:val="00B41D95"/>
    <w:rsid w:val="00BA7DF6"/>
    <w:rsid w:val="00BC16CE"/>
    <w:rsid w:val="00C66B99"/>
    <w:rsid w:val="00C67467"/>
    <w:rsid w:val="00D04DBF"/>
    <w:rsid w:val="00D329D9"/>
    <w:rsid w:val="00D95E2E"/>
    <w:rsid w:val="00EE6C63"/>
    <w:rsid w:val="00FD0AC6"/>
    <w:rsid w:val="00FD7A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AFA"/>
  <w15:chartTrackingRefBased/>
  <w15:docId w15:val="{2135598C-66C3-4354-A7A1-3528ECCA0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86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86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860F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860F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860F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860F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60F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60F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60F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60F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860F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860F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860F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860F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860F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60F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60F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60FB"/>
    <w:rPr>
      <w:rFonts w:eastAsiaTheme="majorEastAsia" w:cstheme="majorBidi"/>
      <w:color w:val="272727" w:themeColor="text1" w:themeTint="D8"/>
    </w:rPr>
  </w:style>
  <w:style w:type="paragraph" w:styleId="Titel">
    <w:name w:val="Title"/>
    <w:basedOn w:val="Standard"/>
    <w:next w:val="Standard"/>
    <w:link w:val="TitelZchn"/>
    <w:uiPriority w:val="10"/>
    <w:qFormat/>
    <w:rsid w:val="00A86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60F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60F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60F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60F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60FB"/>
    <w:rPr>
      <w:i/>
      <w:iCs/>
      <w:color w:val="404040" w:themeColor="text1" w:themeTint="BF"/>
    </w:rPr>
  </w:style>
  <w:style w:type="paragraph" w:styleId="Listenabsatz">
    <w:name w:val="List Paragraph"/>
    <w:basedOn w:val="Standard"/>
    <w:uiPriority w:val="34"/>
    <w:qFormat/>
    <w:rsid w:val="00A860FB"/>
    <w:pPr>
      <w:ind w:left="720"/>
      <w:contextualSpacing/>
    </w:pPr>
  </w:style>
  <w:style w:type="character" w:styleId="IntensiveHervorhebung">
    <w:name w:val="Intense Emphasis"/>
    <w:basedOn w:val="Absatz-Standardschriftart"/>
    <w:uiPriority w:val="21"/>
    <w:qFormat/>
    <w:rsid w:val="00A860FB"/>
    <w:rPr>
      <w:i/>
      <w:iCs/>
      <w:color w:val="0F4761" w:themeColor="accent1" w:themeShade="BF"/>
    </w:rPr>
  </w:style>
  <w:style w:type="paragraph" w:styleId="IntensivesZitat">
    <w:name w:val="Intense Quote"/>
    <w:basedOn w:val="Standard"/>
    <w:next w:val="Standard"/>
    <w:link w:val="IntensivesZitatZchn"/>
    <w:uiPriority w:val="30"/>
    <w:qFormat/>
    <w:rsid w:val="00A86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860FB"/>
    <w:rPr>
      <w:i/>
      <w:iCs/>
      <w:color w:val="0F4761" w:themeColor="accent1" w:themeShade="BF"/>
    </w:rPr>
  </w:style>
  <w:style w:type="character" w:styleId="IntensiverVerweis">
    <w:name w:val="Intense Reference"/>
    <w:basedOn w:val="Absatz-Standardschriftart"/>
    <w:uiPriority w:val="32"/>
    <w:qFormat/>
    <w:rsid w:val="00A860FB"/>
    <w:rPr>
      <w:b/>
      <w:bCs/>
      <w:smallCaps/>
      <w:color w:val="0F4761" w:themeColor="accent1" w:themeShade="BF"/>
      <w:spacing w:val="5"/>
    </w:rPr>
  </w:style>
  <w:style w:type="paragraph" w:customStyle="1" w:styleId="SITitle">
    <w:name w:val="SI Title"/>
    <w:basedOn w:val="Textkrper"/>
    <w:qFormat/>
    <w:rsid w:val="00227293"/>
    <w:pPr>
      <w:keepNext/>
      <w:widowControl w:val="0"/>
      <w:spacing w:before="400" w:line="240" w:lineRule="auto"/>
    </w:pPr>
    <w:rPr>
      <w:rFonts w:ascii="Arial" w:eastAsia="Arial" w:hAnsi="Arial" w:cs="Arial"/>
      <w:color w:val="000000"/>
      <w:kern w:val="0"/>
      <w:sz w:val="28"/>
      <w:szCs w:val="24"/>
      <w:lang w:val="en-US" w:eastAsia="zh-CN"/>
      <w14:ligatures w14:val="none"/>
    </w:rPr>
  </w:style>
  <w:style w:type="paragraph" w:styleId="Textkrper">
    <w:name w:val="Body Text"/>
    <w:basedOn w:val="Standard"/>
    <w:link w:val="TextkrperZchn"/>
    <w:uiPriority w:val="99"/>
    <w:semiHidden/>
    <w:unhideWhenUsed/>
    <w:rsid w:val="00227293"/>
    <w:pPr>
      <w:spacing w:after="120"/>
    </w:pPr>
  </w:style>
  <w:style w:type="character" w:customStyle="1" w:styleId="TextkrperZchn">
    <w:name w:val="Textkörper Zchn"/>
    <w:basedOn w:val="Absatz-Standardschriftart"/>
    <w:link w:val="Textkrper"/>
    <w:uiPriority w:val="99"/>
    <w:semiHidden/>
    <w:rsid w:val="00227293"/>
  </w:style>
  <w:style w:type="paragraph" w:styleId="Beschriftung">
    <w:name w:val="caption"/>
    <w:basedOn w:val="Standard"/>
    <w:next w:val="Standard"/>
    <w:uiPriority w:val="35"/>
    <w:unhideWhenUsed/>
    <w:qFormat/>
    <w:rsid w:val="00B41D95"/>
    <w:pPr>
      <w:spacing w:after="200" w:line="240" w:lineRule="auto"/>
    </w:pPr>
    <w:rPr>
      <w:i/>
      <w:iCs/>
      <w:color w:val="0E2841" w:themeColor="text2"/>
      <w:sz w:val="18"/>
      <w:szCs w:val="18"/>
    </w:rPr>
  </w:style>
  <w:style w:type="paragraph" w:styleId="Literaturverzeichnis">
    <w:name w:val="Bibliography"/>
    <w:basedOn w:val="Standard"/>
    <w:next w:val="Standard"/>
    <w:uiPriority w:val="37"/>
    <w:unhideWhenUsed/>
    <w:rsid w:val="002402F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1147</Words>
  <Characters>7232</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Buchner</dc:creator>
  <cp:keywords/>
  <dc:description/>
  <cp:lastModifiedBy>Dominik Buchner</cp:lastModifiedBy>
  <cp:revision>21</cp:revision>
  <dcterms:created xsi:type="dcterms:W3CDTF">2026-10-22T10:55:00Z</dcterms:created>
  <dcterms:modified xsi:type="dcterms:W3CDTF">2026-10-23T12:41:00Z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id="vz4VnScY"/&gt;&lt;style id="http://www.zotero.org/styles/apa" locale="de-DE" hasBibliography="1" bibliographyStyleHasBeenSet="1"/&gt;&lt;prefs&gt;&lt;pref name="fieldType" value="Field"/&gt;&lt;/prefs&gt;&lt;/data&gt;</vt:lpwstr>
  </property>
</Properties>
</file>