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C6FC90" w14:textId="77777777" w:rsidR="003723DB" w:rsidRPr="003723DB" w:rsidRDefault="00227293" w:rsidP="003723DB">
      <w:pPr>
        <w:pStyle w:val="SITitle"/>
        <w:spacing w:before="0" w:after="0"/>
        <w:rPr>
          <w:b/>
          <w:bCs/>
          <w:sz w:val="24"/>
        </w:rPr>
      </w:pPr>
      <w:r w:rsidRPr="003723DB">
        <w:rPr>
          <w:b/>
          <w:bCs/>
          <w:sz w:val="24"/>
        </w:rPr>
        <w:t xml:space="preserve">Supporting information 9</w:t>
      </w:r>
      <w:r w:rsidR="003723DB" w:rsidRPr="003723DB">
        <w:rPr>
          <w:b/>
          <w:bCs/>
          <w:sz w:val="24"/>
        </w:rPr>
        <w:t xml:space="preserve">: Validation of amplification efficiency of the second step PCR</w:t>
      </w:r>
    </w:p>
    <w:p w14:paraId="12E22DF7" w14:textId="2B30BDD7" w:rsidR="00227293" w:rsidRPr="003723DB" w:rsidRDefault="00D95E2E" w:rsidP="008F4AB1">
      <w:pPr>
        <w:pStyle w:val="SITitle"/>
        <w:spacing w:before="0" w:after="0"/>
        <w:jc w:val="both"/>
      </w:pPr>
      <w:r w:rsidRPr="00D95E2E">
        <w:rPr>
          <w:sz w:val="24"/>
        </w:rPr>
        <w:t xml:space="preserve">A central assumption of </w:t>
      </w:r>
      <w:r>
        <w:rPr>
          <w:sz w:val="24"/>
        </w:rPr>
        <w:t>th</w:t>
      </w:r>
      <w:r w:rsidR="008F4AB1">
        <w:rPr>
          <w:sz w:val="24"/>
        </w:rPr>
        <w:t xml:space="preserve">is study </w:t>
      </w:r>
      <w:r w:rsidRPr="00D95E2E">
        <w:rPr>
          <w:sz w:val="24"/>
        </w:rPr>
        <w:t xml:space="preserve">is that the second-step PCR amplifies the products of all </w:t>
      </w:r>
      <w:r w:rsidR="008F4AB1">
        <w:rPr>
          <w:sz w:val="24"/>
        </w:rPr>
        <w:t xml:space="preserve">examined </w:t>
      </w:r>
      <w:r w:rsidRPr="00D95E2E">
        <w:rPr>
          <w:sz w:val="24"/>
        </w:rPr>
        <w:t>taxa with approximately equal efficiency, so that taxon-specific bias arises only in the first-step PCR. Because sequence-intrinsic properties such as GC content could also affect efficiency in the second step, this assumption was tested directly.</w:t>
      </w:r>
      <w:r>
        <w:rPr>
          <w:sz w:val="24"/>
        </w:rPr>
        <w:t xml:space="preserve"> </w:t>
      </w:r>
    </w:p>
    <w:p w14:paraId="4ABE1687" w14:textId="427671CA" w:rsidR="00D95E2E" w:rsidRDefault="00D95E2E" w:rsidP="008F4AB1">
      <w:pPr>
        <w:pStyle w:val="SITitle"/>
        <w:spacing w:before="0" w:after="0"/>
        <w:jc w:val="both"/>
        <w:rPr>
          <w:sz w:val="24"/>
        </w:rPr>
      </w:pPr>
      <w:r>
        <w:rPr>
          <w:sz w:val="24"/>
        </w:rPr>
        <w:t>For this, a first-step PCR was performed for each of the DNA pools</w:t>
      </w:r>
      <w:r w:rsidR="008F4AB1">
        <w:rPr>
          <w:sz w:val="24"/>
        </w:rPr>
        <w:t xml:space="preserve"> (Supporting information 2)</w:t>
      </w:r>
      <w:r>
        <w:rPr>
          <w:sz w:val="24"/>
        </w:rPr>
        <w:t xml:space="preserve"> with the fwh2 primers carrying the universal tails to generate amplicons identical to the products of the first-step PCR in the main experiment, including the universal binding sites. Cycling conditions were identical to the first-step PCR of the main experiment, but DNA was amplified for 40 cycles to obtain sufficient template </w:t>
      </w:r>
      <w:r w:rsidR="00B20B25">
        <w:rPr>
          <w:sz w:val="24"/>
        </w:rPr>
        <w:t>for subsequent</w:t>
      </w:r>
      <w:r>
        <w:rPr>
          <w:sz w:val="24"/>
        </w:rPr>
        <w:t xml:space="preserve"> test</w:t>
      </w:r>
      <w:r w:rsidR="00C307F8">
        <w:rPr>
          <w:sz w:val="24"/>
        </w:rPr>
        <w:t>ing</w:t>
      </w:r>
      <w:r>
        <w:rPr>
          <w:sz w:val="24"/>
        </w:rPr>
        <w:t xml:space="preserve">. Residual primers and primer dimers were removed with a bead-based cleanup </w:t>
      </w:r>
      <w:r>
        <w:rPr>
          <w:sz w:val="24"/>
        </w:rPr>
        <w:fldChar w:fldCharType="begin"/>
      </w:r>
      <w:r w:rsidR="003723DB">
        <w:rPr>
          <w:sz w:val="24"/>
        </w:rPr>
        <w:instrText xml:space="preserve"> ADDIN ZOTERO_ITEM CSL_CITATION {"citationID":"oIAUsYB7","properties":{"unsorted":false,"formattedCitation":"(Buchner, 2022)","plainCitation":"(Buchner, 2022)","noteIndex":0},"citationItems":[{"id":1115,"uris":["http://zotero.org/users/6327495/items/HAAAVNW6"],"itemData":{"id":1115,"type":"article-journal","abstract":"PCR cleanup and size selection with magnetic beads. This protocol describes how to clean up PCR produc. Read full protocol, steps, and materials on protocols.io","language":"en","source":"www.protocols.io","title":"PCR cleanup and size selection with magnetic beads V.3","URL":"https://www.protocols.io/view/pcr-cleanup-and-size-selection-with-magnetic-beads-36wgqj45xvk5/v3","author":[{"family":"Buchner","given":"Dominik"}],"accessed":{"date-parts":[["2026",7,8]]},"issued":{"date-parts":[["2022",10,19]]}}}],"schema":"https://github.com/citation-style-language/schema/raw/master/csl-citation.json"} </w:instrText>
      </w:r>
      <w:r>
        <w:rPr>
          <w:sz w:val="24"/>
        </w:rPr>
        <w:fldChar w:fldCharType="separate"/>
      </w:r>
      <w:r w:rsidR="003723DB" w:rsidRPr="003723DB">
        <w:rPr>
          <w:sz w:val="24"/>
        </w:rPr>
        <w:t>(Buchner, 2022)</w:t>
      </w:r>
      <w:r>
        <w:rPr>
          <w:sz w:val="24"/>
        </w:rPr>
        <w:fldChar w:fldCharType="end"/>
      </w:r>
      <w:r>
        <w:rPr>
          <w:sz w:val="24"/>
        </w:rPr>
        <w:t xml:space="preserve">. This resulted </w:t>
      </w:r>
      <w:r w:rsidR="00AA6C5E">
        <w:rPr>
          <w:sz w:val="24"/>
        </w:rPr>
        <w:t xml:space="preserve">in one first-step amplicon pool per taxon. </w:t>
      </w:r>
    </w:p>
    <w:p w14:paraId="6CD6C429" w14:textId="238877F1" w:rsidR="00AA6C5E" w:rsidRDefault="00AA6C5E" w:rsidP="008F4AB1">
      <w:pPr>
        <w:pStyle w:val="SITitle"/>
        <w:spacing w:before="0" w:after="0"/>
        <w:jc w:val="both"/>
        <w:rPr>
          <w:sz w:val="24"/>
        </w:rPr>
      </w:pPr>
      <w:r>
        <w:rPr>
          <w:sz w:val="24"/>
        </w:rPr>
        <w:t xml:space="preserve">The amplicon pools were used as </w:t>
      </w:r>
      <w:r w:rsidR="00B20B25">
        <w:rPr>
          <w:sz w:val="24"/>
        </w:rPr>
        <w:t>templates</w:t>
      </w:r>
      <w:r>
        <w:rPr>
          <w:sz w:val="24"/>
        </w:rPr>
        <w:t xml:space="preserve"> for a</w:t>
      </w:r>
      <w:r w:rsidR="00B20B25">
        <w:rPr>
          <w:sz w:val="24"/>
        </w:rPr>
        <w:t xml:space="preserve"> </w:t>
      </w:r>
      <w:r>
        <w:rPr>
          <w:sz w:val="24"/>
        </w:rPr>
        <w:t xml:space="preserve">qPCR. The pools were diluted in PCR-grade water so that all quantification cycles (Cq) fell within the linear range of the assay. qPCR was performed in 10 µL assays with 18 replicates per amplicon pool, using 1x </w:t>
      </w:r>
      <w:proofErr w:type="spellStart"/>
      <w:r>
        <w:rPr>
          <w:sz w:val="24"/>
        </w:rPr>
        <w:t>PerfeCTa</w:t>
      </w:r>
      <w:proofErr w:type="spellEnd"/>
      <w:r>
        <w:rPr>
          <w:sz w:val="24"/>
        </w:rPr>
        <w:t xml:space="preserve"> SYBR Green </w:t>
      </w:r>
      <w:proofErr w:type="spellStart"/>
      <w:r>
        <w:rPr>
          <w:sz w:val="24"/>
        </w:rPr>
        <w:t>FastMix</w:t>
      </w:r>
      <w:proofErr w:type="spellEnd"/>
      <w:r>
        <w:rPr>
          <w:sz w:val="24"/>
        </w:rPr>
        <w:t xml:space="preserve"> (</w:t>
      </w:r>
      <w:proofErr w:type="spellStart"/>
      <w:r>
        <w:rPr>
          <w:sz w:val="24"/>
        </w:rPr>
        <w:t>Quantabio</w:t>
      </w:r>
      <w:proofErr w:type="spellEnd"/>
      <w:r>
        <w:rPr>
          <w:sz w:val="24"/>
        </w:rPr>
        <w:t>, Beverly, MA, USA), 100 nM of universal binding site primers identical to those used for the second PCR (</w:t>
      </w:r>
      <w:r w:rsidRPr="00AA6C5E">
        <w:rPr>
          <w:sz w:val="24"/>
        </w:rPr>
        <w:t>forward universal tail: 5’-ACACTCTTTCCCTACACGACGCTCTTCCGATCT-3’, reverse universal tail: 5’-GTGACTGGAGTTCAGACGTGTGCTCTTCCGATCT-3’</w:t>
      </w:r>
      <w:r>
        <w:rPr>
          <w:sz w:val="24"/>
        </w:rPr>
        <w:t xml:space="preserve">) but excluding the Illumina index and the P5/P7 adapter, 3 µL of diluted template and filled up to 10 µL with PCR-grade water. Six no-template controls were included in the qPCR measurement. </w:t>
      </w:r>
      <w:r w:rsidR="00C809B4">
        <w:rPr>
          <w:sz w:val="24"/>
        </w:rPr>
        <w:t>qPCR was performed on a QuantStudio3 system (</w:t>
      </w:r>
      <w:proofErr w:type="spellStart"/>
      <w:r w:rsidR="00C809B4">
        <w:rPr>
          <w:sz w:val="24"/>
        </w:rPr>
        <w:t>Thermo</w:t>
      </w:r>
      <w:proofErr w:type="spellEnd"/>
      <w:r w:rsidR="00C809B4">
        <w:rPr>
          <w:sz w:val="24"/>
        </w:rPr>
        <w:t xml:space="preserve"> Fisher Scientific, Waltham, MA, USA</w:t>
      </w:r>
      <w:r w:rsidR="00C809B4" w:rsidRPr="00C809B4">
        <w:rPr>
          <w:sz w:val="24"/>
        </w:rPr>
        <w:t>.</w:t>
      </w:r>
      <w:r w:rsidRPr="00C809B4">
        <w:rPr>
          <w:sz w:val="24"/>
        </w:rPr>
        <w:t xml:space="preserve"> Thermal</w:t>
      </w:r>
      <w:r>
        <w:rPr>
          <w:sz w:val="24"/>
        </w:rPr>
        <w:t xml:space="preserve"> cycling was performed with 3 min of initial denaturation followed by 40 cycles of 15 s denaturation at 95 °C and </w:t>
      </w:r>
      <w:r w:rsidR="008A58D4">
        <w:rPr>
          <w:sz w:val="24"/>
        </w:rPr>
        <w:t xml:space="preserve">60 s of combined annealing and extension at 61 °C, which corresponds to the annealing temperature of the second PCR step in the main experiment. A melt curve analysis was performed after amplification. </w:t>
      </w:r>
    </w:p>
    <w:p w14:paraId="70C91A17" w14:textId="2C716998" w:rsidR="008A58D4" w:rsidRDefault="008A58D4" w:rsidP="008F4AB1">
      <w:pPr>
        <w:pStyle w:val="SITitle"/>
        <w:spacing w:before="0" w:after="0"/>
        <w:jc w:val="both"/>
        <w:rPr>
          <w:sz w:val="24"/>
        </w:rPr>
      </w:pPr>
      <w:r>
        <w:rPr>
          <w:sz w:val="24"/>
        </w:rPr>
        <w:t>qPCR raw data were exported</w:t>
      </w:r>
      <w:r w:rsidR="00B20B25">
        <w:rPr>
          <w:sz w:val="24"/>
        </w:rPr>
        <w:t xml:space="preserve"> (Supporting information 10)</w:t>
      </w:r>
      <w:r>
        <w:rPr>
          <w:sz w:val="24"/>
        </w:rPr>
        <w:t xml:space="preserve"> and further analyzed with the RDML-Python library </w:t>
      </w:r>
      <w:r>
        <w:rPr>
          <w:sz w:val="24"/>
        </w:rPr>
        <w:fldChar w:fldCharType="begin"/>
      </w:r>
      <w:r>
        <w:rPr>
          <w:sz w:val="24"/>
        </w:rPr>
        <w:instrText xml:space="preserve"> ADDIN ZOTERO_ITEM CSL_CITATION {"citationID":"JdVpWnzG","properties":{"unsorted":false,"formattedCitation":"(Untergasser et al., 2021)","plainCitation":"(Untergasser et al., 2021)","noteIndex":0},"citationItems":[{"id":1143,"uris":["http://zotero.org/users/6327495/items/NUE3TYKZ"],"itemData":{"id":1143,"type":"article-journal","abstract":"Background\nThe analyses of amplification and melting curves have been shown to provide valuable information on the quality of the individual reactions in quantitative PCR (qPCR) experiments and to result in more reliable and reproducible quantitative results.\n\nImplementation\nThe main steps in the amplification curve analysis are (1) a unique baseline subtraction, not using the ground phase cycles, (2) PCR efficiency determination from the exponential phase of the individual reactions, (3) setting a common quantification threshold and (4) calculation of the efficiency-corrected target quantity with the common threshold, efficiency per assay and Cq per reaction. The melting curve analysis encompasses smoothing of the observed fluorescence data, normalization to remove product-independent fluorescence loss, peak calling and assessment of the correct peak by comparing its melting temperature with the known melting temperature of the intended amplification product.\n\nResults\nThe LinRegPCR web application provides visualization and analysis of a single qPCR run. The user interface displays the analysis results on the amplification curve analysis and melting curve analysis in tables and graphs in which deviant reactions are highlighted. The annotated results in the tables can be exported for calculation of gene-expression ratios, fold-change between experimental conditions and further statistical analysis. Web-based LinRegPCR addresses two types of users, wet-lab scientists analyzing the amplification and melting curves of their own qPCR experiments and bioinformaticians creating pipelines for analysis of series of qPCR experiments by splitting its functionality into a stand-alone back-end RDML (Real-time PCR Data Markup Language) Python library and several companion applications for data visualization, analysis and interactive access. The use of the RDML data standard enables machine independent storage and exchange of qPCR data and the RDML-Tools assist with the import of qPCR data from the files exported by the qPCR instrument.\n\nConclusions\nThe combined implementation of these analyses in the newly developed web-based LinRegPCR (https://www.gear-genomics.com/rdml-tools/) is platform independent and much faster than the original Windows-based versions of the LinRegPCR program. Moreover, web-based LinRegPCR includes a novel statistical outlier detection and the combination of amplification and melting curve analyses allows direct validation of the amplification product and reporting of reactions that amplify artefacts.\n\nSupplementary Information\nThe online version contains supplementary material available at 10.1186/s12859-021-04306-1.","container-title":"BMC Bioinformatics","DOI":"10.1186/s12859-021-04306-1","ISSN":"1471-2105","journalAbbreviation":"BMC Bioinformatics","page":"398","PMID":"34433408","PMCID":"PMC8386043","source":"PubMed Central","title":"Web-based LinRegPCR: application for the visualization and analysis of (RT)-qPCR amplification and melting data","title-short":"Web-based LinRegPCR","volume":"22","author":[{"family":"Untergasser","given":"Andreas"},{"family":"Ruijter","given":"Jan M."},{"family":"Benes","given":"Vladimir"},{"family":"Hoff","given":"Maurice J. B.","non-dropping-particle":"van den"}],"issued":{"date-parts":[["2021",8,24]]}}}],"schema":"https://github.com/citation-style-language/schema/raw/master/csl-citation.json"} </w:instrText>
      </w:r>
      <w:r>
        <w:rPr>
          <w:sz w:val="24"/>
        </w:rPr>
        <w:fldChar w:fldCharType="separate"/>
      </w:r>
      <w:r w:rsidRPr="008A58D4">
        <w:rPr>
          <w:sz w:val="24"/>
        </w:rPr>
        <w:t>(Untergasser et al., 2021)</w:t>
      </w:r>
      <w:r>
        <w:rPr>
          <w:sz w:val="24"/>
        </w:rPr>
        <w:fldChar w:fldCharType="end"/>
      </w:r>
      <w:r>
        <w:rPr>
          <w:sz w:val="24"/>
        </w:rPr>
        <w:t xml:space="preserve">. </w:t>
      </w:r>
    </w:p>
    <w:p w14:paraId="1E1509E6" w14:textId="11E227C1" w:rsidR="006D44C8" w:rsidRDefault="006D44C8" w:rsidP="008F4AB1">
      <w:pPr>
        <w:pStyle w:val="SITitle"/>
        <w:spacing w:before="0" w:after="0"/>
        <w:jc w:val="both"/>
        <w:rPr>
          <w:sz w:val="24"/>
        </w:rPr>
      </w:pPr>
      <w:r>
        <w:rPr>
          <w:sz w:val="24"/>
        </w:rPr>
        <w:t xml:space="preserve">Per-well PCR efficiencies were estimated from the baseline-corrected fluorescence data with </w:t>
      </w:r>
      <w:proofErr w:type="spellStart"/>
      <w:r>
        <w:rPr>
          <w:sz w:val="24"/>
        </w:rPr>
        <w:t>LinRegPCR</w:t>
      </w:r>
      <w:proofErr w:type="spellEnd"/>
      <w:r w:rsidR="00651E8B">
        <w:rPr>
          <w:sz w:val="24"/>
        </w:rPr>
        <w:t xml:space="preserve"> </w:t>
      </w:r>
      <w:r w:rsidR="00651E8B">
        <w:rPr>
          <w:sz w:val="24"/>
        </w:rPr>
        <w:fldChar w:fldCharType="begin"/>
      </w:r>
      <w:r w:rsidR="00651E8B">
        <w:rPr>
          <w:sz w:val="24"/>
        </w:rPr>
        <w:instrText xml:space="preserve"> ADDIN ZOTERO_ITEM CSL_CITATION {"citationID":"g0y7arMV","properties":{"unsorted":false,"formattedCitation":"(Ruijter et al., 2009)","plainCitation":"(Ruijter et al., 2009)","noteIndex":0},"citationItems":[{"id":1148,"uris":["http://zotero.org/users/6327495/items/8SGUFBL3"],"itemData":{"id":1148,"type":"article-journal","abstract":"Despite the central role of quantitative PCR (qPCR) in the quantification of mRNA transcripts, most analyses of qPCR data are still delegated to the software that comes with the qPCR apparatus. This is especially true for the handling of the fluorescence baseline. This article shows that baseline estimation errors are directly reflected in the observed PCR efficiency values and are thus propagated exponentially in the estimated starting concentrations as well as ‘fold-difference’ results. Because of the unknown origin and kinetics of the baseline fluorescence, the fluorescence values monitored in the initial cycles of the PCR reaction cannot be used to estimate a useful baseline value. An algorithm that estimates the baseline by reconstructing the log-linear phase downward from the early plateau phase of the PCR reaction was developed and shown to lead to very reproducible PCR efficiency values. PCR efficiency values were determined per sample by fitting a regression line to a subset of data points in the log-linear phase. The variability, as well as the bias, in qPCR results was significantly reduced when the mean of these PCR efficiencies per amplicon was used in the calculation of an estimate of the starting concentration per sample.","container-title":"Nucleic Acids Research","DOI":"10.1093/nar/gkp045","ISSN":"0305-1048","issue":"6","journalAbbreviation":"Nucleic Acids Res","page":"e45","source":"Silverchair","title":"Amplification efficiency: linking baseline and bias in the analysis of quantitative PCR data","title-short":"Amplification efficiency","volume":"37","author":[{"family":"Ruijter","given":"J. M."},{"family":"Ramakers","given":"C."},{"family":"Hoogaars","given":"W. M. H."},{"family":"Karlen","given":"Y."},{"family":"Bakker","given":"O."},{"family":"Hoff","given":"M. J. B.","non-dropping-particle":"van den"},{"family":"Moorman","given":"A. F. M."}],"issued":{"date-parts":[["2009",4,1]]}}}],"schema":"https://github.com/citation-style-language/schema/raw/master/csl-citation.json"} </w:instrText>
      </w:r>
      <w:r w:rsidR="00651E8B">
        <w:rPr>
          <w:sz w:val="24"/>
        </w:rPr>
        <w:fldChar w:fldCharType="separate"/>
      </w:r>
      <w:r w:rsidR="00651E8B" w:rsidRPr="00651E8B">
        <w:rPr>
          <w:sz w:val="24"/>
        </w:rPr>
        <w:t>(Ruijter et al., 2009)</w:t>
      </w:r>
      <w:r w:rsidR="00651E8B">
        <w:rPr>
          <w:sz w:val="24"/>
        </w:rPr>
        <w:fldChar w:fldCharType="end"/>
      </w:r>
      <w:r>
        <w:rPr>
          <w:sz w:val="24"/>
        </w:rPr>
        <w:t xml:space="preserve"> as implemented in RDML-Python (version 1.7.2), which determines the window of linearity for every well individually. Wells without a plateau, with an outlying efficiency or with an unstable baseline were excluded by the program; none of the 90 sample wells was excluded. E is given as the amplification factor per cycle (E = 2: perfect doubling). Because the residuals deviated from normality, efficiencies were compared between taxa with a Kruskal-Wallis test, and epsilon squared (H / (N − 1)) is given as effect size.</w:t>
      </w:r>
    </w:p>
    <w:p w14:paraId="7E8D6485" w14:textId="3D8F77C5" w:rsidR="006D44C8" w:rsidRDefault="006D44C8" w:rsidP="008F4AB1">
      <w:pPr>
        <w:pStyle w:val="SITitle"/>
        <w:spacing w:before="0" w:after="0"/>
        <w:jc w:val="both"/>
        <w:rPr>
          <w:sz w:val="24"/>
        </w:rPr>
      </w:pPr>
      <w:r>
        <w:rPr>
          <w:sz w:val="24"/>
        </w:rPr>
        <w:t>The second-step PCR amplifie</w:t>
      </w:r>
      <w:r w:rsidR="00C809B4">
        <w:rPr>
          <w:sz w:val="24"/>
        </w:rPr>
        <w:t>s</w:t>
      </w:r>
      <w:r>
        <w:rPr>
          <w:sz w:val="24"/>
        </w:rPr>
        <w:t xml:space="preserve"> all five taxa with similar efficiencies (Figure 9.1, Table 9.1). Mean per-well efficiencies ranged from 1.923 (Amphipoda) to 1.942 (Diptera), a difference of 0.019, and single wells ranged from 1.847 to 2.016. Efficiencies differed significantly between taxa (Kruskal-Wallis, H(4) = 16.8, p = 0.002), with a moderate effect size (ε² = 0.19) but a small absolute difference. Over the 25 to 39 cycles of the second PCR step in the main experiment, the difference between the taxa with the highest and the lowest mean efficiency would amount to a 1.29- to 1.48-fold difference in product. Efficiencies above 2 (maximum 2.016, Amphipoda) are not physically possible and reflect the estimation noise of the per-well regression.</w:t>
      </w:r>
    </w:p>
    <w:p w14:paraId="585FB8B7" w14:textId="4CF7DB01" w:rsidR="006D44C8" w:rsidRDefault="006D44C8" w:rsidP="008F4AB1">
      <w:pPr>
        <w:pStyle w:val="SITitle"/>
        <w:spacing w:before="0" w:after="0"/>
        <w:jc w:val="both"/>
        <w:rPr>
          <w:sz w:val="24"/>
        </w:rPr>
      </w:pPr>
      <w:r>
        <w:rPr>
          <w:sz w:val="24"/>
        </w:rPr>
        <w:t xml:space="preserve">Cq values differed between the amplicon pools (median 21.5 for Blattodea to 28.0 for Amphipoda), because the pools contained different amounts of amplifiable template. These differences do not indicate differences in efficiency, which is derived from the </w:t>
      </w:r>
      <w:r>
        <w:rPr>
          <w:sz w:val="24"/>
        </w:rPr>
        <w:lastRenderedPageBreak/>
        <w:t xml:space="preserve">slope of each amplification curve. Melting temperatures of the products ranged from 75.9 to 78.8 °C (Supporting information 10). No amplification was detected in the six no-template controls.</w:t>
      </w:r>
    </w:p>
    <w:p w14:paraId="585105C7" w14:textId="77777777" w:rsidR="006D44C8" w:rsidRDefault="006D44C8" w:rsidP="006D44C8">
      <w:pPr>
        <w:pStyle w:val="SITitle"/>
        <w:spacing w:before="0" w:after="0"/>
        <w:jc w:val="both"/>
      </w:pPr>
      <w:r>
        <w:rPr>
          <w:noProof/>
          <w:sz w:val="24"/>
        </w:rPr>
        <w:drawing>
          <wp:inline distT="0" distB="0" distL="0" distR="0" wp14:anchorId="0EB116DF" wp14:editId="3C9D05CC">
            <wp:extent cx="5753100" cy="2305050"/>
            <wp:effectExtent l="19050" t="19050" r="19050" b="19050"/>
            <wp:docPr id="3869685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53100" cy="2305050"/>
                    </a:xfrm>
                    <a:prstGeom prst="rect">
                      <a:avLst/>
                    </a:prstGeom>
                    <a:noFill/>
                    <a:ln>
                      <a:solidFill>
                        <a:schemeClr val="tx1"/>
                      </a:solidFill>
                    </a:ln>
                  </pic:spPr>
                </pic:pic>
              </a:graphicData>
            </a:graphic>
          </wp:inline>
        </w:drawing>
      </w:r>
    </w:p>
    <w:p w14:paraId="1EFA44CB" w14:textId="43F29982" w:rsidR="006D44C8" w:rsidRPr="00C809B4" w:rsidRDefault="006D44C8" w:rsidP="00C809B4">
      <w:pPr>
        <w:pStyle w:val="Beschriftung"/>
        <w:jc w:val="both"/>
        <w:rPr>
          <w:rFonts w:ascii="Arial" w:hAnsi="Arial" w:cs="Arial"/>
          <w:i w:val="0"/>
          <w:iCs w:val="0"/>
          <w:color w:val="000000" w:themeColor="text1"/>
          <w:sz w:val="20"/>
          <w:szCs w:val="20"/>
          <w:lang w:val="en-US"/>
        </w:rPr>
      </w:pPr>
      <w:r w:rsidRPr="00C220CE">
        <w:rPr>
          <w:rFonts w:ascii="Arial" w:hAnsi="Arial" w:cs="Arial"/>
          <w:b/>
          <w:bCs/>
          <w:i w:val="0"/>
          <w:iCs w:val="0"/>
          <w:color w:val="000000" w:themeColor="text1"/>
          <w:sz w:val="20"/>
          <w:szCs w:val="20"/>
          <w:lang w:val="en-US"/>
        </w:rPr>
        <w:t xml:space="preserve">Figure 9.1:</w:t>
      </w:r>
      <w:r w:rsidRPr="00C220CE">
        <w:rPr>
          <w:rFonts w:ascii="Arial" w:hAnsi="Arial" w:cs="Arial"/>
          <w:i w:val="0"/>
          <w:iCs w:val="0"/>
          <w:color w:val="000000" w:themeColor="text1"/>
          <w:sz w:val="20"/>
          <w:szCs w:val="20"/>
          <w:lang w:val="en-US"/>
        </w:rPr>
        <w:t xml:space="preserve"> Efficiency of the second-step PCR across taxa. (A) Baseline-corrected amplification curves (thin lines: single wells; thick lines: median per taxon). (B) PCR efficiency E per well, estimated with </w:t>
      </w:r>
      <w:proofErr w:type="spellStart"/>
      <w:r w:rsidRPr="00C220CE">
        <w:rPr>
          <w:rFonts w:ascii="Arial" w:hAnsi="Arial" w:cs="Arial"/>
          <w:i w:val="0"/>
          <w:iCs w:val="0"/>
          <w:color w:val="000000" w:themeColor="text1"/>
          <w:sz w:val="20"/>
          <w:szCs w:val="20"/>
          <w:lang w:val="en-US"/>
        </w:rPr>
        <w:t>LinRegPCR</w:t>
      </w:r>
      <w:proofErr w:type="spellEnd"/>
      <w:r w:rsidRPr="00C220CE">
        <w:rPr>
          <w:rFonts w:ascii="Arial" w:hAnsi="Arial" w:cs="Arial"/>
          <w:i w:val="0"/>
          <w:iCs w:val="0"/>
          <w:color w:val="000000" w:themeColor="text1"/>
          <w:sz w:val="20"/>
          <w:szCs w:val="20"/>
          <w:lang w:val="en-US"/>
        </w:rPr>
        <w:t xml:space="preserve"> (box: median and interquartile range; whiskers: 1.5 × IQR; points: single wells). The dashed line marks E = 2 (perfect doubling per cycle). n = 18 wells per taxon. Differences in Cq between taxa reflect different template amounts of the amplicon pools. </w:t>
      </w:r>
    </w:p>
    <w:p w14:paraId="350C1C72" w14:textId="77777777" w:rsidR="00B20B25" w:rsidRPr="00C220CE" w:rsidRDefault="006D44C8" w:rsidP="00C809B4">
      <w:pPr>
        <w:pStyle w:val="Beschriftung"/>
        <w:spacing w:after="0"/>
        <w:jc w:val="both"/>
        <w:rPr>
          <w:rFonts w:ascii="Arial" w:hAnsi="Arial" w:cs="Arial"/>
          <w:i w:val="0"/>
          <w:iCs w:val="0"/>
          <w:color w:val="000000" w:themeColor="text1"/>
          <w:sz w:val="20"/>
          <w:szCs w:val="20"/>
          <w:lang w:val="en-US"/>
        </w:rPr>
      </w:pPr>
      <w:r w:rsidRPr="00C220CE">
        <w:rPr>
          <w:rFonts w:ascii="Arial" w:hAnsi="Arial" w:cs="Arial"/>
          <w:b/>
          <w:bCs/>
          <w:i w:val="0"/>
          <w:iCs w:val="0"/>
          <w:color w:val="000000" w:themeColor="text1"/>
          <w:sz w:val="20"/>
          <w:szCs w:val="20"/>
          <w:lang w:val="en-US"/>
        </w:rPr>
        <w:t xml:space="preserve">Table 9.1:</w:t>
      </w:r>
      <w:r w:rsidRPr="00C220CE">
        <w:rPr>
          <w:rFonts w:ascii="Arial" w:hAnsi="Arial" w:cs="Arial"/>
          <w:i w:val="0"/>
          <w:iCs w:val="0"/>
          <w:color w:val="000000" w:themeColor="text1"/>
          <w:sz w:val="20"/>
          <w:szCs w:val="20"/>
          <w:lang w:val="en-US"/>
        </w:rPr>
        <w:t xml:space="preserve"> Mean, minimum and maximum PCR efficiency E per well of the second-step PCR for each taxon (n = 18 wells per taxon, estimated with LinRegPCR; E = 2: perfect doubling per cycle). Raw data and per-well values are given in Supporting information 10.</w:t>
      </w:r>
    </w:p>
    <w:tbl>
      <w:tblPr>
        <w:tblStyle w:val="Tabellenraster"/>
        <w:tblW w:w="0" w:type="auto"/>
        <w:tblLook w:val="04A0" w:firstRow="1" w:lastRow="0" w:firstColumn="1" w:lastColumn="0" w:noHBand="0" w:noVBand="1"/>
      </w:tblPr>
      <w:tblGrid>
        <w:gridCol w:w="2265"/>
        <w:gridCol w:w="2265"/>
        <w:gridCol w:w="2266"/>
        <w:gridCol w:w="2266"/>
      </w:tblGrid>
      <w:tr w:rsidR="006D44C8" w14:paraId="637AA996" w14:textId="77777777" w:rsidTr="006D44C8">
        <w:tc>
          <w:tcPr>
            <w:tcW w:w="2265" w:type="dxa"/>
          </w:tcPr>
          <w:p w14:paraId="031AF956" w14:textId="08C0D8BB" w:rsidR="006D44C8" w:rsidRDefault="006D44C8" w:rsidP="006D44C8">
            <w:pPr>
              <w:rPr>
                <w:rFonts w:ascii="Arial" w:hAnsi="Arial" w:cs="Arial"/>
                <w:sz w:val="24"/>
                <w:szCs w:val="24"/>
                <w:lang w:val="en-US"/>
              </w:rPr>
            </w:pPr>
            <w:r>
              <w:rPr>
                <w:rFonts w:ascii="Arial" w:hAnsi="Arial" w:cs="Arial"/>
                <w:sz w:val="24"/>
                <w:szCs w:val="24"/>
                <w:lang w:val="en-US"/>
              </w:rPr>
              <w:t>Taxon</w:t>
            </w:r>
          </w:p>
        </w:tc>
        <w:tc>
          <w:tcPr>
            <w:tcW w:w="2265" w:type="dxa"/>
          </w:tcPr>
          <w:p w14:paraId="3CDBFE15" w14:textId="649891E1" w:rsidR="006D44C8" w:rsidRDefault="006D44C8" w:rsidP="006D44C8">
            <w:pPr>
              <w:rPr>
                <w:rFonts w:ascii="Arial" w:hAnsi="Arial" w:cs="Arial"/>
                <w:sz w:val="24"/>
                <w:szCs w:val="24"/>
                <w:lang w:val="en-US"/>
              </w:rPr>
            </w:pPr>
            <w:r>
              <w:rPr>
                <w:rFonts w:ascii="Arial" w:hAnsi="Arial" w:cs="Arial"/>
                <w:sz w:val="24"/>
                <w:szCs w:val="24"/>
                <w:lang w:val="en-US"/>
              </w:rPr>
              <w:t>Mean E</w:t>
            </w:r>
          </w:p>
        </w:tc>
        <w:tc>
          <w:tcPr>
            <w:tcW w:w="2266" w:type="dxa"/>
          </w:tcPr>
          <w:p w14:paraId="5EAF3B0E" w14:textId="1F9EDF19" w:rsidR="006D44C8" w:rsidRDefault="006D44C8" w:rsidP="006D44C8">
            <w:pPr>
              <w:rPr>
                <w:rFonts w:ascii="Arial" w:hAnsi="Arial" w:cs="Arial"/>
                <w:sz w:val="24"/>
                <w:szCs w:val="24"/>
                <w:lang w:val="en-US"/>
              </w:rPr>
            </w:pPr>
            <w:r>
              <w:rPr>
                <w:rFonts w:ascii="Arial" w:hAnsi="Arial" w:cs="Arial"/>
                <w:sz w:val="24"/>
                <w:szCs w:val="24"/>
                <w:lang w:val="en-US"/>
              </w:rPr>
              <w:t>Min E</w:t>
            </w:r>
          </w:p>
        </w:tc>
        <w:tc>
          <w:tcPr>
            <w:tcW w:w="2266" w:type="dxa"/>
          </w:tcPr>
          <w:p w14:paraId="03796740" w14:textId="713E7DDE" w:rsidR="006D44C8" w:rsidRDefault="006D44C8" w:rsidP="006D44C8">
            <w:pPr>
              <w:rPr>
                <w:rFonts w:ascii="Arial" w:hAnsi="Arial" w:cs="Arial"/>
                <w:sz w:val="24"/>
                <w:szCs w:val="24"/>
                <w:lang w:val="en-US"/>
              </w:rPr>
            </w:pPr>
            <w:r>
              <w:rPr>
                <w:rFonts w:ascii="Arial" w:hAnsi="Arial" w:cs="Arial"/>
                <w:sz w:val="24"/>
                <w:szCs w:val="24"/>
                <w:lang w:val="en-US"/>
              </w:rPr>
              <w:t>Max E</w:t>
            </w:r>
          </w:p>
        </w:tc>
      </w:tr>
      <w:tr w:rsidR="006D44C8" w14:paraId="6F69BD1E" w14:textId="77777777" w:rsidTr="006D44C8">
        <w:tc>
          <w:tcPr>
            <w:tcW w:w="2265" w:type="dxa"/>
          </w:tcPr>
          <w:p w14:paraId="73C8C731" w14:textId="4E1ED984" w:rsidR="006D44C8" w:rsidRDefault="006D44C8" w:rsidP="006D44C8">
            <w:pPr>
              <w:rPr>
                <w:rFonts w:ascii="Arial" w:hAnsi="Arial" w:cs="Arial"/>
                <w:sz w:val="24"/>
                <w:szCs w:val="24"/>
                <w:lang w:val="en-US"/>
              </w:rPr>
            </w:pPr>
            <w:r>
              <w:rPr>
                <w:rFonts w:ascii="Arial" w:hAnsi="Arial" w:cs="Arial"/>
                <w:sz w:val="24"/>
                <w:szCs w:val="24"/>
                <w:lang w:val="en-US"/>
              </w:rPr>
              <w:t>Amphipoda</w:t>
            </w:r>
          </w:p>
        </w:tc>
        <w:tc>
          <w:tcPr>
            <w:tcW w:w="2265" w:type="dxa"/>
          </w:tcPr>
          <w:p w14:paraId="788E8B9F" w14:textId="413845AC" w:rsidR="006D44C8" w:rsidRDefault="006D44C8" w:rsidP="006D44C8">
            <w:pPr>
              <w:rPr>
                <w:rFonts w:ascii="Arial" w:hAnsi="Arial" w:cs="Arial"/>
                <w:sz w:val="24"/>
                <w:szCs w:val="24"/>
                <w:lang w:val="en-US"/>
              </w:rPr>
            </w:pPr>
            <w:r>
              <w:rPr>
                <w:rFonts w:ascii="Arial" w:hAnsi="Arial" w:cs="Arial"/>
                <w:sz w:val="24"/>
                <w:szCs w:val="24"/>
                <w:lang w:val="en-US"/>
              </w:rPr>
              <w:t>1.923</w:t>
            </w:r>
          </w:p>
        </w:tc>
        <w:tc>
          <w:tcPr>
            <w:tcW w:w="2266" w:type="dxa"/>
          </w:tcPr>
          <w:p w14:paraId="0F8F5777" w14:textId="070A9CE3" w:rsidR="006D44C8" w:rsidRDefault="006D44C8" w:rsidP="006D44C8">
            <w:pPr>
              <w:rPr>
                <w:rFonts w:ascii="Arial" w:hAnsi="Arial" w:cs="Arial"/>
                <w:sz w:val="24"/>
                <w:szCs w:val="24"/>
                <w:lang w:val="en-US"/>
              </w:rPr>
            </w:pPr>
            <w:r>
              <w:rPr>
                <w:rFonts w:ascii="Arial" w:hAnsi="Arial" w:cs="Arial"/>
                <w:sz w:val="24"/>
                <w:szCs w:val="24"/>
                <w:lang w:val="en-US"/>
              </w:rPr>
              <w:t>1.847</w:t>
            </w:r>
          </w:p>
        </w:tc>
        <w:tc>
          <w:tcPr>
            <w:tcW w:w="2266" w:type="dxa"/>
          </w:tcPr>
          <w:p w14:paraId="091B17B9" w14:textId="58A3A561" w:rsidR="006D44C8" w:rsidRDefault="006D44C8" w:rsidP="006D44C8">
            <w:pPr>
              <w:rPr>
                <w:rFonts w:ascii="Arial" w:hAnsi="Arial" w:cs="Arial"/>
                <w:sz w:val="24"/>
                <w:szCs w:val="24"/>
                <w:lang w:val="en-US"/>
              </w:rPr>
            </w:pPr>
            <w:r>
              <w:rPr>
                <w:rFonts w:ascii="Arial" w:hAnsi="Arial" w:cs="Arial"/>
                <w:sz w:val="24"/>
                <w:szCs w:val="24"/>
                <w:lang w:val="en-US"/>
              </w:rPr>
              <w:t>2.016</w:t>
            </w:r>
          </w:p>
        </w:tc>
      </w:tr>
      <w:tr w:rsidR="006D44C8" w14:paraId="7BD9CC68" w14:textId="77777777" w:rsidTr="006D44C8">
        <w:tc>
          <w:tcPr>
            <w:tcW w:w="2265" w:type="dxa"/>
          </w:tcPr>
          <w:p w14:paraId="4689087B" w14:textId="26D716B9" w:rsidR="006D44C8" w:rsidRDefault="006D44C8" w:rsidP="006D44C8">
            <w:pPr>
              <w:rPr>
                <w:rFonts w:ascii="Arial" w:hAnsi="Arial" w:cs="Arial"/>
                <w:sz w:val="24"/>
                <w:szCs w:val="24"/>
                <w:lang w:val="en-US"/>
              </w:rPr>
            </w:pPr>
            <w:r>
              <w:rPr>
                <w:rFonts w:ascii="Arial" w:hAnsi="Arial" w:cs="Arial"/>
                <w:sz w:val="24"/>
                <w:szCs w:val="24"/>
                <w:lang w:val="en-US"/>
              </w:rPr>
              <w:t>Blattodea</w:t>
            </w:r>
          </w:p>
        </w:tc>
        <w:tc>
          <w:tcPr>
            <w:tcW w:w="2265" w:type="dxa"/>
          </w:tcPr>
          <w:p w14:paraId="121735C5" w14:textId="06103D94" w:rsidR="006D44C8" w:rsidRDefault="006D44C8" w:rsidP="006D44C8">
            <w:pPr>
              <w:rPr>
                <w:rFonts w:ascii="Arial" w:hAnsi="Arial" w:cs="Arial"/>
                <w:sz w:val="24"/>
                <w:szCs w:val="24"/>
                <w:lang w:val="en-US"/>
              </w:rPr>
            </w:pPr>
            <w:r>
              <w:rPr>
                <w:rFonts w:ascii="Arial" w:hAnsi="Arial" w:cs="Arial"/>
                <w:sz w:val="24"/>
                <w:szCs w:val="24"/>
                <w:lang w:val="en-US"/>
              </w:rPr>
              <w:t>1.926</w:t>
            </w:r>
          </w:p>
        </w:tc>
        <w:tc>
          <w:tcPr>
            <w:tcW w:w="2266" w:type="dxa"/>
          </w:tcPr>
          <w:p w14:paraId="1F768D4D" w14:textId="08247FEA" w:rsidR="006D44C8" w:rsidRDefault="006D44C8" w:rsidP="006D44C8">
            <w:pPr>
              <w:rPr>
                <w:rFonts w:ascii="Arial" w:hAnsi="Arial" w:cs="Arial"/>
                <w:sz w:val="24"/>
                <w:szCs w:val="24"/>
                <w:lang w:val="en-US"/>
              </w:rPr>
            </w:pPr>
            <w:r>
              <w:rPr>
                <w:rFonts w:ascii="Arial" w:hAnsi="Arial" w:cs="Arial"/>
                <w:sz w:val="24"/>
                <w:szCs w:val="24"/>
                <w:lang w:val="en-US"/>
              </w:rPr>
              <w:t>1.894</w:t>
            </w:r>
          </w:p>
        </w:tc>
        <w:tc>
          <w:tcPr>
            <w:tcW w:w="2266" w:type="dxa"/>
          </w:tcPr>
          <w:p w14:paraId="2217886F" w14:textId="2C7056DA" w:rsidR="006D44C8" w:rsidRDefault="006D44C8" w:rsidP="006D44C8">
            <w:pPr>
              <w:rPr>
                <w:rFonts w:ascii="Arial" w:hAnsi="Arial" w:cs="Arial"/>
                <w:sz w:val="24"/>
                <w:szCs w:val="24"/>
                <w:lang w:val="en-US"/>
              </w:rPr>
            </w:pPr>
            <w:r>
              <w:rPr>
                <w:rFonts w:ascii="Arial" w:hAnsi="Arial" w:cs="Arial"/>
                <w:sz w:val="24"/>
                <w:szCs w:val="24"/>
                <w:lang w:val="en-US"/>
              </w:rPr>
              <w:t>1.968</w:t>
            </w:r>
          </w:p>
        </w:tc>
      </w:tr>
      <w:tr w:rsidR="006D44C8" w14:paraId="1323C896" w14:textId="77777777" w:rsidTr="006D44C8">
        <w:tc>
          <w:tcPr>
            <w:tcW w:w="2265" w:type="dxa"/>
          </w:tcPr>
          <w:p w14:paraId="6D83B9EC" w14:textId="381A62CB" w:rsidR="006D44C8" w:rsidRDefault="006D44C8" w:rsidP="006D44C8">
            <w:pPr>
              <w:rPr>
                <w:rFonts w:ascii="Arial" w:hAnsi="Arial" w:cs="Arial"/>
                <w:sz w:val="24"/>
                <w:szCs w:val="24"/>
                <w:lang w:val="en-US"/>
              </w:rPr>
            </w:pPr>
            <w:r>
              <w:rPr>
                <w:rFonts w:ascii="Arial" w:hAnsi="Arial" w:cs="Arial"/>
                <w:sz w:val="24"/>
                <w:szCs w:val="24"/>
                <w:lang w:val="en-US"/>
              </w:rPr>
              <w:t>Diptera</w:t>
            </w:r>
          </w:p>
        </w:tc>
        <w:tc>
          <w:tcPr>
            <w:tcW w:w="2265" w:type="dxa"/>
          </w:tcPr>
          <w:p w14:paraId="71809495" w14:textId="39EC3006" w:rsidR="006D44C8" w:rsidRDefault="006D44C8" w:rsidP="006D44C8">
            <w:pPr>
              <w:rPr>
                <w:rFonts w:ascii="Arial" w:hAnsi="Arial" w:cs="Arial"/>
                <w:sz w:val="24"/>
                <w:szCs w:val="24"/>
                <w:lang w:val="en-US"/>
              </w:rPr>
            </w:pPr>
            <w:r>
              <w:rPr>
                <w:rFonts w:ascii="Arial" w:hAnsi="Arial" w:cs="Arial"/>
                <w:sz w:val="24"/>
                <w:szCs w:val="24"/>
                <w:lang w:val="en-US"/>
              </w:rPr>
              <w:t>1.942</w:t>
            </w:r>
          </w:p>
        </w:tc>
        <w:tc>
          <w:tcPr>
            <w:tcW w:w="2266" w:type="dxa"/>
          </w:tcPr>
          <w:p w14:paraId="6CD11016" w14:textId="128D8E02" w:rsidR="006D44C8" w:rsidRDefault="006D44C8" w:rsidP="006D44C8">
            <w:pPr>
              <w:rPr>
                <w:rFonts w:ascii="Arial" w:hAnsi="Arial" w:cs="Arial"/>
                <w:sz w:val="24"/>
                <w:szCs w:val="24"/>
                <w:lang w:val="en-US"/>
              </w:rPr>
            </w:pPr>
            <w:r>
              <w:rPr>
                <w:rFonts w:ascii="Arial" w:hAnsi="Arial" w:cs="Arial"/>
                <w:sz w:val="24"/>
                <w:szCs w:val="24"/>
                <w:lang w:val="en-US"/>
              </w:rPr>
              <w:t>1.917</w:t>
            </w:r>
          </w:p>
        </w:tc>
        <w:tc>
          <w:tcPr>
            <w:tcW w:w="2266" w:type="dxa"/>
          </w:tcPr>
          <w:p w14:paraId="2B6314DA" w14:textId="62B5B700" w:rsidR="006D44C8" w:rsidRDefault="006D44C8" w:rsidP="006D44C8">
            <w:pPr>
              <w:rPr>
                <w:rFonts w:ascii="Arial" w:hAnsi="Arial" w:cs="Arial"/>
                <w:sz w:val="24"/>
                <w:szCs w:val="24"/>
                <w:lang w:val="en-US"/>
              </w:rPr>
            </w:pPr>
            <w:r>
              <w:rPr>
                <w:rFonts w:ascii="Arial" w:hAnsi="Arial" w:cs="Arial"/>
                <w:sz w:val="24"/>
                <w:szCs w:val="24"/>
                <w:lang w:val="en-US"/>
              </w:rPr>
              <w:t>1.972</w:t>
            </w:r>
          </w:p>
        </w:tc>
      </w:tr>
      <w:tr w:rsidR="006D44C8" w14:paraId="17D81CE7" w14:textId="77777777" w:rsidTr="006D44C8">
        <w:tc>
          <w:tcPr>
            <w:tcW w:w="2265" w:type="dxa"/>
          </w:tcPr>
          <w:p w14:paraId="5ED2F0B7" w14:textId="2F30B8BA" w:rsidR="006D44C8" w:rsidRDefault="006D44C8" w:rsidP="006D44C8">
            <w:pPr>
              <w:rPr>
                <w:rFonts w:ascii="Arial" w:hAnsi="Arial" w:cs="Arial"/>
                <w:sz w:val="24"/>
                <w:szCs w:val="24"/>
                <w:lang w:val="en-US"/>
              </w:rPr>
            </w:pPr>
            <w:r>
              <w:rPr>
                <w:rFonts w:ascii="Arial" w:hAnsi="Arial" w:cs="Arial"/>
                <w:sz w:val="24"/>
                <w:szCs w:val="24"/>
                <w:lang w:val="en-US"/>
              </w:rPr>
              <w:t>Hymenoptera</w:t>
            </w:r>
          </w:p>
        </w:tc>
        <w:tc>
          <w:tcPr>
            <w:tcW w:w="2265" w:type="dxa"/>
          </w:tcPr>
          <w:p w14:paraId="5D698E98" w14:textId="31AC394D" w:rsidR="006D44C8" w:rsidRDefault="006D44C8" w:rsidP="006D44C8">
            <w:pPr>
              <w:rPr>
                <w:rFonts w:ascii="Arial" w:hAnsi="Arial" w:cs="Arial"/>
                <w:sz w:val="24"/>
                <w:szCs w:val="24"/>
                <w:lang w:val="en-US"/>
              </w:rPr>
            </w:pPr>
            <w:r>
              <w:rPr>
                <w:rFonts w:ascii="Arial" w:hAnsi="Arial" w:cs="Arial"/>
                <w:sz w:val="24"/>
                <w:szCs w:val="24"/>
                <w:lang w:val="en-US"/>
              </w:rPr>
              <w:t>1.933</w:t>
            </w:r>
          </w:p>
        </w:tc>
        <w:tc>
          <w:tcPr>
            <w:tcW w:w="2266" w:type="dxa"/>
          </w:tcPr>
          <w:p w14:paraId="35904F8F" w14:textId="7A59387D" w:rsidR="006D44C8" w:rsidRDefault="006D44C8" w:rsidP="006D44C8">
            <w:pPr>
              <w:rPr>
                <w:rFonts w:ascii="Arial" w:hAnsi="Arial" w:cs="Arial"/>
                <w:sz w:val="24"/>
                <w:szCs w:val="24"/>
                <w:lang w:val="en-US"/>
              </w:rPr>
            </w:pPr>
            <w:r>
              <w:rPr>
                <w:rFonts w:ascii="Arial" w:hAnsi="Arial" w:cs="Arial"/>
                <w:sz w:val="24"/>
                <w:szCs w:val="24"/>
                <w:lang w:val="en-US"/>
              </w:rPr>
              <w:t>1.860</w:t>
            </w:r>
          </w:p>
        </w:tc>
        <w:tc>
          <w:tcPr>
            <w:tcW w:w="2266" w:type="dxa"/>
          </w:tcPr>
          <w:p w14:paraId="7C4901D4" w14:textId="129000DD" w:rsidR="006D44C8" w:rsidRDefault="006D44C8" w:rsidP="006D44C8">
            <w:pPr>
              <w:rPr>
                <w:rFonts w:ascii="Arial" w:hAnsi="Arial" w:cs="Arial"/>
                <w:sz w:val="24"/>
                <w:szCs w:val="24"/>
                <w:lang w:val="en-US"/>
              </w:rPr>
            </w:pPr>
            <w:r>
              <w:rPr>
                <w:rFonts w:ascii="Arial" w:hAnsi="Arial" w:cs="Arial"/>
                <w:sz w:val="24"/>
                <w:szCs w:val="24"/>
                <w:lang w:val="en-US"/>
              </w:rPr>
              <w:t>1.959</w:t>
            </w:r>
          </w:p>
        </w:tc>
      </w:tr>
      <w:tr w:rsidR="006D44C8" w14:paraId="0F48347F" w14:textId="77777777" w:rsidTr="006D44C8">
        <w:tc>
          <w:tcPr>
            <w:tcW w:w="2265" w:type="dxa"/>
          </w:tcPr>
          <w:p w14:paraId="58D97932" w14:textId="32681B29" w:rsidR="006D44C8" w:rsidRDefault="006D44C8" w:rsidP="006D44C8">
            <w:pPr>
              <w:rPr>
                <w:rFonts w:ascii="Arial" w:hAnsi="Arial" w:cs="Arial"/>
                <w:sz w:val="24"/>
                <w:szCs w:val="24"/>
                <w:lang w:val="en-US"/>
              </w:rPr>
            </w:pPr>
            <w:r>
              <w:rPr>
                <w:rFonts w:ascii="Arial" w:hAnsi="Arial" w:cs="Arial"/>
                <w:sz w:val="24"/>
                <w:szCs w:val="24"/>
                <w:lang w:val="en-US"/>
              </w:rPr>
              <w:t>Lepidoptera</w:t>
            </w:r>
          </w:p>
        </w:tc>
        <w:tc>
          <w:tcPr>
            <w:tcW w:w="2265" w:type="dxa"/>
          </w:tcPr>
          <w:p w14:paraId="2A0B649B" w14:textId="48FD8342" w:rsidR="006D44C8" w:rsidRDefault="006D44C8" w:rsidP="006D44C8">
            <w:pPr>
              <w:rPr>
                <w:rFonts w:ascii="Arial" w:hAnsi="Arial" w:cs="Arial"/>
                <w:sz w:val="24"/>
                <w:szCs w:val="24"/>
                <w:lang w:val="en-US"/>
              </w:rPr>
            </w:pPr>
            <w:r>
              <w:rPr>
                <w:rFonts w:ascii="Arial" w:hAnsi="Arial" w:cs="Arial"/>
                <w:sz w:val="24"/>
                <w:szCs w:val="24"/>
                <w:lang w:val="en-US"/>
              </w:rPr>
              <w:t>1.928</w:t>
            </w:r>
          </w:p>
        </w:tc>
        <w:tc>
          <w:tcPr>
            <w:tcW w:w="2266" w:type="dxa"/>
          </w:tcPr>
          <w:p w14:paraId="121F684D" w14:textId="1362E224" w:rsidR="006D44C8" w:rsidRDefault="006D44C8" w:rsidP="006D44C8">
            <w:pPr>
              <w:rPr>
                <w:rFonts w:ascii="Arial" w:hAnsi="Arial" w:cs="Arial"/>
                <w:sz w:val="24"/>
                <w:szCs w:val="24"/>
                <w:lang w:val="en-US"/>
              </w:rPr>
            </w:pPr>
            <w:r>
              <w:rPr>
                <w:rFonts w:ascii="Arial" w:hAnsi="Arial" w:cs="Arial"/>
                <w:sz w:val="24"/>
                <w:szCs w:val="24"/>
                <w:lang w:val="en-US"/>
              </w:rPr>
              <w:t>1.899</w:t>
            </w:r>
          </w:p>
        </w:tc>
        <w:tc>
          <w:tcPr>
            <w:tcW w:w="2266" w:type="dxa"/>
          </w:tcPr>
          <w:p w14:paraId="59F10B37" w14:textId="7F06A2B5" w:rsidR="006D44C8" w:rsidRDefault="006D44C8" w:rsidP="006D44C8">
            <w:pPr>
              <w:rPr>
                <w:rFonts w:ascii="Arial" w:hAnsi="Arial" w:cs="Arial"/>
                <w:sz w:val="24"/>
                <w:szCs w:val="24"/>
                <w:lang w:val="en-US"/>
              </w:rPr>
            </w:pPr>
            <w:r>
              <w:rPr>
                <w:rFonts w:ascii="Arial" w:hAnsi="Arial" w:cs="Arial"/>
                <w:sz w:val="24"/>
                <w:szCs w:val="24"/>
                <w:lang w:val="en-US"/>
              </w:rPr>
              <w:t>1.974</w:t>
            </w:r>
          </w:p>
        </w:tc>
      </w:tr>
    </w:tbl>
    <w:p w14:paraId="06E935FB" w14:textId="77777777" w:rsidR="00D95E2E" w:rsidRDefault="00D95E2E" w:rsidP="00227293">
      <w:pPr>
        <w:pStyle w:val="SITitle"/>
        <w:spacing w:before="0" w:after="0"/>
        <w:rPr>
          <w:sz w:val="24"/>
        </w:rPr>
      </w:pPr>
    </w:p>
    <w:p w14:paraId="1A38E5CC" w14:textId="51802DE3" w:rsidR="00C66B99" w:rsidRPr="00C66B99" w:rsidRDefault="00C66B99" w:rsidP="00F97B56">
      <w:pPr>
        <w:pStyle w:val="SITitle"/>
        <w:spacing w:before="0" w:after="0"/>
        <w:jc w:val="both"/>
        <w:rPr>
          <w:b/>
          <w:bCs/>
          <w:sz w:val="24"/>
        </w:rPr>
      </w:pPr>
      <w:r w:rsidRPr="00C66B99">
        <w:rPr>
          <w:b/>
          <w:bCs/>
          <w:sz w:val="24"/>
        </w:rPr>
        <w:t>References</w:t>
      </w:r>
    </w:p>
    <w:p w14:paraId="34CAF672" w14:textId="77777777" w:rsidR="00651E8B" w:rsidRPr="00F97B56" w:rsidRDefault="002402F7" w:rsidP="00F97B56">
      <w:pPr>
        <w:pStyle w:val="Literaturverzeichnis"/>
        <w:spacing w:line="240" w:lineRule="auto"/>
        <w:rPr>
          <w:rFonts w:ascii="Arial" w:hAnsi="Arial" w:cs="Arial"/>
          <w:lang w:val="en-US"/>
        </w:rPr>
      </w:pPr>
      <w:r w:rsidRPr="00F97B56">
        <w:rPr>
          <w:rFonts w:ascii="Arial" w:hAnsi="Arial" w:cs="Arial"/>
        </w:rPr>
        <w:fldChar w:fldCharType="begin"/>
      </w:r>
      <w:r w:rsidR="003723DB" w:rsidRPr="00F97B56">
        <w:rPr>
          <w:rFonts w:ascii="Arial" w:hAnsi="Arial" w:cs="Arial"/>
          <w:lang w:val="en-US"/>
        </w:rPr>
        <w:instrText xml:space="preserve"> ADDIN ZOTERO_BIBL {"uncited":[],"omitted":[],"custom":[]} CSL_BIBLIOGRAPHY </w:instrText>
      </w:r>
      <w:r w:rsidRPr="00F97B56">
        <w:rPr>
          <w:rFonts w:ascii="Arial" w:hAnsi="Arial" w:cs="Arial"/>
        </w:rPr>
        <w:fldChar w:fldCharType="separate"/>
      </w:r>
      <w:r w:rsidR="00651E8B" w:rsidRPr="00F97B56">
        <w:rPr>
          <w:rFonts w:ascii="Arial" w:hAnsi="Arial" w:cs="Arial"/>
          <w:lang w:val="en-US"/>
        </w:rPr>
        <w:t xml:space="preserve">Buchner, D. (2022). </w:t>
      </w:r>
      <w:r w:rsidR="00651E8B" w:rsidRPr="00F97B56">
        <w:rPr>
          <w:rFonts w:ascii="Arial" w:hAnsi="Arial" w:cs="Arial"/>
          <w:i/>
          <w:iCs/>
          <w:lang w:val="en-US"/>
        </w:rPr>
        <w:t>PCR cleanup and size selection with magnetic beads V.3</w:t>
      </w:r>
      <w:r w:rsidR="00651E8B" w:rsidRPr="00F97B56">
        <w:rPr>
          <w:rFonts w:ascii="Arial" w:hAnsi="Arial" w:cs="Arial"/>
          <w:lang w:val="en-US"/>
        </w:rPr>
        <w:t>. https://www.protocols.io/view/pcr-cleanup-and-size-selection-with-magnetic-beads-36wgqj45xvk5/v3</w:t>
      </w:r>
    </w:p>
    <w:p w14:paraId="695D4D40" w14:textId="77777777" w:rsidR="00651E8B" w:rsidRPr="00F97B56" w:rsidRDefault="00651E8B" w:rsidP="00F97B56">
      <w:pPr>
        <w:pStyle w:val="Literaturverzeichnis"/>
        <w:spacing w:line="240" w:lineRule="auto"/>
        <w:rPr>
          <w:rFonts w:ascii="Arial" w:hAnsi="Arial" w:cs="Arial"/>
          <w:lang w:val="en-US"/>
        </w:rPr>
      </w:pPr>
      <w:r w:rsidRPr="00F97B56">
        <w:rPr>
          <w:rFonts w:ascii="Arial" w:hAnsi="Arial" w:cs="Arial"/>
          <w:lang w:val="en-US"/>
        </w:rPr>
        <w:t xml:space="preserve">Ruijter, J. M., Ramakers, C., </w:t>
      </w:r>
      <w:proofErr w:type="spellStart"/>
      <w:r w:rsidRPr="00F97B56">
        <w:rPr>
          <w:rFonts w:ascii="Arial" w:hAnsi="Arial" w:cs="Arial"/>
          <w:lang w:val="en-US"/>
        </w:rPr>
        <w:t>Hoogaars</w:t>
      </w:r>
      <w:proofErr w:type="spellEnd"/>
      <w:r w:rsidRPr="00F97B56">
        <w:rPr>
          <w:rFonts w:ascii="Arial" w:hAnsi="Arial" w:cs="Arial"/>
          <w:lang w:val="en-US"/>
        </w:rPr>
        <w:t xml:space="preserve">, W. M. H., Karlen, Y., Bakker, O., van den Hoff, M. J. B., &amp; Moorman, A. F. M. (2009). Amplification efficiency: Linking baseline and bias in the analysis of quantitative PCR data. </w:t>
      </w:r>
      <w:r w:rsidRPr="00F97B56">
        <w:rPr>
          <w:rFonts w:ascii="Arial" w:hAnsi="Arial" w:cs="Arial"/>
          <w:i/>
          <w:iCs/>
          <w:lang w:val="en-US"/>
        </w:rPr>
        <w:t>Nucleic Acids Research</w:t>
      </w:r>
      <w:r w:rsidRPr="00F97B56">
        <w:rPr>
          <w:rFonts w:ascii="Arial" w:hAnsi="Arial" w:cs="Arial"/>
          <w:lang w:val="en-US"/>
        </w:rPr>
        <w:t xml:space="preserve">, </w:t>
      </w:r>
      <w:r w:rsidRPr="00F97B56">
        <w:rPr>
          <w:rFonts w:ascii="Arial" w:hAnsi="Arial" w:cs="Arial"/>
          <w:i/>
          <w:iCs/>
          <w:lang w:val="en-US"/>
        </w:rPr>
        <w:t>37</w:t>
      </w:r>
      <w:r w:rsidRPr="00F97B56">
        <w:rPr>
          <w:rFonts w:ascii="Arial" w:hAnsi="Arial" w:cs="Arial"/>
          <w:lang w:val="en-US"/>
        </w:rPr>
        <w:t>(6), e45. https://doi.org/10.1093/nar/gkp045</w:t>
      </w:r>
    </w:p>
    <w:p w14:paraId="3B698849" w14:textId="77777777" w:rsidR="00651E8B" w:rsidRPr="00F97B56" w:rsidRDefault="00651E8B" w:rsidP="00F97B56">
      <w:pPr>
        <w:pStyle w:val="Literaturverzeichnis"/>
        <w:spacing w:line="240" w:lineRule="auto"/>
        <w:rPr>
          <w:rFonts w:ascii="Arial" w:hAnsi="Arial" w:cs="Arial"/>
        </w:rPr>
      </w:pPr>
      <w:proofErr w:type="spellStart"/>
      <w:r w:rsidRPr="00F97B56">
        <w:rPr>
          <w:rFonts w:ascii="Arial" w:hAnsi="Arial" w:cs="Arial"/>
          <w:lang w:val="en-US"/>
        </w:rPr>
        <w:t>Untergasser</w:t>
      </w:r>
      <w:proofErr w:type="spellEnd"/>
      <w:r w:rsidRPr="00F97B56">
        <w:rPr>
          <w:rFonts w:ascii="Arial" w:hAnsi="Arial" w:cs="Arial"/>
          <w:lang w:val="en-US"/>
        </w:rPr>
        <w:t xml:space="preserve">, A., Ruijter, J. M., Benes, V., &amp; van den Hoff, M. J. B. (2021). Web-based </w:t>
      </w:r>
      <w:proofErr w:type="spellStart"/>
      <w:r w:rsidRPr="00F97B56">
        <w:rPr>
          <w:rFonts w:ascii="Arial" w:hAnsi="Arial" w:cs="Arial"/>
          <w:lang w:val="en-US"/>
        </w:rPr>
        <w:t>LinRegPCR</w:t>
      </w:r>
      <w:proofErr w:type="spellEnd"/>
      <w:r w:rsidRPr="00F97B56">
        <w:rPr>
          <w:rFonts w:ascii="Arial" w:hAnsi="Arial" w:cs="Arial"/>
          <w:lang w:val="en-US"/>
        </w:rPr>
        <w:t xml:space="preserve">: Application for the visualization and analysis of (RT)-qPCR amplification and melting data. </w:t>
      </w:r>
      <w:r w:rsidRPr="00F97B56">
        <w:rPr>
          <w:rFonts w:ascii="Arial" w:hAnsi="Arial" w:cs="Arial"/>
          <w:i/>
          <w:iCs/>
        </w:rPr>
        <w:t xml:space="preserve">BMC </w:t>
      </w:r>
      <w:proofErr w:type="spellStart"/>
      <w:r w:rsidRPr="00F97B56">
        <w:rPr>
          <w:rFonts w:ascii="Arial" w:hAnsi="Arial" w:cs="Arial"/>
          <w:i/>
          <w:iCs/>
        </w:rPr>
        <w:t>Bioinformatics</w:t>
      </w:r>
      <w:proofErr w:type="spellEnd"/>
      <w:r w:rsidRPr="00F97B56">
        <w:rPr>
          <w:rFonts w:ascii="Arial" w:hAnsi="Arial" w:cs="Arial"/>
        </w:rPr>
        <w:t xml:space="preserve">, </w:t>
      </w:r>
      <w:r w:rsidRPr="00F97B56">
        <w:rPr>
          <w:rFonts w:ascii="Arial" w:hAnsi="Arial" w:cs="Arial"/>
          <w:i/>
          <w:iCs/>
        </w:rPr>
        <w:t>22</w:t>
      </w:r>
      <w:r w:rsidRPr="00F97B56">
        <w:rPr>
          <w:rFonts w:ascii="Arial" w:hAnsi="Arial" w:cs="Arial"/>
        </w:rPr>
        <w:t>, 398. https://doi.org/10.1186/s12859-021-04306-1</w:t>
      </w:r>
    </w:p>
    <w:p w14:paraId="4E7A5E17" w14:textId="103587C4" w:rsidR="002402F7" w:rsidRPr="00BC16CE" w:rsidRDefault="002402F7" w:rsidP="00F97B56">
      <w:pPr>
        <w:pStyle w:val="SITitle"/>
        <w:spacing w:before="0" w:after="0"/>
        <w:rPr>
          <w:sz w:val="24"/>
        </w:rPr>
      </w:pPr>
      <w:r w:rsidRPr="00F97B56">
        <w:rPr>
          <w:sz w:val="24"/>
        </w:rPr>
        <w:fldChar w:fldCharType="end"/>
      </w:r>
    </w:p>
    <w:sectPr w:rsidR="002402F7" w:rsidRPr="00BC16CE">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F06582"/>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8254335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jc0MTA0MTM1MDcwNTZR0lEKTi0uzszPAykwqwUAqQHG9ywAAAA="/>
  </w:docVars>
  <w:rsids>
    <w:rsidRoot w:val="00A860FB"/>
    <w:rsid w:val="00072DEC"/>
    <w:rsid w:val="00091A31"/>
    <w:rsid w:val="000E1287"/>
    <w:rsid w:val="00227293"/>
    <w:rsid w:val="002402F7"/>
    <w:rsid w:val="00250F98"/>
    <w:rsid w:val="00265BF4"/>
    <w:rsid w:val="003723DB"/>
    <w:rsid w:val="003845B2"/>
    <w:rsid w:val="004C1C6A"/>
    <w:rsid w:val="004F2368"/>
    <w:rsid w:val="005F50D0"/>
    <w:rsid w:val="0061732D"/>
    <w:rsid w:val="00651E8B"/>
    <w:rsid w:val="006D44C8"/>
    <w:rsid w:val="006F5961"/>
    <w:rsid w:val="008A58D4"/>
    <w:rsid w:val="008F4AB1"/>
    <w:rsid w:val="00A860FB"/>
    <w:rsid w:val="00AA6C5E"/>
    <w:rsid w:val="00B20B25"/>
    <w:rsid w:val="00B41D95"/>
    <w:rsid w:val="00BA7DF6"/>
    <w:rsid w:val="00BC16CE"/>
    <w:rsid w:val="00C220CE"/>
    <w:rsid w:val="00C307F8"/>
    <w:rsid w:val="00C66B99"/>
    <w:rsid w:val="00C67467"/>
    <w:rsid w:val="00C809B4"/>
    <w:rsid w:val="00D04DBF"/>
    <w:rsid w:val="00D95E2E"/>
    <w:rsid w:val="00EE6C63"/>
    <w:rsid w:val="00F97B56"/>
    <w:rsid w:val="00FD7A7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5AAFA"/>
  <w15:chartTrackingRefBased/>
  <w15:docId w15:val="{2135598C-66C3-4354-A7A1-3528ECCA03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A860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A860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A860FB"/>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A860FB"/>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860FB"/>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860F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860F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860F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860F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A860FB"/>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A860FB"/>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A860FB"/>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860FB"/>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860FB"/>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860F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860F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860F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860FB"/>
    <w:rPr>
      <w:rFonts w:eastAsiaTheme="majorEastAsia" w:cstheme="majorBidi"/>
      <w:color w:val="272727" w:themeColor="text1" w:themeTint="D8"/>
    </w:rPr>
  </w:style>
  <w:style w:type="paragraph" w:styleId="Titel">
    <w:name w:val="Title"/>
    <w:basedOn w:val="Standard"/>
    <w:next w:val="Standard"/>
    <w:link w:val="TitelZchn"/>
    <w:uiPriority w:val="10"/>
    <w:qFormat/>
    <w:rsid w:val="00A860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860F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860F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860F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860F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860FB"/>
    <w:rPr>
      <w:i/>
      <w:iCs/>
      <w:color w:val="404040" w:themeColor="text1" w:themeTint="BF"/>
    </w:rPr>
  </w:style>
  <w:style w:type="paragraph" w:styleId="Listenabsatz">
    <w:name w:val="List Paragraph"/>
    <w:basedOn w:val="Standard"/>
    <w:uiPriority w:val="34"/>
    <w:qFormat/>
    <w:rsid w:val="00A860FB"/>
    <w:pPr>
      <w:ind w:left="720"/>
      <w:contextualSpacing/>
    </w:pPr>
  </w:style>
  <w:style w:type="character" w:styleId="IntensiveHervorhebung">
    <w:name w:val="Intense Emphasis"/>
    <w:basedOn w:val="Absatz-Standardschriftart"/>
    <w:uiPriority w:val="21"/>
    <w:qFormat/>
    <w:rsid w:val="00A860FB"/>
    <w:rPr>
      <w:i/>
      <w:iCs/>
      <w:color w:val="0F4761" w:themeColor="accent1" w:themeShade="BF"/>
    </w:rPr>
  </w:style>
  <w:style w:type="paragraph" w:styleId="IntensivesZitat">
    <w:name w:val="Intense Quote"/>
    <w:basedOn w:val="Standard"/>
    <w:next w:val="Standard"/>
    <w:link w:val="IntensivesZitatZchn"/>
    <w:uiPriority w:val="30"/>
    <w:qFormat/>
    <w:rsid w:val="00A860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860FB"/>
    <w:rPr>
      <w:i/>
      <w:iCs/>
      <w:color w:val="0F4761" w:themeColor="accent1" w:themeShade="BF"/>
    </w:rPr>
  </w:style>
  <w:style w:type="character" w:styleId="IntensiverVerweis">
    <w:name w:val="Intense Reference"/>
    <w:basedOn w:val="Absatz-Standardschriftart"/>
    <w:uiPriority w:val="32"/>
    <w:qFormat/>
    <w:rsid w:val="00A860FB"/>
    <w:rPr>
      <w:b/>
      <w:bCs/>
      <w:smallCaps/>
      <w:color w:val="0F4761" w:themeColor="accent1" w:themeShade="BF"/>
      <w:spacing w:val="5"/>
    </w:rPr>
  </w:style>
  <w:style w:type="paragraph" w:customStyle="1" w:styleId="SITitle">
    <w:name w:val="SI Title"/>
    <w:basedOn w:val="Textkrper"/>
    <w:qFormat/>
    <w:rsid w:val="00227293"/>
    <w:pPr>
      <w:keepNext/>
      <w:widowControl w:val="0"/>
      <w:spacing w:before="400" w:line="240" w:lineRule="auto"/>
    </w:pPr>
    <w:rPr>
      <w:rFonts w:ascii="Arial" w:eastAsia="Arial" w:hAnsi="Arial" w:cs="Arial"/>
      <w:color w:val="000000"/>
      <w:kern w:val="0"/>
      <w:sz w:val="28"/>
      <w:szCs w:val="24"/>
      <w:lang w:val="en-US" w:eastAsia="zh-CN"/>
      <w14:ligatures w14:val="none"/>
    </w:rPr>
  </w:style>
  <w:style w:type="paragraph" w:styleId="Textkrper">
    <w:name w:val="Body Text"/>
    <w:basedOn w:val="Standard"/>
    <w:link w:val="TextkrperZchn"/>
    <w:uiPriority w:val="99"/>
    <w:semiHidden/>
    <w:unhideWhenUsed/>
    <w:rsid w:val="00227293"/>
    <w:pPr>
      <w:spacing w:after="120"/>
    </w:pPr>
  </w:style>
  <w:style w:type="character" w:customStyle="1" w:styleId="TextkrperZchn">
    <w:name w:val="Textkörper Zchn"/>
    <w:basedOn w:val="Absatz-Standardschriftart"/>
    <w:link w:val="Textkrper"/>
    <w:uiPriority w:val="99"/>
    <w:semiHidden/>
    <w:rsid w:val="00227293"/>
  </w:style>
  <w:style w:type="paragraph" w:styleId="Beschriftung">
    <w:name w:val="caption"/>
    <w:basedOn w:val="Standard"/>
    <w:next w:val="Standard"/>
    <w:uiPriority w:val="35"/>
    <w:unhideWhenUsed/>
    <w:qFormat/>
    <w:rsid w:val="00B41D95"/>
    <w:pPr>
      <w:spacing w:after="200" w:line="240" w:lineRule="auto"/>
    </w:pPr>
    <w:rPr>
      <w:i/>
      <w:iCs/>
      <w:color w:val="0E2841" w:themeColor="text2"/>
      <w:sz w:val="18"/>
      <w:szCs w:val="18"/>
    </w:rPr>
  </w:style>
  <w:style w:type="paragraph" w:styleId="Literaturverzeichnis">
    <w:name w:val="Bibliography"/>
    <w:basedOn w:val="Standard"/>
    <w:next w:val="Standard"/>
    <w:uiPriority w:val="37"/>
    <w:unhideWhenUsed/>
    <w:rsid w:val="002402F7"/>
    <w:pPr>
      <w:spacing w:after="0" w:line="480" w:lineRule="auto"/>
      <w:ind w:left="720" w:hanging="720"/>
    </w:pPr>
  </w:style>
  <w:style w:type="table" w:styleId="Tabellenraster">
    <w:name w:val="Table Grid"/>
    <w:basedOn w:val="NormaleTabelle"/>
    <w:uiPriority w:val="39"/>
    <w:rsid w:val="006D44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1772</Words>
  <Characters>11164</Characters>
  <Application>Microsoft Office Word</Application>
  <DocSecurity>0</DocSecurity>
  <Lines>93</Lines>
  <Paragraphs>25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Dominik Buchner</dc:creator>
  <cp:keywords/>
  <dc:description/>
  <cp:lastModifiedBy>Dominik Buchner</cp:lastModifiedBy>
  <cp:revision>23</cp:revision>
  <dcterms:created xsi:type="dcterms:W3CDTF">2026-10-22T10:55:00Z</dcterms:created>
  <dcterms:modified xsi:type="dcterms:W3CDTF">2026-10-24T15:48:00Z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id="1xXciRlv"/&gt;&lt;style id="http://www.zotero.org/styles/apa" locale="de-DE" hasBibliography="1" bibliographyStyleHasBeenSet="1"/&gt;&lt;prefs&gt;&lt;pref name="fieldType" value="Field"/&gt;&lt;/prefs&gt;&lt;/data&gt;</vt:lpwstr>
  </property>
</Properties>
</file>