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73911" w14:textId="77777777" w:rsidR="00B34361" w:rsidRPr="00B34361" w:rsidRDefault="00B34361" w:rsidP="00B34361">
      <w:pPr>
        <w:rPr>
          <w:rFonts w:ascii="Times New Roman" w:hAnsi="Times New Roman" w:cs="Times New Roman"/>
          <w:sz w:val="24"/>
          <w:szCs w:val="24"/>
        </w:rPr>
      </w:pPr>
      <w:r w:rsidRPr="00B34361">
        <w:rPr>
          <w:rFonts w:ascii="Times New Roman" w:hAnsi="Times New Roman" w:cs="Times New Roman"/>
          <w:b/>
          <w:bCs/>
          <w:sz w:val="24"/>
          <w:szCs w:val="24"/>
        </w:rPr>
        <w:t>Temat: Strategiczna diagnoza rotacji – podejście zintegrowane.</w:t>
      </w:r>
    </w:p>
    <w:p w14:paraId="5C250163" w14:textId="77777777" w:rsidR="00B34361" w:rsidRPr="00B34361" w:rsidRDefault="00B34361" w:rsidP="00B3436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34361">
        <w:rPr>
          <w:rFonts w:ascii="Times New Roman" w:hAnsi="Times New Roman" w:cs="Times New Roman"/>
          <w:b/>
          <w:bCs/>
          <w:sz w:val="24"/>
          <w:szCs w:val="24"/>
        </w:rPr>
        <w:t>Sytuacja:</w:t>
      </w:r>
      <w:r w:rsidRPr="00B34361">
        <w:rPr>
          <w:rFonts w:ascii="Times New Roman" w:hAnsi="Times New Roman" w:cs="Times New Roman"/>
          <w:sz w:val="24"/>
          <w:szCs w:val="24"/>
        </w:rPr>
        <w:t xml:space="preserve"> Rotacja w Krakowie (29,63%) jest wynikiem nałożenia się dwóch czynników: deficytu satysfakcji z zarządzania oraz luki w wynagrodzeniach w działach Operations i IT.</w:t>
      </w:r>
    </w:p>
    <w:p w14:paraId="12B3265C" w14:textId="77777777" w:rsidR="00B34361" w:rsidRPr="00B34361" w:rsidRDefault="00B34361" w:rsidP="00B3436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34361">
        <w:rPr>
          <w:rFonts w:ascii="Times New Roman" w:hAnsi="Times New Roman" w:cs="Times New Roman"/>
          <w:b/>
          <w:bCs/>
          <w:sz w:val="24"/>
          <w:szCs w:val="24"/>
        </w:rPr>
        <w:t>Diagnoza:</w:t>
      </w:r>
      <w:r w:rsidRPr="00B34361">
        <w:rPr>
          <w:rFonts w:ascii="Times New Roman" w:hAnsi="Times New Roman" w:cs="Times New Roman"/>
          <w:sz w:val="24"/>
          <w:szCs w:val="24"/>
        </w:rPr>
        <w:t xml:space="preserve"> Działy o niższych zarobkach są bardziej wrażliwe na jakość przywództwa. Managerowie 4, 5 i 6, poprzez swój styl pracy, niwelują ostatnie bariery lojalnościowe w tych zespołach.</w:t>
      </w:r>
    </w:p>
    <w:p w14:paraId="7DD34067" w14:textId="77777777" w:rsidR="00B34361" w:rsidRPr="00B34361" w:rsidRDefault="00B34361" w:rsidP="00B3436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34361">
        <w:rPr>
          <w:rFonts w:ascii="Times New Roman" w:hAnsi="Times New Roman" w:cs="Times New Roman"/>
          <w:b/>
          <w:bCs/>
          <w:sz w:val="24"/>
          <w:szCs w:val="24"/>
        </w:rPr>
        <w:t>Plan działania:</w:t>
      </w:r>
    </w:p>
    <w:p w14:paraId="2C5ABD55" w14:textId="77777777" w:rsidR="00B34361" w:rsidRPr="00B34361" w:rsidRDefault="00B34361" w:rsidP="00B34361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34361">
        <w:rPr>
          <w:rFonts w:ascii="Times New Roman" w:hAnsi="Times New Roman" w:cs="Times New Roman"/>
          <w:b/>
          <w:bCs/>
          <w:sz w:val="24"/>
          <w:szCs w:val="24"/>
        </w:rPr>
        <w:t>Audyt płacowy (HR):</w:t>
      </w:r>
      <w:r w:rsidRPr="00B34361">
        <w:rPr>
          <w:rFonts w:ascii="Times New Roman" w:hAnsi="Times New Roman" w:cs="Times New Roman"/>
          <w:sz w:val="24"/>
          <w:szCs w:val="24"/>
        </w:rPr>
        <w:t xml:space="preserve"> Weryfikacja konkurencyjności wynagrodzeń w IT i Operations.</w:t>
      </w:r>
    </w:p>
    <w:p w14:paraId="301E40EB" w14:textId="77777777" w:rsidR="00B34361" w:rsidRPr="00B34361" w:rsidRDefault="00B34361" w:rsidP="00B34361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34361">
        <w:rPr>
          <w:rFonts w:ascii="Times New Roman" w:hAnsi="Times New Roman" w:cs="Times New Roman"/>
          <w:b/>
          <w:bCs/>
          <w:sz w:val="24"/>
          <w:szCs w:val="24"/>
        </w:rPr>
        <w:t>Audyt kompetencji (Managerowie):</w:t>
      </w:r>
      <w:r w:rsidRPr="00B34361">
        <w:rPr>
          <w:rFonts w:ascii="Times New Roman" w:hAnsi="Times New Roman" w:cs="Times New Roman"/>
          <w:sz w:val="24"/>
          <w:szCs w:val="24"/>
        </w:rPr>
        <w:t xml:space="preserve"> Wdrożenie planów poprawy dla zidentyfikowanych liderów.</w:t>
      </w:r>
    </w:p>
    <w:p w14:paraId="13AD4573" w14:textId="77777777" w:rsidR="00B34361" w:rsidRPr="00B34361" w:rsidRDefault="00B34361" w:rsidP="00B3436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34361">
        <w:rPr>
          <w:rFonts w:ascii="Times New Roman" w:hAnsi="Times New Roman" w:cs="Times New Roman"/>
          <w:b/>
          <w:bCs/>
          <w:sz w:val="24"/>
          <w:szCs w:val="24"/>
        </w:rPr>
        <w:t>Cel:</w:t>
      </w:r>
      <w:r w:rsidRPr="00B34361">
        <w:rPr>
          <w:rFonts w:ascii="Times New Roman" w:hAnsi="Times New Roman" w:cs="Times New Roman"/>
          <w:sz w:val="24"/>
          <w:szCs w:val="24"/>
        </w:rPr>
        <w:t xml:space="preserve"> Zastosowanie strategii "podwójnego uderzenia" – podniesienie motywacji pozapłacowej przy jednoczesnej weryfikacji warunków ekonomicznych, aby trwale obniżyć rotację.</w:t>
      </w:r>
    </w:p>
    <w:p w14:paraId="3D2D6E11" w14:textId="77777777" w:rsidR="004714C4" w:rsidRPr="00B34361" w:rsidRDefault="004714C4">
      <w:pPr>
        <w:rPr>
          <w:rFonts w:ascii="Times New Roman" w:hAnsi="Times New Roman" w:cs="Times New Roman"/>
          <w:sz w:val="24"/>
          <w:szCs w:val="24"/>
        </w:rPr>
      </w:pPr>
    </w:p>
    <w:sectPr w:rsidR="004714C4" w:rsidRPr="00B343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751F1"/>
    <w:multiLevelType w:val="multilevel"/>
    <w:tmpl w:val="82882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878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F14"/>
    <w:rsid w:val="004714C4"/>
    <w:rsid w:val="00656EF6"/>
    <w:rsid w:val="00906CFA"/>
    <w:rsid w:val="009E284A"/>
    <w:rsid w:val="00B34361"/>
    <w:rsid w:val="00D62722"/>
    <w:rsid w:val="00E24911"/>
    <w:rsid w:val="00E45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82D3C1-72AB-4A7C-9553-DEA4CCD2D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E45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E45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E45F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E45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E45F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E45F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E45F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E45F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E45F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45F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E45F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E45F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E45F1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E45F1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E45F1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E45F1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E45F1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E45F1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E45F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E45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45F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E45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E45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E45F1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E45F1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E45F1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E45F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E45F1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E45F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</Words>
  <Characters>670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Dominik Drab</dc:creator>
  <cp:keywords/>
  <dc:description/>
  <cp:lastModifiedBy>Dominik Drab</cp:lastModifiedBy>
  <cp:revision>2</cp:revision>
  <dcterms:created xsi:type="dcterms:W3CDTF">2026-07-17T10:28:00Z</dcterms:created>
  <dcterms:modified xsi:type="dcterms:W3CDTF">2026-07-17T10:29:00Z</dcterms:modified>
</cp:coreProperties>
</file>