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9CE" w:rsidRPr="006409CE" w:rsidRDefault="006409CE" w:rsidP="006409CE">
      <w:pPr>
        <w:jc w:val="center"/>
        <w:rPr>
          <w:rFonts w:ascii="Century Gothic" w:hAnsi="Century Gothic"/>
          <w:sz w:val="20"/>
          <w:szCs w:val="20"/>
        </w:rPr>
      </w:pPr>
      <w:r w:rsidRPr="006409CE">
        <w:rPr>
          <w:rFonts w:ascii="Century Gothic" w:hAnsi="Century Gothic"/>
          <w:b/>
          <w:bCs/>
          <w:sz w:val="20"/>
          <w:szCs w:val="20"/>
        </w:rPr>
        <w:t>O-SIGHT: LOCAL-FIRST FINANCIAL INTELLIGENCE DASHBOARD</w:t>
      </w:r>
    </w:p>
    <w:p w:rsidR="006409CE" w:rsidRPr="006409CE" w:rsidRDefault="006409CE" w:rsidP="006409CE">
      <w:pPr>
        <w:jc w:val="center"/>
        <w:rPr>
          <w:rFonts w:ascii="Century Gothic" w:hAnsi="Century Gothic"/>
          <w:sz w:val="20"/>
          <w:szCs w:val="20"/>
        </w:rPr>
      </w:pPr>
      <w:proofErr w:type="spellStart"/>
      <w:r w:rsidRPr="006409CE">
        <w:rPr>
          <w:rFonts w:ascii="Century Gothic" w:hAnsi="Century Gothic"/>
          <w:b/>
          <w:bCs/>
          <w:sz w:val="20"/>
          <w:szCs w:val="20"/>
        </w:rPr>
        <w:t>OPay</w:t>
      </w:r>
      <w:proofErr w:type="spellEnd"/>
      <w:r w:rsidRPr="006409CE">
        <w:rPr>
          <w:rFonts w:ascii="Century Gothic" w:hAnsi="Century Gothic"/>
          <w:b/>
          <w:bCs/>
          <w:sz w:val="20"/>
          <w:szCs w:val="20"/>
        </w:rPr>
        <w:t xml:space="preserve"> National Innovation Challenge Application 2026</w:t>
      </w:r>
    </w:p>
    <w:p w:rsidR="006409CE" w:rsidRPr="006409CE" w:rsidRDefault="006409CE" w:rsidP="006409CE">
      <w:pPr>
        <w:jc w:val="both"/>
        <w:rPr>
          <w:rFonts w:ascii="Century Gothic" w:hAnsi="Century Gothic"/>
          <w:sz w:val="20"/>
          <w:szCs w:val="20"/>
        </w:rPr>
      </w:pPr>
      <w:r w:rsidRPr="006409CE">
        <w:rPr>
          <w:rFonts w:ascii="Century Gothic" w:hAnsi="Century Gothic"/>
          <w:b/>
          <w:bCs/>
          <w:sz w:val="20"/>
          <w:szCs w:val="20"/>
        </w:rPr>
        <w:t>1. Executive Summary</w:t>
      </w:r>
    </w:p>
    <w:p w:rsidR="006409CE" w:rsidRPr="006409CE" w:rsidRDefault="006409CE" w:rsidP="006409CE">
      <w:pPr>
        <w:jc w:val="both"/>
        <w:rPr>
          <w:rFonts w:ascii="Century Gothic" w:hAnsi="Century Gothic"/>
          <w:sz w:val="20"/>
          <w:szCs w:val="20"/>
        </w:rPr>
      </w:pPr>
      <w:r w:rsidRPr="006409CE">
        <w:rPr>
          <w:rFonts w:ascii="Century Gothic" w:hAnsi="Century Gothic"/>
          <w:sz w:val="20"/>
          <w:szCs w:val="20"/>
        </w:rPr>
        <w:t xml:space="preserve">In Nigeria’s current high-inflation environment, traditional budgeting has failed. While millions of Nigerians conduct daily transactions using digital wallets like </w:t>
      </w:r>
      <w:proofErr w:type="spellStart"/>
      <w:r w:rsidRPr="006409CE">
        <w:rPr>
          <w:rFonts w:ascii="Century Gothic" w:hAnsi="Century Gothic"/>
          <w:sz w:val="20"/>
          <w:szCs w:val="20"/>
        </w:rPr>
        <w:t>OPay</w:t>
      </w:r>
      <w:proofErr w:type="spellEnd"/>
      <w:r w:rsidRPr="006409CE">
        <w:rPr>
          <w:rFonts w:ascii="Century Gothic" w:hAnsi="Century Gothic"/>
          <w:sz w:val="20"/>
          <w:szCs w:val="20"/>
        </w:rPr>
        <w:t>, they struggle with "statement blindness," unable to track where their money is going.</w:t>
      </w:r>
    </w:p>
    <w:p w:rsidR="006409CE" w:rsidRDefault="006409CE" w:rsidP="006409CE">
      <w:pPr>
        <w:jc w:val="both"/>
        <w:rPr>
          <w:rFonts w:ascii="Century Gothic" w:hAnsi="Century Gothic"/>
          <w:sz w:val="20"/>
          <w:szCs w:val="20"/>
        </w:rPr>
      </w:pPr>
      <w:r w:rsidRPr="006409CE">
        <w:rPr>
          <w:rFonts w:ascii="Century Gothic" w:hAnsi="Century Gothic"/>
          <w:bCs/>
          <w:sz w:val="20"/>
          <w:szCs w:val="20"/>
        </w:rPr>
        <w:t>O-Sight</w:t>
      </w:r>
      <w:r w:rsidRPr="006409CE">
        <w:rPr>
          <w:rFonts w:ascii="Century Gothic" w:hAnsi="Century Gothic"/>
          <w:sz w:val="20"/>
          <w:szCs w:val="20"/>
        </w:rPr>
        <w:t xml:space="preserve"> is a privacy-first, local-first financial intelligence dashboard. It allows users to export and drag-and-drop their raw statement files (specifically optimized for </w:t>
      </w:r>
      <w:proofErr w:type="spellStart"/>
      <w:r w:rsidRPr="006409CE">
        <w:rPr>
          <w:rFonts w:ascii="Century Gothic" w:hAnsi="Century Gothic"/>
          <w:sz w:val="20"/>
          <w:szCs w:val="20"/>
        </w:rPr>
        <w:t>OPay</w:t>
      </w:r>
      <w:proofErr w:type="spellEnd"/>
      <w:r w:rsidRPr="006409CE">
        <w:rPr>
          <w:rFonts w:ascii="Century Gothic" w:hAnsi="Century Gothic"/>
          <w:sz w:val="20"/>
          <w:szCs w:val="20"/>
        </w:rPr>
        <w:t xml:space="preserve"> Excel exports). The application automatically runs a Python-based pipeline that cleans, reconciles, and evaluates transactions to render an interactive web dashboard. By providing automated audits of spending trends, savings progress, and hidden bank charges, O-Sight empowers users to take control of their finances securely.</w:t>
      </w:r>
    </w:p>
    <w:p w:rsidR="00410201" w:rsidRPr="006409CE" w:rsidRDefault="00410201" w:rsidP="006409CE">
      <w:pPr>
        <w:jc w:val="both"/>
        <w:rPr>
          <w:rFonts w:ascii="Century Gothic" w:hAnsi="Century Gothic"/>
          <w:sz w:val="20"/>
          <w:szCs w:val="20"/>
        </w:rPr>
      </w:pPr>
    </w:p>
    <w:p w:rsidR="006409CE" w:rsidRPr="006409CE" w:rsidRDefault="006409CE" w:rsidP="006409CE">
      <w:pPr>
        <w:jc w:val="both"/>
        <w:rPr>
          <w:rFonts w:ascii="Century Gothic" w:hAnsi="Century Gothic"/>
          <w:sz w:val="20"/>
          <w:szCs w:val="20"/>
        </w:rPr>
      </w:pPr>
      <w:r w:rsidRPr="006409CE">
        <w:rPr>
          <w:rFonts w:ascii="Century Gothic" w:hAnsi="Century Gothic"/>
          <w:b/>
          <w:bCs/>
          <w:sz w:val="20"/>
          <w:szCs w:val="20"/>
        </w:rPr>
        <w:t>2. The Problem</w:t>
      </w:r>
    </w:p>
    <w:p w:rsidR="00410201" w:rsidRPr="00410201" w:rsidRDefault="006409CE" w:rsidP="00410201">
      <w:pPr>
        <w:jc w:val="both"/>
        <w:rPr>
          <w:rFonts w:ascii="Century Gothic" w:hAnsi="Century Gothic"/>
          <w:sz w:val="20"/>
          <w:szCs w:val="20"/>
        </w:rPr>
      </w:pPr>
      <w:r w:rsidRPr="006409CE">
        <w:rPr>
          <w:rFonts w:ascii="Century Gothic" w:hAnsi="Century Gothic"/>
          <w:sz w:val="20"/>
          <w:szCs w:val="20"/>
        </w:rPr>
        <w:t xml:space="preserve">Modern </w:t>
      </w:r>
      <w:proofErr w:type="spellStart"/>
      <w:r w:rsidRPr="006409CE">
        <w:rPr>
          <w:rFonts w:ascii="Century Gothic" w:hAnsi="Century Gothic"/>
          <w:sz w:val="20"/>
          <w:szCs w:val="20"/>
        </w:rPr>
        <w:t>fintech</w:t>
      </w:r>
      <w:proofErr w:type="spellEnd"/>
      <w:r w:rsidRPr="006409CE">
        <w:rPr>
          <w:rFonts w:ascii="Century Gothic" w:hAnsi="Century Gothic"/>
          <w:sz w:val="20"/>
          <w:szCs w:val="20"/>
        </w:rPr>
        <w:t xml:space="preserve"> apps have made transferring money seamless, but monitoring spending remains </w:t>
      </w:r>
      <w:r w:rsidR="00410201" w:rsidRPr="00410201">
        <w:rPr>
          <w:rFonts w:ascii="Century Gothic" w:hAnsi="Century Gothic"/>
          <w:sz w:val="20"/>
          <w:szCs w:val="20"/>
        </w:rPr>
        <w:t xml:space="preserve">Modern </w:t>
      </w:r>
      <w:proofErr w:type="spellStart"/>
      <w:r w:rsidR="00410201" w:rsidRPr="00410201">
        <w:rPr>
          <w:rFonts w:ascii="Century Gothic" w:hAnsi="Century Gothic"/>
          <w:sz w:val="20"/>
          <w:szCs w:val="20"/>
        </w:rPr>
        <w:t>fintech</w:t>
      </w:r>
      <w:proofErr w:type="spellEnd"/>
      <w:r w:rsidR="00410201" w:rsidRPr="00410201">
        <w:rPr>
          <w:rFonts w:ascii="Century Gothic" w:hAnsi="Century Gothic"/>
          <w:sz w:val="20"/>
          <w:szCs w:val="20"/>
        </w:rPr>
        <w:t xml:space="preserve"> apps have made transferring money seamless, but analyzing transaction logs remains highly frustrating:</w:t>
      </w:r>
    </w:p>
    <w:p w:rsidR="00410201" w:rsidRPr="00410201" w:rsidRDefault="00410201" w:rsidP="00410201">
      <w:pPr>
        <w:pStyle w:val="ListParagraph"/>
        <w:numPr>
          <w:ilvl w:val="0"/>
          <w:numId w:val="6"/>
        </w:numPr>
        <w:jc w:val="both"/>
        <w:rPr>
          <w:rFonts w:ascii="Century Gothic" w:hAnsi="Century Gothic"/>
          <w:sz w:val="20"/>
          <w:szCs w:val="20"/>
        </w:rPr>
      </w:pPr>
      <w:r w:rsidRPr="00410201">
        <w:rPr>
          <w:rFonts w:ascii="Century Gothic" w:hAnsi="Century Gothic"/>
          <w:bCs/>
          <w:sz w:val="20"/>
          <w:szCs w:val="20"/>
        </w:rPr>
        <w:t>Cryptic Transaction Narration &amp; Merchant Fragmentation:</w:t>
      </w:r>
      <w:r w:rsidRPr="00410201">
        <w:rPr>
          <w:rFonts w:ascii="Century Gothic" w:hAnsi="Century Gothic"/>
          <w:sz w:val="20"/>
          <w:szCs w:val="20"/>
        </w:rPr>
        <w:t xml:space="preserve"> Statements are littered with unreadable descriptions, listing raw account fragments, USSD codes, or labels like "Transfer to 8102..." or "Third-Party Merchant Order". Furthermore, the same merchant often appears under slightly different names (e.g., "MTN Airtime", "MTN DATA", and "MTN </w:t>
      </w:r>
      <w:proofErr w:type="spellStart"/>
      <w:r w:rsidRPr="00410201">
        <w:rPr>
          <w:rFonts w:ascii="Century Gothic" w:hAnsi="Century Gothic"/>
          <w:sz w:val="20"/>
          <w:szCs w:val="20"/>
        </w:rPr>
        <w:t>TopUp</w:t>
      </w:r>
      <w:proofErr w:type="spellEnd"/>
      <w:r w:rsidRPr="00410201">
        <w:rPr>
          <w:rFonts w:ascii="Century Gothic" w:hAnsi="Century Gothic"/>
          <w:sz w:val="20"/>
          <w:szCs w:val="20"/>
        </w:rPr>
        <w:t>"), bloating lists and preventing accurate merchant categorization.</w:t>
      </w:r>
    </w:p>
    <w:p w:rsidR="00410201" w:rsidRPr="00410201" w:rsidRDefault="00410201" w:rsidP="00410201">
      <w:pPr>
        <w:pStyle w:val="ListParagraph"/>
        <w:numPr>
          <w:ilvl w:val="0"/>
          <w:numId w:val="6"/>
        </w:numPr>
        <w:jc w:val="both"/>
        <w:rPr>
          <w:rFonts w:ascii="Century Gothic" w:hAnsi="Century Gothic"/>
          <w:sz w:val="20"/>
          <w:szCs w:val="20"/>
        </w:rPr>
      </w:pPr>
      <w:r w:rsidRPr="00410201">
        <w:rPr>
          <w:rFonts w:ascii="Century Gothic" w:hAnsi="Century Gothic"/>
          <w:bCs/>
          <w:sz w:val="20"/>
          <w:szCs w:val="20"/>
        </w:rPr>
        <w:t>The Security and Trust Gap:</w:t>
      </w:r>
      <w:r w:rsidRPr="00410201">
        <w:rPr>
          <w:rFonts w:ascii="Century Gothic" w:hAnsi="Century Gothic"/>
          <w:sz w:val="20"/>
          <w:szCs w:val="20"/>
        </w:rPr>
        <w:t> Existing budgeting software requires users to link their live bank accounts using open banking APIs or credential sharing. Because of security concerns, high fraud rates, and unstable banking networks in Nigeria, users are highly reluctant to link their credentials to third-party applications.</w:t>
      </w:r>
    </w:p>
    <w:p w:rsidR="00410201" w:rsidRPr="00410201" w:rsidRDefault="00410201" w:rsidP="00410201">
      <w:pPr>
        <w:pStyle w:val="ListParagraph"/>
        <w:numPr>
          <w:ilvl w:val="0"/>
          <w:numId w:val="6"/>
        </w:numPr>
        <w:jc w:val="both"/>
        <w:rPr>
          <w:rFonts w:ascii="Century Gothic" w:hAnsi="Century Gothic"/>
          <w:sz w:val="20"/>
          <w:szCs w:val="20"/>
        </w:rPr>
      </w:pPr>
      <w:r w:rsidRPr="00410201">
        <w:rPr>
          <w:rFonts w:ascii="Century Gothic" w:hAnsi="Century Gothic"/>
          <w:bCs/>
          <w:sz w:val="20"/>
          <w:szCs w:val="20"/>
        </w:rPr>
        <w:t>Sweeps and Mismatches (Savings bloat):</w:t>
      </w:r>
      <w:r w:rsidRPr="00410201">
        <w:rPr>
          <w:rFonts w:ascii="Century Gothic" w:hAnsi="Century Gothic"/>
          <w:sz w:val="20"/>
          <w:szCs w:val="20"/>
        </w:rPr>
        <w:t xml:space="preserve"> Generic tracking tools treat all outgoing transfers as spending. However, a significant portion of a user's outflow consists of moving money to savings wallets or internal accounts (e.g., transfers to </w:t>
      </w:r>
      <w:proofErr w:type="spellStart"/>
      <w:r w:rsidRPr="00410201">
        <w:rPr>
          <w:rFonts w:ascii="Century Gothic" w:hAnsi="Century Gothic"/>
          <w:sz w:val="20"/>
          <w:szCs w:val="20"/>
        </w:rPr>
        <w:t>OPay's</w:t>
      </w:r>
      <w:proofErr w:type="spellEnd"/>
      <w:r w:rsidRPr="00410201">
        <w:rPr>
          <w:rFonts w:ascii="Century Gothic" w:hAnsi="Century Gothic"/>
          <w:sz w:val="20"/>
          <w:szCs w:val="20"/>
        </w:rPr>
        <w:t> </w:t>
      </w:r>
      <w:proofErr w:type="spellStart"/>
      <w:r w:rsidRPr="00410201">
        <w:rPr>
          <w:rFonts w:ascii="Century Gothic" w:hAnsi="Century Gothic"/>
          <w:i/>
          <w:iCs/>
          <w:sz w:val="20"/>
          <w:szCs w:val="20"/>
        </w:rPr>
        <w:t>OWealth</w:t>
      </w:r>
      <w:proofErr w:type="spellEnd"/>
      <w:r w:rsidRPr="00410201">
        <w:rPr>
          <w:rFonts w:ascii="Century Gothic" w:hAnsi="Century Gothic"/>
          <w:sz w:val="20"/>
          <w:szCs w:val="20"/>
        </w:rPr>
        <w:t>, </w:t>
      </w:r>
      <w:r w:rsidRPr="00410201">
        <w:rPr>
          <w:rFonts w:ascii="Century Gothic" w:hAnsi="Century Gothic"/>
          <w:i/>
          <w:iCs/>
          <w:sz w:val="20"/>
          <w:szCs w:val="20"/>
        </w:rPr>
        <w:t>Spend &amp; Save</w:t>
      </w:r>
      <w:r w:rsidRPr="00410201">
        <w:rPr>
          <w:rFonts w:ascii="Century Gothic" w:hAnsi="Century Gothic"/>
          <w:sz w:val="20"/>
          <w:szCs w:val="20"/>
        </w:rPr>
        <w:t>, </w:t>
      </w:r>
      <w:r w:rsidRPr="00410201">
        <w:rPr>
          <w:rFonts w:ascii="Century Gothic" w:hAnsi="Century Gothic"/>
          <w:i/>
          <w:iCs/>
          <w:sz w:val="20"/>
          <w:szCs w:val="20"/>
        </w:rPr>
        <w:t>Fixed Deposit</w:t>
      </w:r>
      <w:r w:rsidRPr="00410201">
        <w:rPr>
          <w:rFonts w:ascii="Century Gothic" w:hAnsi="Century Gothic"/>
          <w:sz w:val="20"/>
          <w:szCs w:val="20"/>
        </w:rPr>
        <w:t>, </w:t>
      </w:r>
      <w:r w:rsidRPr="00410201">
        <w:rPr>
          <w:rFonts w:ascii="Century Gothic" w:hAnsi="Century Gothic"/>
          <w:i/>
          <w:iCs/>
          <w:sz w:val="20"/>
          <w:szCs w:val="20"/>
        </w:rPr>
        <w:t>Targets Deposit</w:t>
      </w:r>
      <w:r w:rsidRPr="00410201">
        <w:rPr>
          <w:rFonts w:ascii="Century Gothic" w:hAnsi="Century Gothic"/>
          <w:sz w:val="20"/>
          <w:szCs w:val="20"/>
        </w:rPr>
        <w:t>, or external accounts like </w:t>
      </w:r>
      <w:proofErr w:type="spellStart"/>
      <w:r w:rsidRPr="00410201">
        <w:rPr>
          <w:rFonts w:ascii="Century Gothic" w:hAnsi="Century Gothic"/>
          <w:i/>
          <w:iCs/>
          <w:sz w:val="20"/>
          <w:szCs w:val="20"/>
        </w:rPr>
        <w:t>Cowrywise</w:t>
      </w:r>
      <w:proofErr w:type="spellEnd"/>
      <w:r w:rsidRPr="00410201">
        <w:rPr>
          <w:rFonts w:ascii="Century Gothic" w:hAnsi="Century Gothic"/>
          <w:sz w:val="20"/>
          <w:szCs w:val="20"/>
        </w:rPr>
        <w:t>). This bloats "spending" metrics and distorts the user’s true net savings rate and income-to-spending ratio.</w:t>
      </w:r>
    </w:p>
    <w:p w:rsidR="006409CE" w:rsidRPr="006409CE" w:rsidRDefault="006409CE" w:rsidP="00410201">
      <w:pPr>
        <w:jc w:val="both"/>
        <w:rPr>
          <w:rFonts w:ascii="Century Gothic" w:hAnsi="Century Gothic"/>
          <w:sz w:val="20"/>
          <w:szCs w:val="20"/>
        </w:rPr>
      </w:pPr>
      <w:r w:rsidRPr="006409CE">
        <w:rPr>
          <w:rFonts w:ascii="Century Gothic" w:hAnsi="Century Gothic"/>
          <w:b/>
          <w:bCs/>
          <w:sz w:val="20"/>
          <w:szCs w:val="20"/>
        </w:rPr>
        <w:t>3. Proposed Solution &amp; Architecture</w:t>
      </w:r>
    </w:p>
    <w:p w:rsidR="00410201" w:rsidRPr="00410201" w:rsidRDefault="00410201" w:rsidP="00410201">
      <w:pPr>
        <w:jc w:val="both"/>
        <w:rPr>
          <w:rFonts w:ascii="Century Gothic" w:hAnsi="Century Gothic"/>
          <w:sz w:val="20"/>
          <w:szCs w:val="20"/>
        </w:rPr>
      </w:pPr>
      <w:r w:rsidRPr="00410201">
        <w:rPr>
          <w:rFonts w:ascii="Century Gothic" w:hAnsi="Century Gothic"/>
          <w:sz w:val="20"/>
          <w:szCs w:val="20"/>
        </w:rPr>
        <w:t>O-Sight is designed as a local-first, containerized application built on a modern stack: a React/</w:t>
      </w:r>
      <w:proofErr w:type="spellStart"/>
      <w:r w:rsidRPr="00410201">
        <w:rPr>
          <w:rFonts w:ascii="Century Gothic" w:hAnsi="Century Gothic"/>
          <w:sz w:val="20"/>
          <w:szCs w:val="20"/>
        </w:rPr>
        <w:t>Vite</w:t>
      </w:r>
      <w:proofErr w:type="spellEnd"/>
      <w:r w:rsidRPr="00410201">
        <w:rPr>
          <w:rFonts w:ascii="Century Gothic" w:hAnsi="Century Gothic"/>
          <w:sz w:val="20"/>
          <w:szCs w:val="20"/>
        </w:rPr>
        <w:t xml:space="preserve"> frontend and a </w:t>
      </w:r>
      <w:proofErr w:type="spellStart"/>
      <w:r w:rsidRPr="00410201">
        <w:rPr>
          <w:rFonts w:ascii="Century Gothic" w:hAnsi="Century Gothic"/>
          <w:sz w:val="20"/>
          <w:szCs w:val="20"/>
        </w:rPr>
        <w:t>FastAPI</w:t>
      </w:r>
      <w:proofErr w:type="spellEnd"/>
      <w:r w:rsidRPr="00410201">
        <w:rPr>
          <w:rFonts w:ascii="Century Gothic" w:hAnsi="Century Gothic"/>
          <w:sz w:val="20"/>
          <w:szCs w:val="20"/>
        </w:rPr>
        <w:t xml:space="preserve">/Pandas backend. Instead of requiring live bank integrations, the user simply exports their </w:t>
      </w:r>
      <w:proofErr w:type="spellStart"/>
      <w:r w:rsidRPr="00410201">
        <w:rPr>
          <w:rFonts w:ascii="Century Gothic" w:hAnsi="Century Gothic"/>
          <w:sz w:val="20"/>
          <w:szCs w:val="20"/>
        </w:rPr>
        <w:t>OPay</w:t>
      </w:r>
      <w:proofErr w:type="spellEnd"/>
      <w:r w:rsidRPr="00410201">
        <w:rPr>
          <w:rFonts w:ascii="Century Gothic" w:hAnsi="Century Gothic"/>
          <w:sz w:val="20"/>
          <w:szCs w:val="20"/>
        </w:rPr>
        <w:t xml:space="preserve"> transaction Excel sheet and drags it into the dashboard.</w:t>
      </w:r>
    </w:p>
    <w:p w:rsidR="00410201" w:rsidRPr="00410201" w:rsidRDefault="00410201" w:rsidP="00410201">
      <w:pPr>
        <w:jc w:val="both"/>
        <w:rPr>
          <w:rFonts w:ascii="Century Gothic" w:hAnsi="Century Gothic"/>
          <w:sz w:val="20"/>
          <w:szCs w:val="20"/>
        </w:rPr>
      </w:pPr>
      <w:r w:rsidRPr="00410201">
        <w:rPr>
          <w:rFonts w:ascii="Century Gothic" w:hAnsi="Century Gothic"/>
          <w:sz w:val="20"/>
          <w:szCs w:val="20"/>
        </w:rPr>
        <w:t>The core technology pipeline operates through four main phases:</w:t>
      </w:r>
    </w:p>
    <w:p w:rsidR="00410201" w:rsidRDefault="00410201" w:rsidP="00066E8E">
      <w:pPr>
        <w:pStyle w:val="ListParagraph"/>
        <w:numPr>
          <w:ilvl w:val="0"/>
          <w:numId w:val="9"/>
        </w:numPr>
        <w:jc w:val="both"/>
        <w:rPr>
          <w:rFonts w:ascii="Century Gothic" w:hAnsi="Century Gothic"/>
          <w:sz w:val="20"/>
          <w:szCs w:val="20"/>
        </w:rPr>
      </w:pPr>
      <w:r w:rsidRPr="00410201">
        <w:rPr>
          <w:rFonts w:ascii="Century Gothic" w:hAnsi="Century Gothic"/>
          <w:bCs/>
          <w:sz w:val="20"/>
          <w:szCs w:val="20"/>
        </w:rPr>
        <w:t>Data Ingestion and Reconciliation (opay.py):</w:t>
      </w:r>
      <w:r w:rsidRPr="00410201">
        <w:rPr>
          <w:rFonts w:ascii="Century Gothic" w:hAnsi="Century Gothic"/>
          <w:sz w:val="20"/>
          <w:szCs w:val="20"/>
        </w:rPr>
        <w:t> Upon file upload, the </w:t>
      </w:r>
      <w:proofErr w:type="spellStart"/>
      <w:r w:rsidRPr="00410201">
        <w:rPr>
          <w:rFonts w:ascii="Century Gothic" w:hAnsi="Century Gothic"/>
          <w:sz w:val="20"/>
          <w:szCs w:val="20"/>
        </w:rPr>
        <w:t>OPayAnalyzer</w:t>
      </w:r>
      <w:proofErr w:type="spellEnd"/>
      <w:r w:rsidRPr="00410201">
        <w:rPr>
          <w:rFonts w:ascii="Century Gothic" w:hAnsi="Century Gothic"/>
          <w:sz w:val="20"/>
          <w:szCs w:val="20"/>
        </w:rPr>
        <w:t xml:space="preserve"> reads the header to extract the user's account details (Account Name, Type, Number, and Period) and the bank's reported totals. It parses the transaction logs, converts currency </w:t>
      </w:r>
      <w:r w:rsidRPr="00410201">
        <w:rPr>
          <w:rFonts w:ascii="Century Gothic" w:hAnsi="Century Gothic"/>
          <w:sz w:val="20"/>
          <w:szCs w:val="20"/>
        </w:rPr>
        <w:lastRenderedPageBreak/>
        <w:t>symbols (</w:t>
      </w:r>
      <w:r w:rsidRPr="00410201">
        <w:rPr>
          <w:rFonts w:ascii="Arial" w:hAnsi="Arial" w:cs="Arial"/>
          <w:sz w:val="20"/>
          <w:szCs w:val="20"/>
        </w:rPr>
        <w:t>₦</w:t>
      </w:r>
      <w:r w:rsidRPr="00410201">
        <w:rPr>
          <w:rFonts w:ascii="Century Gothic" w:hAnsi="Century Gothic"/>
          <w:sz w:val="20"/>
          <w:szCs w:val="20"/>
        </w:rPr>
        <w:t>) to float values, and reconciles the calculations. It flags inflow/outflow discrepancies if the computed sums mismatch the reported totals by more than 0.01 Naira.</w:t>
      </w:r>
    </w:p>
    <w:p w:rsidR="00410201" w:rsidRDefault="00410201" w:rsidP="00410201">
      <w:pPr>
        <w:pStyle w:val="ListParagraph"/>
        <w:jc w:val="both"/>
        <w:rPr>
          <w:rFonts w:ascii="Century Gothic" w:hAnsi="Century Gothic"/>
          <w:sz w:val="20"/>
          <w:szCs w:val="20"/>
        </w:rPr>
      </w:pPr>
    </w:p>
    <w:p w:rsidR="00410201" w:rsidRDefault="00410201" w:rsidP="00066E8E">
      <w:pPr>
        <w:pStyle w:val="ListParagraph"/>
        <w:numPr>
          <w:ilvl w:val="0"/>
          <w:numId w:val="9"/>
        </w:numPr>
        <w:jc w:val="both"/>
        <w:rPr>
          <w:rFonts w:ascii="Century Gothic" w:hAnsi="Century Gothic"/>
          <w:sz w:val="20"/>
          <w:szCs w:val="20"/>
        </w:rPr>
      </w:pPr>
      <w:r w:rsidRPr="00410201">
        <w:rPr>
          <w:rFonts w:ascii="Century Gothic" w:hAnsi="Century Gothic"/>
          <w:bCs/>
          <w:sz w:val="20"/>
          <w:szCs w:val="20"/>
        </w:rPr>
        <w:t xml:space="preserve">Fuzzy NLP Cleanups and Merchant </w:t>
      </w:r>
      <w:proofErr w:type="spellStart"/>
      <w:r w:rsidRPr="00410201">
        <w:rPr>
          <w:rFonts w:ascii="Century Gothic" w:hAnsi="Century Gothic"/>
          <w:bCs/>
          <w:sz w:val="20"/>
          <w:szCs w:val="20"/>
        </w:rPr>
        <w:t>Deduplication</w:t>
      </w:r>
      <w:proofErr w:type="spellEnd"/>
      <w:r w:rsidRPr="00410201">
        <w:rPr>
          <w:rFonts w:ascii="Century Gothic" w:hAnsi="Century Gothic"/>
          <w:bCs/>
          <w:sz w:val="20"/>
          <w:szCs w:val="20"/>
        </w:rPr>
        <w:t xml:space="preserve"> (nlp.py):</w:t>
      </w:r>
      <w:r w:rsidRPr="00410201">
        <w:rPr>
          <w:rFonts w:ascii="Century Gothic" w:hAnsi="Century Gothic"/>
          <w:sz w:val="20"/>
          <w:szCs w:val="20"/>
        </w:rPr>
        <w:t> To resolve fragmented names (e.g., consolidating "BOLT RIDES", "BOLT GIG", and "Bolt"), the backend runs a two-step cleaning process:</w:t>
      </w:r>
    </w:p>
    <w:p w:rsidR="00410201" w:rsidRPr="00410201" w:rsidRDefault="00410201" w:rsidP="00410201">
      <w:pPr>
        <w:numPr>
          <w:ilvl w:val="1"/>
          <w:numId w:val="12"/>
        </w:numPr>
        <w:jc w:val="both"/>
        <w:rPr>
          <w:rFonts w:ascii="Century Gothic" w:hAnsi="Century Gothic"/>
          <w:sz w:val="20"/>
          <w:szCs w:val="20"/>
        </w:rPr>
      </w:pPr>
      <w:proofErr w:type="spellStart"/>
      <w:r w:rsidRPr="00410201">
        <w:rPr>
          <w:rFonts w:ascii="Century Gothic" w:hAnsi="Century Gothic"/>
          <w:sz w:val="20"/>
          <w:szCs w:val="20"/>
        </w:rPr>
        <w:t>clean_counterparty</w:t>
      </w:r>
      <w:proofErr w:type="spellEnd"/>
      <w:r w:rsidRPr="00410201">
        <w:rPr>
          <w:rFonts w:ascii="Century Gothic" w:hAnsi="Century Gothic"/>
          <w:sz w:val="20"/>
          <w:szCs w:val="20"/>
        </w:rPr>
        <w:t>: Normalizes raw text (lowercasing, stripping special characters, and sorting name tokens alphabetically to guarantee "FIRST LAST" maps identically to "LAST FIRST").</w:t>
      </w:r>
    </w:p>
    <w:p w:rsidR="00410201" w:rsidRPr="00410201" w:rsidRDefault="00410201" w:rsidP="00410201">
      <w:pPr>
        <w:numPr>
          <w:ilvl w:val="1"/>
          <w:numId w:val="12"/>
        </w:numPr>
        <w:jc w:val="both"/>
        <w:rPr>
          <w:rFonts w:ascii="Century Gothic" w:hAnsi="Century Gothic"/>
          <w:sz w:val="20"/>
          <w:szCs w:val="20"/>
        </w:rPr>
      </w:pPr>
      <w:proofErr w:type="spellStart"/>
      <w:r w:rsidRPr="00410201">
        <w:rPr>
          <w:rFonts w:ascii="Century Gothic" w:hAnsi="Century Gothic"/>
          <w:sz w:val="20"/>
          <w:szCs w:val="20"/>
        </w:rPr>
        <w:t>fuzzy_deduplicate</w:t>
      </w:r>
      <w:proofErr w:type="spellEnd"/>
      <w:r w:rsidRPr="00410201">
        <w:rPr>
          <w:rFonts w:ascii="Century Gothic" w:hAnsi="Century Gothic"/>
          <w:sz w:val="20"/>
          <w:szCs w:val="20"/>
        </w:rPr>
        <w:t>: Leverages Python's </w:t>
      </w:r>
      <w:proofErr w:type="spellStart"/>
      <w:r w:rsidRPr="00410201">
        <w:rPr>
          <w:rFonts w:ascii="Century Gothic" w:hAnsi="Century Gothic"/>
          <w:sz w:val="20"/>
          <w:szCs w:val="20"/>
        </w:rPr>
        <w:t>SequenceMatcher</w:t>
      </w:r>
      <w:proofErr w:type="spellEnd"/>
      <w:r w:rsidRPr="00410201">
        <w:rPr>
          <w:rFonts w:ascii="Century Gothic" w:hAnsi="Century Gothic"/>
          <w:sz w:val="20"/>
          <w:szCs w:val="20"/>
        </w:rPr>
        <w:t> to evaluate text similarity. Any counterparties with a similarity ratio above 0.85 (or 0.80 for parent entities) are grouped under a single canonical name, resolving "Evil Twins" fragmentation.</w:t>
      </w:r>
    </w:p>
    <w:p w:rsidR="00410201" w:rsidRDefault="00410201" w:rsidP="006533C0">
      <w:pPr>
        <w:pStyle w:val="ListParagraph"/>
        <w:numPr>
          <w:ilvl w:val="0"/>
          <w:numId w:val="9"/>
        </w:numPr>
        <w:jc w:val="both"/>
        <w:rPr>
          <w:rFonts w:ascii="Century Gothic" w:hAnsi="Century Gothic"/>
          <w:sz w:val="20"/>
          <w:szCs w:val="20"/>
        </w:rPr>
      </w:pPr>
      <w:r w:rsidRPr="00410201">
        <w:rPr>
          <w:rFonts w:ascii="Century Gothic" w:hAnsi="Century Gothic"/>
          <w:sz w:val="20"/>
          <w:szCs w:val="20"/>
        </w:rPr>
        <w:t>Hybrid</w:t>
      </w:r>
      <w:r w:rsidRPr="00410201">
        <w:rPr>
          <w:rFonts w:ascii="Century Gothic" w:hAnsi="Century Gothic"/>
          <w:bCs/>
          <w:sz w:val="20"/>
          <w:szCs w:val="20"/>
        </w:rPr>
        <w:t xml:space="preserve"> Mask Resolution (intelligence.py):</w:t>
      </w:r>
      <w:r w:rsidRPr="00410201">
        <w:rPr>
          <w:rFonts w:ascii="Century Gothic" w:hAnsi="Century Gothic"/>
          <w:sz w:val="20"/>
          <w:szCs w:val="20"/>
        </w:rPr>
        <w:t> </w:t>
      </w:r>
      <w:proofErr w:type="spellStart"/>
      <w:r w:rsidRPr="00410201">
        <w:rPr>
          <w:rFonts w:ascii="Century Gothic" w:hAnsi="Century Gothic"/>
          <w:sz w:val="20"/>
          <w:szCs w:val="20"/>
        </w:rPr>
        <w:t>Fintech</w:t>
      </w:r>
      <w:proofErr w:type="spellEnd"/>
      <w:r w:rsidRPr="00410201">
        <w:rPr>
          <w:rFonts w:ascii="Century Gothic" w:hAnsi="Century Gothic"/>
          <w:sz w:val="20"/>
          <w:szCs w:val="20"/>
        </w:rPr>
        <w:t xml:space="preserve"> statements often mask account numbers (e.g., "123***789"). The engine builds an in-memory registry of full, unmasked account numbers mapped to specific counterparties. When it encounters a masked account, it matches the unmasked prefix (first 3 digits), suffix (last 3 digits), and counterparty name against the registry to restore the complete account details.</w:t>
      </w:r>
    </w:p>
    <w:p w:rsidR="00410201" w:rsidRPr="00410201" w:rsidRDefault="00410201" w:rsidP="00410201">
      <w:pPr>
        <w:pStyle w:val="ListParagraph"/>
        <w:jc w:val="both"/>
        <w:rPr>
          <w:rFonts w:ascii="Century Gothic" w:hAnsi="Century Gothic"/>
          <w:sz w:val="20"/>
          <w:szCs w:val="20"/>
        </w:rPr>
      </w:pPr>
    </w:p>
    <w:p w:rsidR="00410201" w:rsidRDefault="00410201" w:rsidP="00677EDE">
      <w:pPr>
        <w:pStyle w:val="ListParagraph"/>
        <w:numPr>
          <w:ilvl w:val="0"/>
          <w:numId w:val="9"/>
        </w:numPr>
        <w:jc w:val="both"/>
        <w:rPr>
          <w:rFonts w:ascii="Century Gothic" w:hAnsi="Century Gothic"/>
          <w:sz w:val="20"/>
          <w:szCs w:val="20"/>
        </w:rPr>
      </w:pPr>
      <w:r w:rsidRPr="00410201">
        <w:rPr>
          <w:rFonts w:ascii="Century Gothic" w:hAnsi="Century Gothic"/>
          <w:bCs/>
          <w:sz w:val="20"/>
          <w:szCs w:val="20"/>
        </w:rPr>
        <w:t>Rule-Based Savings Filtration (opay.py):</w:t>
      </w:r>
      <w:r w:rsidRPr="00410201">
        <w:rPr>
          <w:rFonts w:ascii="Century Gothic" w:hAnsi="Century Gothic"/>
          <w:sz w:val="20"/>
          <w:szCs w:val="20"/>
        </w:rPr>
        <w:t> To eliminate savings bloating, the parser scans description strings for keywords like "</w:t>
      </w:r>
      <w:proofErr w:type="spellStart"/>
      <w:r w:rsidRPr="00410201">
        <w:rPr>
          <w:rFonts w:ascii="Century Gothic" w:hAnsi="Century Gothic"/>
          <w:sz w:val="20"/>
          <w:szCs w:val="20"/>
        </w:rPr>
        <w:t>OWealth</w:t>
      </w:r>
      <w:proofErr w:type="spellEnd"/>
      <w:r w:rsidRPr="00410201">
        <w:rPr>
          <w:rFonts w:ascii="Century Gothic" w:hAnsi="Century Gothic"/>
          <w:sz w:val="20"/>
          <w:szCs w:val="20"/>
        </w:rPr>
        <w:t>", "Spend &amp; Save", "Fixed Deposit", and "Targets Deposit". It isolates these transactions into "Savings &amp; Investments" or "Savings Withdrawal" categories, allowing the intelligence engine to extract the user's true outflow and savings rate.</w:t>
      </w:r>
    </w:p>
    <w:p w:rsidR="00410201" w:rsidRPr="00410201" w:rsidRDefault="00410201" w:rsidP="00410201">
      <w:pPr>
        <w:pStyle w:val="ListParagraph"/>
        <w:jc w:val="both"/>
        <w:rPr>
          <w:rFonts w:ascii="Century Gothic" w:hAnsi="Century Gothic"/>
          <w:sz w:val="20"/>
          <w:szCs w:val="20"/>
        </w:rPr>
      </w:pPr>
    </w:p>
    <w:p w:rsidR="00410201" w:rsidRDefault="00410201" w:rsidP="00677EDE">
      <w:pPr>
        <w:pStyle w:val="ListParagraph"/>
        <w:numPr>
          <w:ilvl w:val="0"/>
          <w:numId w:val="9"/>
        </w:numPr>
        <w:jc w:val="both"/>
        <w:rPr>
          <w:rFonts w:ascii="Century Gothic" w:hAnsi="Century Gothic"/>
          <w:sz w:val="20"/>
          <w:szCs w:val="20"/>
        </w:rPr>
      </w:pPr>
      <w:r w:rsidRPr="00410201">
        <w:rPr>
          <w:rFonts w:ascii="Century Gothic" w:hAnsi="Century Gothic"/>
          <w:bCs/>
          <w:sz w:val="20"/>
          <w:szCs w:val="20"/>
        </w:rPr>
        <w:t>Weighted Financial Health Score v2 (intelligence.py):</w:t>
      </w:r>
      <w:r w:rsidRPr="00410201">
        <w:rPr>
          <w:rFonts w:ascii="Century Gothic" w:hAnsi="Century Gothic"/>
          <w:sz w:val="20"/>
          <w:szCs w:val="20"/>
        </w:rPr>
        <w:t> The engine scores the user's financial profile out of 100 points, using seven weighted indicators:</w:t>
      </w:r>
    </w:p>
    <w:p w:rsidR="00410201" w:rsidRPr="00410201" w:rsidRDefault="00410201" w:rsidP="00410201">
      <w:pPr>
        <w:numPr>
          <w:ilvl w:val="1"/>
          <w:numId w:val="14"/>
        </w:numPr>
        <w:jc w:val="both"/>
        <w:rPr>
          <w:rFonts w:ascii="Century Gothic" w:hAnsi="Century Gothic"/>
          <w:sz w:val="20"/>
          <w:szCs w:val="20"/>
        </w:rPr>
      </w:pPr>
      <w:r w:rsidRPr="00410201">
        <w:rPr>
          <w:rFonts w:ascii="Century Gothic" w:hAnsi="Century Gothic"/>
          <w:i/>
          <w:iCs/>
          <w:sz w:val="20"/>
          <w:szCs w:val="20"/>
        </w:rPr>
        <w:t>Savings Rate (25% weight):</w:t>
      </w:r>
      <w:r w:rsidRPr="00410201">
        <w:rPr>
          <w:rFonts w:ascii="Century Gothic" w:hAnsi="Century Gothic"/>
          <w:sz w:val="20"/>
          <w:szCs w:val="20"/>
        </w:rPr>
        <w:t> Evaluates net savings relative to real inflow.</w:t>
      </w:r>
    </w:p>
    <w:p w:rsidR="00410201" w:rsidRPr="00410201" w:rsidRDefault="00410201" w:rsidP="00410201">
      <w:pPr>
        <w:numPr>
          <w:ilvl w:val="1"/>
          <w:numId w:val="14"/>
        </w:numPr>
        <w:jc w:val="both"/>
        <w:rPr>
          <w:rFonts w:ascii="Century Gothic" w:hAnsi="Century Gothic"/>
          <w:sz w:val="20"/>
          <w:szCs w:val="20"/>
        </w:rPr>
      </w:pPr>
      <w:r w:rsidRPr="00410201">
        <w:rPr>
          <w:rFonts w:ascii="Century Gothic" w:hAnsi="Century Gothic"/>
          <w:i/>
          <w:iCs/>
          <w:sz w:val="20"/>
          <w:szCs w:val="20"/>
        </w:rPr>
        <w:t>Income Stability (20% weight):</w:t>
      </w:r>
      <w:r w:rsidRPr="00410201">
        <w:rPr>
          <w:rFonts w:ascii="Century Gothic" w:hAnsi="Century Gothic"/>
          <w:sz w:val="20"/>
          <w:szCs w:val="20"/>
        </w:rPr>
        <w:t> Measures the coefficient of variation (CV) of monthly inflows.</w:t>
      </w:r>
    </w:p>
    <w:p w:rsidR="00410201" w:rsidRPr="00410201" w:rsidRDefault="00410201" w:rsidP="00410201">
      <w:pPr>
        <w:numPr>
          <w:ilvl w:val="1"/>
          <w:numId w:val="14"/>
        </w:numPr>
        <w:jc w:val="both"/>
        <w:rPr>
          <w:rFonts w:ascii="Century Gothic" w:hAnsi="Century Gothic"/>
          <w:sz w:val="20"/>
          <w:szCs w:val="20"/>
        </w:rPr>
      </w:pPr>
      <w:r w:rsidRPr="00410201">
        <w:rPr>
          <w:rFonts w:ascii="Century Gothic" w:hAnsi="Century Gothic"/>
          <w:i/>
          <w:iCs/>
          <w:sz w:val="20"/>
          <w:szCs w:val="20"/>
        </w:rPr>
        <w:t>Spending Consistency (15% weight):</w:t>
      </w:r>
      <w:r w:rsidRPr="00410201">
        <w:rPr>
          <w:rFonts w:ascii="Century Gothic" w:hAnsi="Century Gothic"/>
          <w:sz w:val="20"/>
          <w:szCs w:val="20"/>
        </w:rPr>
        <w:t> Evaluates volatility in monthly expenditures.</w:t>
      </w:r>
    </w:p>
    <w:p w:rsidR="00410201" w:rsidRPr="00410201" w:rsidRDefault="00410201" w:rsidP="00410201">
      <w:pPr>
        <w:numPr>
          <w:ilvl w:val="1"/>
          <w:numId w:val="14"/>
        </w:numPr>
        <w:jc w:val="both"/>
        <w:rPr>
          <w:rFonts w:ascii="Century Gothic" w:hAnsi="Century Gothic"/>
          <w:sz w:val="20"/>
          <w:szCs w:val="20"/>
        </w:rPr>
      </w:pPr>
      <w:r w:rsidRPr="00410201">
        <w:rPr>
          <w:rFonts w:ascii="Century Gothic" w:hAnsi="Century Gothic"/>
          <w:i/>
          <w:iCs/>
          <w:sz w:val="20"/>
          <w:szCs w:val="20"/>
        </w:rPr>
        <w:t>Bank Charges Ratio (10% weight):</w:t>
      </w:r>
      <w:r w:rsidRPr="00410201">
        <w:rPr>
          <w:rFonts w:ascii="Century Gothic" w:hAnsi="Century Gothic"/>
          <w:sz w:val="20"/>
          <w:szCs w:val="20"/>
        </w:rPr>
        <w:t> Tracks the percentage of outflows spent on USSD/bank charges.</w:t>
      </w:r>
    </w:p>
    <w:p w:rsidR="00410201" w:rsidRPr="00410201" w:rsidRDefault="00410201" w:rsidP="00410201">
      <w:pPr>
        <w:numPr>
          <w:ilvl w:val="1"/>
          <w:numId w:val="14"/>
        </w:numPr>
        <w:jc w:val="both"/>
        <w:rPr>
          <w:rFonts w:ascii="Century Gothic" w:hAnsi="Century Gothic"/>
          <w:sz w:val="20"/>
          <w:szCs w:val="20"/>
        </w:rPr>
      </w:pPr>
      <w:r w:rsidRPr="00410201">
        <w:rPr>
          <w:rFonts w:ascii="Century Gothic" w:hAnsi="Century Gothic"/>
          <w:i/>
          <w:iCs/>
          <w:sz w:val="20"/>
          <w:szCs w:val="20"/>
        </w:rPr>
        <w:t>Balance Trend (15% weight):</w:t>
      </w:r>
      <w:r w:rsidRPr="00410201">
        <w:rPr>
          <w:rFonts w:ascii="Century Gothic" w:hAnsi="Century Gothic"/>
          <w:sz w:val="20"/>
          <w:szCs w:val="20"/>
        </w:rPr>
        <w:t> Evaluates if average balances are growing, stable, or declining.</w:t>
      </w:r>
    </w:p>
    <w:p w:rsidR="00410201" w:rsidRPr="00410201" w:rsidRDefault="00410201" w:rsidP="00410201">
      <w:pPr>
        <w:numPr>
          <w:ilvl w:val="1"/>
          <w:numId w:val="14"/>
        </w:numPr>
        <w:jc w:val="both"/>
        <w:rPr>
          <w:rFonts w:ascii="Century Gothic" w:hAnsi="Century Gothic"/>
          <w:sz w:val="20"/>
          <w:szCs w:val="20"/>
        </w:rPr>
      </w:pPr>
      <w:r w:rsidRPr="00410201">
        <w:rPr>
          <w:rFonts w:ascii="Century Gothic" w:hAnsi="Century Gothic"/>
          <w:i/>
          <w:iCs/>
          <w:sz w:val="20"/>
          <w:szCs w:val="20"/>
        </w:rPr>
        <w:t>Anomaly Frequency (5% weight):</w:t>
      </w:r>
      <w:r w:rsidRPr="00410201">
        <w:rPr>
          <w:rFonts w:ascii="Century Gothic" w:hAnsi="Century Gothic"/>
          <w:sz w:val="20"/>
          <w:szCs w:val="20"/>
        </w:rPr>
        <w:t> Flags unusual spending spikes.</w:t>
      </w:r>
    </w:p>
    <w:p w:rsidR="00410201" w:rsidRPr="00410201" w:rsidRDefault="00410201" w:rsidP="00410201">
      <w:pPr>
        <w:numPr>
          <w:ilvl w:val="1"/>
          <w:numId w:val="14"/>
        </w:numPr>
        <w:jc w:val="both"/>
        <w:rPr>
          <w:rFonts w:ascii="Century Gothic" w:hAnsi="Century Gothic"/>
          <w:sz w:val="20"/>
          <w:szCs w:val="20"/>
        </w:rPr>
      </w:pPr>
      <w:r w:rsidRPr="00410201">
        <w:rPr>
          <w:rFonts w:ascii="Century Gothic" w:hAnsi="Century Gothic"/>
          <w:i/>
          <w:iCs/>
          <w:sz w:val="20"/>
          <w:szCs w:val="20"/>
        </w:rPr>
        <w:t>Diversification (10% weight):</w:t>
      </w:r>
      <w:r w:rsidRPr="00410201">
        <w:rPr>
          <w:rFonts w:ascii="Century Gothic" w:hAnsi="Century Gothic"/>
          <w:sz w:val="20"/>
          <w:szCs w:val="20"/>
        </w:rPr>
        <w:t> Measures spending concentration across categories.</w:t>
      </w:r>
    </w:p>
    <w:p w:rsidR="00410201" w:rsidRDefault="00410201" w:rsidP="00410201">
      <w:pPr>
        <w:pStyle w:val="ListParagraph"/>
        <w:jc w:val="both"/>
        <w:rPr>
          <w:rFonts w:ascii="Century Gothic" w:hAnsi="Century Gothic"/>
          <w:sz w:val="20"/>
          <w:szCs w:val="20"/>
        </w:rPr>
      </w:pPr>
    </w:p>
    <w:p w:rsidR="00410201" w:rsidRPr="00410201" w:rsidRDefault="00410201" w:rsidP="002D538F">
      <w:pPr>
        <w:pStyle w:val="ListParagraph"/>
        <w:numPr>
          <w:ilvl w:val="0"/>
          <w:numId w:val="9"/>
        </w:numPr>
        <w:jc w:val="both"/>
        <w:rPr>
          <w:rFonts w:ascii="Century Gothic" w:hAnsi="Century Gothic"/>
          <w:sz w:val="20"/>
          <w:szCs w:val="20"/>
        </w:rPr>
      </w:pPr>
      <w:r w:rsidRPr="00410201">
        <w:rPr>
          <w:rFonts w:ascii="Century Gothic" w:hAnsi="Century Gothic"/>
          <w:sz w:val="20"/>
          <w:szCs w:val="20"/>
        </w:rPr>
        <w:t>Zero</w:t>
      </w:r>
      <w:r w:rsidRPr="00410201">
        <w:rPr>
          <w:rFonts w:ascii="Century Gothic" w:hAnsi="Century Gothic"/>
          <w:bCs/>
          <w:sz w:val="20"/>
          <w:szCs w:val="20"/>
        </w:rPr>
        <w:t>-Retention Data Privacy (main.py):</w:t>
      </w:r>
      <w:r w:rsidRPr="00410201">
        <w:rPr>
          <w:rFonts w:ascii="Century Gothic" w:hAnsi="Century Gothic"/>
          <w:sz w:val="20"/>
          <w:szCs w:val="20"/>
        </w:rPr>
        <w:t xml:space="preserve"> For security, statements are uploaded via </w:t>
      </w:r>
      <w:proofErr w:type="spellStart"/>
      <w:r w:rsidRPr="00410201">
        <w:rPr>
          <w:rFonts w:ascii="Century Gothic" w:hAnsi="Century Gothic"/>
          <w:sz w:val="20"/>
          <w:szCs w:val="20"/>
        </w:rPr>
        <w:t>FastAPI</w:t>
      </w:r>
      <w:proofErr w:type="spellEnd"/>
      <w:r w:rsidRPr="00410201">
        <w:rPr>
          <w:rFonts w:ascii="Century Gothic" w:hAnsi="Century Gothic"/>
          <w:sz w:val="20"/>
          <w:szCs w:val="20"/>
        </w:rPr>
        <w:t xml:space="preserve"> to temporary files (</w:t>
      </w:r>
      <w:proofErr w:type="spellStart"/>
      <w:r w:rsidRPr="00410201">
        <w:rPr>
          <w:rFonts w:ascii="Century Gothic" w:hAnsi="Century Gothic"/>
          <w:sz w:val="20"/>
          <w:szCs w:val="20"/>
        </w:rPr>
        <w:t>tempfile.mkstemp</w:t>
      </w:r>
      <w:proofErr w:type="spellEnd"/>
      <w:r w:rsidRPr="00410201">
        <w:rPr>
          <w:rFonts w:ascii="Century Gothic" w:hAnsi="Century Gothic"/>
          <w:sz w:val="20"/>
          <w:szCs w:val="20"/>
        </w:rPr>
        <w:t xml:space="preserve">). The data is analyzed in memory, and the temporary file is immediately unlinked and deleted in a finally block before the JSON response is </w:t>
      </w:r>
      <w:r w:rsidRPr="00410201">
        <w:rPr>
          <w:rFonts w:ascii="Century Gothic" w:hAnsi="Century Gothic"/>
          <w:sz w:val="20"/>
          <w:szCs w:val="20"/>
        </w:rPr>
        <w:lastRenderedPageBreak/>
        <w:t xml:space="preserve">returned to the browser. The frontend stores this state only in </w:t>
      </w:r>
      <w:proofErr w:type="spellStart"/>
      <w:r w:rsidRPr="00410201">
        <w:rPr>
          <w:rFonts w:ascii="Century Gothic" w:hAnsi="Century Gothic"/>
          <w:sz w:val="20"/>
          <w:szCs w:val="20"/>
        </w:rPr>
        <w:t>React's</w:t>
      </w:r>
      <w:proofErr w:type="spellEnd"/>
      <w:r w:rsidRPr="00410201">
        <w:rPr>
          <w:rFonts w:ascii="Century Gothic" w:hAnsi="Century Gothic"/>
          <w:sz w:val="20"/>
          <w:szCs w:val="20"/>
        </w:rPr>
        <w:t xml:space="preserve"> active runtime memory, leaving zero footprints on any server database.</w:t>
      </w:r>
    </w:p>
    <w:p w:rsidR="006409CE" w:rsidRPr="006409CE" w:rsidRDefault="006409CE" w:rsidP="006409CE">
      <w:pPr>
        <w:jc w:val="both"/>
        <w:rPr>
          <w:rFonts w:ascii="Century Gothic" w:hAnsi="Century Gothic"/>
          <w:sz w:val="20"/>
          <w:szCs w:val="20"/>
        </w:rPr>
      </w:pPr>
      <w:r w:rsidRPr="006409CE">
        <w:rPr>
          <w:rFonts w:ascii="Century Gothic" w:hAnsi="Century Gothic"/>
          <w:b/>
          <w:bCs/>
          <w:sz w:val="20"/>
          <w:szCs w:val="20"/>
        </w:rPr>
        <w:t>4. Target Market &amp; Economic Relevance</w:t>
      </w:r>
    </w:p>
    <w:p w:rsidR="00410201" w:rsidRPr="00410201" w:rsidRDefault="00410201" w:rsidP="00410201">
      <w:pPr>
        <w:pStyle w:val="ListParagraph"/>
        <w:numPr>
          <w:ilvl w:val="0"/>
          <w:numId w:val="19"/>
        </w:numPr>
        <w:jc w:val="both"/>
        <w:rPr>
          <w:rFonts w:ascii="Century Gothic" w:hAnsi="Century Gothic"/>
          <w:sz w:val="20"/>
          <w:szCs w:val="20"/>
        </w:rPr>
      </w:pPr>
      <w:r w:rsidRPr="00410201">
        <w:rPr>
          <w:rFonts w:ascii="Century Gothic" w:hAnsi="Century Gothic"/>
          <w:bCs/>
          <w:sz w:val="20"/>
          <w:szCs w:val="20"/>
        </w:rPr>
        <w:t>Primary Target Audience:</w:t>
      </w:r>
      <w:r w:rsidRPr="00410201">
        <w:rPr>
          <w:rFonts w:ascii="Century Gothic" w:hAnsi="Century Gothic"/>
          <w:sz w:val="20"/>
          <w:szCs w:val="20"/>
        </w:rPr>
        <w:t> O-Sight’s core target market is the growing population of digitally active Nigerians (aged 18–35), specifically:</w:t>
      </w:r>
    </w:p>
    <w:p w:rsidR="00410201" w:rsidRPr="00410201" w:rsidRDefault="00410201" w:rsidP="00410201">
      <w:pPr>
        <w:pStyle w:val="ListParagraph"/>
        <w:numPr>
          <w:ilvl w:val="1"/>
          <w:numId w:val="20"/>
        </w:numPr>
        <w:jc w:val="both"/>
        <w:rPr>
          <w:rFonts w:ascii="Century Gothic" w:hAnsi="Century Gothic"/>
          <w:sz w:val="20"/>
          <w:szCs w:val="20"/>
        </w:rPr>
      </w:pPr>
      <w:r w:rsidRPr="00410201">
        <w:rPr>
          <w:rFonts w:ascii="Century Gothic" w:hAnsi="Century Gothic"/>
          <w:bCs/>
          <w:sz w:val="20"/>
          <w:szCs w:val="20"/>
        </w:rPr>
        <w:t>Students &amp; Young Professionals:</w:t>
      </w:r>
      <w:r w:rsidRPr="00410201">
        <w:rPr>
          <w:rFonts w:ascii="Century Gothic" w:hAnsi="Century Gothic"/>
          <w:sz w:val="20"/>
          <w:szCs w:val="20"/>
        </w:rPr>
        <w:t> Heavy mobile money users who conduct multiple micro-transactions (e.g., transfers, airtime purchases) daily and need a simple, self-auditing tool to curb impulse spending.</w:t>
      </w:r>
    </w:p>
    <w:p w:rsidR="00410201" w:rsidRPr="00410201" w:rsidRDefault="00410201" w:rsidP="00410201">
      <w:pPr>
        <w:pStyle w:val="ListParagraph"/>
        <w:numPr>
          <w:ilvl w:val="1"/>
          <w:numId w:val="20"/>
        </w:numPr>
        <w:jc w:val="both"/>
        <w:rPr>
          <w:rFonts w:ascii="Century Gothic" w:hAnsi="Century Gothic"/>
          <w:sz w:val="20"/>
          <w:szCs w:val="20"/>
        </w:rPr>
      </w:pPr>
      <w:r w:rsidRPr="00410201">
        <w:rPr>
          <w:rFonts w:ascii="Century Gothic" w:hAnsi="Century Gothic"/>
          <w:bCs/>
          <w:sz w:val="20"/>
          <w:szCs w:val="20"/>
        </w:rPr>
        <w:t>Freelancers &amp; Gig Workers:</w:t>
      </w:r>
      <w:r w:rsidRPr="00410201">
        <w:rPr>
          <w:rFonts w:ascii="Century Gothic" w:hAnsi="Century Gothic"/>
          <w:sz w:val="20"/>
          <w:szCs w:val="20"/>
        </w:rPr>
        <w:t> Individuals who receive multiple unstructured payments from different clients and need to separate their actual business income from personal sweeps and savings withdrawals.</w:t>
      </w:r>
    </w:p>
    <w:p w:rsidR="00410201" w:rsidRPr="00410201" w:rsidRDefault="00410201" w:rsidP="00410201">
      <w:pPr>
        <w:pStyle w:val="ListParagraph"/>
        <w:numPr>
          <w:ilvl w:val="1"/>
          <w:numId w:val="20"/>
        </w:numPr>
        <w:jc w:val="both"/>
        <w:rPr>
          <w:rFonts w:ascii="Century Gothic" w:hAnsi="Century Gothic"/>
          <w:sz w:val="20"/>
          <w:szCs w:val="20"/>
        </w:rPr>
      </w:pPr>
      <w:r w:rsidRPr="00410201">
        <w:rPr>
          <w:rFonts w:ascii="Century Gothic" w:hAnsi="Century Gothic"/>
          <w:bCs/>
          <w:sz w:val="20"/>
          <w:szCs w:val="20"/>
        </w:rPr>
        <w:t>Micro-Merchants:</w:t>
      </w:r>
      <w:r w:rsidRPr="00410201">
        <w:rPr>
          <w:rFonts w:ascii="Century Gothic" w:hAnsi="Century Gothic"/>
          <w:sz w:val="20"/>
          <w:szCs w:val="20"/>
        </w:rPr>
        <w:t xml:space="preserve"> Small retail vendors who handle a large volume of customer transfers via personal accounts and require </w:t>
      </w:r>
      <w:proofErr w:type="spellStart"/>
      <w:r w:rsidRPr="00410201">
        <w:rPr>
          <w:rFonts w:ascii="Century Gothic" w:hAnsi="Century Gothic"/>
          <w:sz w:val="20"/>
          <w:szCs w:val="20"/>
        </w:rPr>
        <w:t>a</w:t>
      </w:r>
      <w:proofErr w:type="spellEnd"/>
      <w:r w:rsidRPr="00410201">
        <w:rPr>
          <w:rFonts w:ascii="Century Gothic" w:hAnsi="Century Gothic"/>
          <w:sz w:val="20"/>
          <w:szCs w:val="20"/>
        </w:rPr>
        <w:t xml:space="preserve"> automated tool to check daily sales velocity and balance sheets.</w:t>
      </w:r>
    </w:p>
    <w:p w:rsidR="00410201" w:rsidRPr="00410201" w:rsidRDefault="00410201" w:rsidP="00410201">
      <w:pPr>
        <w:pStyle w:val="ListParagraph"/>
        <w:numPr>
          <w:ilvl w:val="0"/>
          <w:numId w:val="19"/>
        </w:numPr>
        <w:jc w:val="both"/>
        <w:rPr>
          <w:rFonts w:ascii="Century Gothic" w:hAnsi="Century Gothic"/>
          <w:sz w:val="20"/>
          <w:szCs w:val="20"/>
        </w:rPr>
      </w:pPr>
      <w:r w:rsidRPr="00410201">
        <w:rPr>
          <w:rFonts w:ascii="Century Gothic" w:hAnsi="Century Gothic"/>
          <w:bCs/>
          <w:sz w:val="20"/>
          <w:szCs w:val="20"/>
        </w:rPr>
        <w:t>Social and Economic Impact in Nigeria:</w:t>
      </w:r>
    </w:p>
    <w:p w:rsidR="00410201" w:rsidRPr="00410201" w:rsidRDefault="00410201" w:rsidP="00410201">
      <w:pPr>
        <w:pStyle w:val="ListParagraph"/>
        <w:numPr>
          <w:ilvl w:val="1"/>
          <w:numId w:val="21"/>
        </w:numPr>
        <w:jc w:val="both"/>
        <w:rPr>
          <w:rFonts w:ascii="Century Gothic" w:hAnsi="Century Gothic"/>
          <w:sz w:val="20"/>
          <w:szCs w:val="20"/>
        </w:rPr>
      </w:pPr>
      <w:r w:rsidRPr="00410201">
        <w:rPr>
          <w:rFonts w:ascii="Century Gothic" w:hAnsi="Century Gothic"/>
          <w:bCs/>
          <w:sz w:val="20"/>
          <w:szCs w:val="20"/>
        </w:rPr>
        <w:t>Combating Transaction Inflation:</w:t>
      </w:r>
      <w:r w:rsidRPr="00410201">
        <w:rPr>
          <w:rFonts w:ascii="Century Gothic" w:hAnsi="Century Gothic"/>
          <w:sz w:val="20"/>
          <w:szCs w:val="20"/>
        </w:rPr>
        <w:t> With inflation and rising costs in Nigeria, users need to manage their cash flows down to the single Kobo. O-Sight m</w:t>
      </w:r>
      <w:r>
        <w:rPr>
          <w:rFonts w:ascii="Century Gothic" w:hAnsi="Century Gothic"/>
          <w:sz w:val="20"/>
          <w:szCs w:val="20"/>
        </w:rPr>
        <w:t xml:space="preserve">akes hidden transaction charges </w:t>
      </w:r>
      <w:bookmarkStart w:id="0" w:name="_GoBack"/>
      <w:bookmarkEnd w:id="0"/>
      <w:r w:rsidRPr="00410201">
        <w:rPr>
          <w:rFonts w:ascii="Century Gothic" w:hAnsi="Century Gothic"/>
          <w:sz w:val="20"/>
          <w:szCs w:val="20"/>
        </w:rPr>
        <w:t>such as electronic transfer levies, SMS alerts, and USSD fees—highly visible. This visibility drives users to adopt cost-saving transaction behaviors.</w:t>
      </w:r>
    </w:p>
    <w:p w:rsidR="00410201" w:rsidRPr="00410201" w:rsidRDefault="00410201" w:rsidP="00410201">
      <w:pPr>
        <w:pStyle w:val="ListParagraph"/>
        <w:numPr>
          <w:ilvl w:val="1"/>
          <w:numId w:val="21"/>
        </w:numPr>
        <w:jc w:val="both"/>
        <w:rPr>
          <w:rFonts w:ascii="Century Gothic" w:hAnsi="Century Gothic"/>
          <w:sz w:val="20"/>
          <w:szCs w:val="20"/>
        </w:rPr>
      </w:pPr>
      <w:r w:rsidRPr="00410201">
        <w:rPr>
          <w:rFonts w:ascii="Century Gothic" w:hAnsi="Century Gothic"/>
          <w:bCs/>
          <w:sz w:val="20"/>
          <w:szCs w:val="20"/>
        </w:rPr>
        <w:t>Democratizing Financial Literacy:</w:t>
      </w:r>
      <w:r w:rsidRPr="00410201">
        <w:rPr>
          <w:rFonts w:ascii="Century Gothic" w:hAnsi="Century Gothic"/>
          <w:sz w:val="20"/>
          <w:szCs w:val="20"/>
        </w:rPr>
        <w:t> Rather than manual budgeting apps that demand strict discipline and typing every single transaction, O-Sight handles 100% of the extraction and categorizing automatically. This reduces the friction to learning healthy financial habits.</w:t>
      </w:r>
    </w:p>
    <w:p w:rsidR="00410201" w:rsidRPr="00410201" w:rsidRDefault="00410201" w:rsidP="00410201">
      <w:pPr>
        <w:pStyle w:val="ListParagraph"/>
        <w:numPr>
          <w:ilvl w:val="1"/>
          <w:numId w:val="21"/>
        </w:numPr>
        <w:jc w:val="both"/>
        <w:rPr>
          <w:rFonts w:ascii="Century Gothic" w:hAnsi="Century Gothic"/>
          <w:sz w:val="20"/>
          <w:szCs w:val="20"/>
        </w:rPr>
      </w:pPr>
      <w:r w:rsidRPr="00410201">
        <w:rPr>
          <w:rFonts w:ascii="Century Gothic" w:hAnsi="Century Gothic"/>
          <w:bCs/>
          <w:sz w:val="20"/>
          <w:szCs w:val="20"/>
        </w:rPr>
        <w:t>Data Privacy as a Trust Builder:</w:t>
      </w:r>
      <w:r w:rsidRPr="00410201">
        <w:rPr>
          <w:rFonts w:ascii="Century Gothic" w:hAnsi="Century Gothic"/>
          <w:sz w:val="20"/>
          <w:szCs w:val="20"/>
        </w:rPr>
        <w:t> Traditional open banking solutions fail to gain traction in Nigeria due to safety fears. By showing users that their financial statements are processed locally and never stored on a database, O-Sight establishes a high trust standard, encouraging wider adoption of personal finance tools.</w:t>
      </w:r>
    </w:p>
    <w:p w:rsidR="00410201" w:rsidRPr="00410201" w:rsidRDefault="00410201" w:rsidP="00410201">
      <w:pPr>
        <w:pStyle w:val="ListParagraph"/>
        <w:numPr>
          <w:ilvl w:val="1"/>
          <w:numId w:val="21"/>
        </w:numPr>
        <w:jc w:val="both"/>
        <w:rPr>
          <w:rFonts w:ascii="Century Gothic" w:hAnsi="Century Gothic"/>
          <w:sz w:val="20"/>
          <w:szCs w:val="20"/>
        </w:rPr>
      </w:pPr>
      <w:r w:rsidRPr="00410201">
        <w:rPr>
          <w:rFonts w:ascii="Century Gothic" w:hAnsi="Century Gothic"/>
          <w:bCs/>
          <w:sz w:val="20"/>
          <w:szCs w:val="20"/>
        </w:rPr>
        <w:t>Alignment with Digital Economy Goals:</w:t>
      </w:r>
      <w:r w:rsidRPr="00410201">
        <w:rPr>
          <w:rFonts w:ascii="Century Gothic" w:hAnsi="Century Gothic"/>
          <w:sz w:val="20"/>
          <w:szCs w:val="20"/>
        </w:rPr>
        <w:t> O-Sight aligns with Nigeria's National Digital Economy Policy and Strategy (NDEPS), specifically on driving digital literacy, financial inclusion, and data-backed economic empowerment for the youth.</w:t>
      </w:r>
    </w:p>
    <w:p w:rsidR="00213FA8" w:rsidRPr="006409CE" w:rsidRDefault="00213FA8" w:rsidP="006409CE">
      <w:pPr>
        <w:jc w:val="both"/>
        <w:rPr>
          <w:rFonts w:ascii="Century Gothic" w:hAnsi="Century Gothic"/>
          <w:sz w:val="20"/>
          <w:szCs w:val="20"/>
        </w:rPr>
      </w:pPr>
    </w:p>
    <w:sectPr w:rsidR="00213FA8" w:rsidRPr="00640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31D48"/>
    <w:multiLevelType w:val="multilevel"/>
    <w:tmpl w:val="F1CE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A301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B6B0160"/>
    <w:multiLevelType w:val="multilevel"/>
    <w:tmpl w:val="D9C8636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A4C6685"/>
    <w:multiLevelType w:val="multilevel"/>
    <w:tmpl w:val="74FA058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0838C9"/>
    <w:multiLevelType w:val="hybridMultilevel"/>
    <w:tmpl w:val="7F6009B2"/>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1A7B77"/>
    <w:multiLevelType w:val="multilevel"/>
    <w:tmpl w:val="D42C162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3EB56123"/>
    <w:multiLevelType w:val="hybridMultilevel"/>
    <w:tmpl w:val="967A57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1FB7D83"/>
    <w:multiLevelType w:val="multilevel"/>
    <w:tmpl w:val="D4009DCA"/>
    <w:lvl w:ilvl="0">
      <w:start w:val="1"/>
      <w:numFmt w:val="lowerLetter"/>
      <w:lvlText w:val="%1)"/>
      <w:lvlJc w:val="left"/>
      <w:pPr>
        <w:ind w:left="360" w:hanging="360"/>
      </w:pPr>
    </w:lvl>
    <w:lvl w:ilvl="1">
      <w:start w:val="1"/>
      <w:numFmt w:val="low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43EA3016"/>
    <w:multiLevelType w:val="hybridMultilevel"/>
    <w:tmpl w:val="F7E014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825C06"/>
    <w:multiLevelType w:val="multilevel"/>
    <w:tmpl w:val="4DEE0E30"/>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B34433A"/>
    <w:multiLevelType w:val="multilevel"/>
    <w:tmpl w:val="A466868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C9D6B6A"/>
    <w:multiLevelType w:val="hybridMultilevel"/>
    <w:tmpl w:val="E3AE3942"/>
    <w:lvl w:ilvl="0" w:tplc="40DA56A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312066"/>
    <w:multiLevelType w:val="multilevel"/>
    <w:tmpl w:val="4F025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16F2B88"/>
    <w:multiLevelType w:val="hybridMultilevel"/>
    <w:tmpl w:val="F586D3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AD0373"/>
    <w:multiLevelType w:val="multilevel"/>
    <w:tmpl w:val="0156B4AE"/>
    <w:lvl w:ilvl="0">
      <w:start w:val="1"/>
      <w:numFmt w:val="lowerLetter"/>
      <w:lvlText w:val="%1)"/>
      <w:lvlJc w:val="left"/>
      <w:pPr>
        <w:ind w:left="360" w:hanging="360"/>
      </w:pPr>
    </w:lvl>
    <w:lvl w:ilvl="1">
      <w:start w:val="1"/>
      <w:numFmt w:val="low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2980686"/>
    <w:multiLevelType w:val="hybridMultilevel"/>
    <w:tmpl w:val="0664764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1C69E3"/>
    <w:multiLevelType w:val="multilevel"/>
    <w:tmpl w:val="0BB211A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BFA7D39"/>
    <w:multiLevelType w:val="hybridMultilevel"/>
    <w:tmpl w:val="9AC28102"/>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C516FC2"/>
    <w:multiLevelType w:val="multilevel"/>
    <w:tmpl w:val="795AC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DAD2622"/>
    <w:multiLevelType w:val="hybridMultilevel"/>
    <w:tmpl w:val="932C6A68"/>
    <w:lvl w:ilvl="0" w:tplc="CF8E0F34">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BC25F6"/>
    <w:multiLevelType w:val="multilevel"/>
    <w:tmpl w:val="1CB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0"/>
  </w:num>
  <w:num w:numId="3">
    <w:abstractNumId w:val="9"/>
  </w:num>
  <w:num w:numId="4">
    <w:abstractNumId w:val="3"/>
  </w:num>
  <w:num w:numId="5">
    <w:abstractNumId w:val="20"/>
  </w:num>
  <w:num w:numId="6">
    <w:abstractNumId w:val="8"/>
  </w:num>
  <w:num w:numId="7">
    <w:abstractNumId w:val="19"/>
  </w:num>
  <w:num w:numId="8">
    <w:abstractNumId w:val="12"/>
  </w:num>
  <w:num w:numId="9">
    <w:abstractNumId w:val="15"/>
  </w:num>
  <w:num w:numId="10">
    <w:abstractNumId w:val="11"/>
  </w:num>
  <w:num w:numId="11">
    <w:abstractNumId w:val="16"/>
  </w:num>
  <w:num w:numId="12">
    <w:abstractNumId w:val="17"/>
  </w:num>
  <w:num w:numId="13">
    <w:abstractNumId w:val="2"/>
  </w:num>
  <w:num w:numId="14">
    <w:abstractNumId w:val="4"/>
  </w:num>
  <w:num w:numId="15">
    <w:abstractNumId w:val="18"/>
  </w:num>
  <w:num w:numId="16">
    <w:abstractNumId w:val="6"/>
  </w:num>
  <w:num w:numId="17">
    <w:abstractNumId w:val="13"/>
  </w:num>
  <w:num w:numId="18">
    <w:abstractNumId w:val="1"/>
  </w:num>
  <w:num w:numId="19">
    <w:abstractNumId w:val="5"/>
  </w:num>
  <w:num w:numId="20">
    <w:abstractNumId w:val="7"/>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94B"/>
    <w:rsid w:val="00213FA8"/>
    <w:rsid w:val="00410201"/>
    <w:rsid w:val="006409CE"/>
    <w:rsid w:val="00A96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0D711E-CF0A-4EA0-88F2-C3C90F558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0201"/>
    <w:rPr>
      <w:rFonts w:ascii="Times New Roman" w:hAnsi="Times New Roman" w:cs="Times New Roman"/>
      <w:sz w:val="24"/>
      <w:szCs w:val="24"/>
    </w:rPr>
  </w:style>
  <w:style w:type="paragraph" w:styleId="ListParagraph">
    <w:name w:val="List Paragraph"/>
    <w:basedOn w:val="Normal"/>
    <w:uiPriority w:val="34"/>
    <w:qFormat/>
    <w:rsid w:val="004102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845387">
      <w:bodyDiv w:val="1"/>
      <w:marLeft w:val="0"/>
      <w:marRight w:val="0"/>
      <w:marTop w:val="0"/>
      <w:marBottom w:val="0"/>
      <w:divBdr>
        <w:top w:val="none" w:sz="0" w:space="0" w:color="auto"/>
        <w:left w:val="none" w:sz="0" w:space="0" w:color="auto"/>
        <w:bottom w:val="none" w:sz="0" w:space="0" w:color="auto"/>
        <w:right w:val="none" w:sz="0" w:space="0" w:color="auto"/>
      </w:divBdr>
    </w:div>
    <w:div w:id="618799131">
      <w:bodyDiv w:val="1"/>
      <w:marLeft w:val="0"/>
      <w:marRight w:val="0"/>
      <w:marTop w:val="0"/>
      <w:marBottom w:val="0"/>
      <w:divBdr>
        <w:top w:val="none" w:sz="0" w:space="0" w:color="auto"/>
        <w:left w:val="none" w:sz="0" w:space="0" w:color="auto"/>
        <w:bottom w:val="none" w:sz="0" w:space="0" w:color="auto"/>
        <w:right w:val="none" w:sz="0" w:space="0" w:color="auto"/>
      </w:divBdr>
    </w:div>
    <w:div w:id="722749685">
      <w:bodyDiv w:val="1"/>
      <w:marLeft w:val="0"/>
      <w:marRight w:val="0"/>
      <w:marTop w:val="0"/>
      <w:marBottom w:val="0"/>
      <w:divBdr>
        <w:top w:val="none" w:sz="0" w:space="0" w:color="auto"/>
        <w:left w:val="none" w:sz="0" w:space="0" w:color="auto"/>
        <w:bottom w:val="none" w:sz="0" w:space="0" w:color="auto"/>
        <w:right w:val="none" w:sz="0" w:space="0" w:color="auto"/>
      </w:divBdr>
    </w:div>
    <w:div w:id="834229759">
      <w:bodyDiv w:val="1"/>
      <w:marLeft w:val="0"/>
      <w:marRight w:val="0"/>
      <w:marTop w:val="0"/>
      <w:marBottom w:val="0"/>
      <w:divBdr>
        <w:top w:val="none" w:sz="0" w:space="0" w:color="auto"/>
        <w:left w:val="none" w:sz="0" w:space="0" w:color="auto"/>
        <w:bottom w:val="none" w:sz="0" w:space="0" w:color="auto"/>
        <w:right w:val="none" w:sz="0" w:space="0" w:color="auto"/>
      </w:divBdr>
    </w:div>
    <w:div w:id="1181890271">
      <w:bodyDiv w:val="1"/>
      <w:marLeft w:val="0"/>
      <w:marRight w:val="0"/>
      <w:marTop w:val="0"/>
      <w:marBottom w:val="0"/>
      <w:divBdr>
        <w:top w:val="none" w:sz="0" w:space="0" w:color="auto"/>
        <w:left w:val="none" w:sz="0" w:space="0" w:color="auto"/>
        <w:bottom w:val="none" w:sz="0" w:space="0" w:color="auto"/>
        <w:right w:val="none" w:sz="0" w:space="0" w:color="auto"/>
      </w:divBdr>
      <w:divsChild>
        <w:div w:id="2032295895">
          <w:marLeft w:val="0"/>
          <w:marRight w:val="0"/>
          <w:marTop w:val="0"/>
          <w:marBottom w:val="0"/>
          <w:divBdr>
            <w:top w:val="single" w:sz="2" w:space="0" w:color="auto"/>
            <w:left w:val="single" w:sz="2" w:space="0" w:color="auto"/>
            <w:bottom w:val="single" w:sz="2" w:space="0" w:color="auto"/>
            <w:right w:val="single" w:sz="2" w:space="0" w:color="auto"/>
          </w:divBdr>
        </w:div>
        <w:div w:id="1675912432">
          <w:marLeft w:val="0"/>
          <w:marRight w:val="0"/>
          <w:marTop w:val="0"/>
          <w:marBottom w:val="0"/>
          <w:divBdr>
            <w:top w:val="single" w:sz="2" w:space="0" w:color="auto"/>
            <w:left w:val="single" w:sz="2" w:space="0" w:color="auto"/>
            <w:bottom w:val="single" w:sz="2" w:space="0" w:color="auto"/>
            <w:right w:val="single" w:sz="2" w:space="0" w:color="auto"/>
          </w:divBdr>
        </w:div>
        <w:div w:id="25373207">
          <w:marLeft w:val="0"/>
          <w:marRight w:val="0"/>
          <w:marTop w:val="0"/>
          <w:marBottom w:val="0"/>
          <w:divBdr>
            <w:top w:val="single" w:sz="2" w:space="0" w:color="auto"/>
            <w:left w:val="single" w:sz="2" w:space="0" w:color="auto"/>
            <w:bottom w:val="single" w:sz="2" w:space="0" w:color="auto"/>
            <w:right w:val="single" w:sz="2" w:space="0" w:color="auto"/>
          </w:divBdr>
        </w:div>
        <w:div w:id="1476022470">
          <w:marLeft w:val="0"/>
          <w:marRight w:val="0"/>
          <w:marTop w:val="0"/>
          <w:marBottom w:val="0"/>
          <w:divBdr>
            <w:top w:val="single" w:sz="2" w:space="0" w:color="auto"/>
            <w:left w:val="single" w:sz="2" w:space="0" w:color="auto"/>
            <w:bottom w:val="single" w:sz="2" w:space="0" w:color="auto"/>
            <w:right w:val="single" w:sz="2" w:space="0" w:color="auto"/>
          </w:divBdr>
        </w:div>
        <w:div w:id="1593589942">
          <w:marLeft w:val="0"/>
          <w:marRight w:val="0"/>
          <w:marTop w:val="0"/>
          <w:marBottom w:val="0"/>
          <w:divBdr>
            <w:top w:val="single" w:sz="2" w:space="0" w:color="auto"/>
            <w:left w:val="single" w:sz="2" w:space="0" w:color="auto"/>
            <w:bottom w:val="single" w:sz="2" w:space="0" w:color="auto"/>
            <w:right w:val="single" w:sz="2" w:space="0" w:color="auto"/>
          </w:divBdr>
        </w:div>
        <w:div w:id="375617750">
          <w:marLeft w:val="0"/>
          <w:marRight w:val="0"/>
          <w:marTop w:val="0"/>
          <w:marBottom w:val="0"/>
          <w:divBdr>
            <w:top w:val="single" w:sz="2" w:space="0" w:color="auto"/>
            <w:left w:val="single" w:sz="2" w:space="0" w:color="auto"/>
            <w:bottom w:val="single" w:sz="2" w:space="0" w:color="auto"/>
            <w:right w:val="single" w:sz="2" w:space="0" w:color="auto"/>
          </w:divBdr>
        </w:div>
      </w:divsChild>
    </w:div>
    <w:div w:id="1347515717">
      <w:bodyDiv w:val="1"/>
      <w:marLeft w:val="0"/>
      <w:marRight w:val="0"/>
      <w:marTop w:val="0"/>
      <w:marBottom w:val="0"/>
      <w:divBdr>
        <w:top w:val="none" w:sz="0" w:space="0" w:color="auto"/>
        <w:left w:val="none" w:sz="0" w:space="0" w:color="auto"/>
        <w:bottom w:val="none" w:sz="0" w:space="0" w:color="auto"/>
        <w:right w:val="none" w:sz="0" w:space="0" w:color="auto"/>
      </w:divBdr>
      <w:divsChild>
        <w:div w:id="82798828">
          <w:marLeft w:val="0"/>
          <w:marRight w:val="0"/>
          <w:marTop w:val="0"/>
          <w:marBottom w:val="0"/>
          <w:divBdr>
            <w:top w:val="single" w:sz="2" w:space="0" w:color="auto"/>
            <w:left w:val="single" w:sz="2" w:space="0" w:color="auto"/>
            <w:bottom w:val="single" w:sz="2" w:space="0" w:color="auto"/>
            <w:right w:val="single" w:sz="2" w:space="0" w:color="auto"/>
          </w:divBdr>
        </w:div>
        <w:div w:id="1448617298">
          <w:marLeft w:val="0"/>
          <w:marRight w:val="0"/>
          <w:marTop w:val="0"/>
          <w:marBottom w:val="0"/>
          <w:divBdr>
            <w:top w:val="single" w:sz="2" w:space="0" w:color="auto"/>
            <w:left w:val="single" w:sz="2" w:space="0" w:color="auto"/>
            <w:bottom w:val="single" w:sz="2" w:space="0" w:color="auto"/>
            <w:right w:val="single" w:sz="2" w:space="0" w:color="auto"/>
          </w:divBdr>
        </w:div>
        <w:div w:id="1244729431">
          <w:marLeft w:val="0"/>
          <w:marRight w:val="0"/>
          <w:marTop w:val="0"/>
          <w:marBottom w:val="0"/>
          <w:divBdr>
            <w:top w:val="single" w:sz="2" w:space="0" w:color="auto"/>
            <w:left w:val="single" w:sz="2" w:space="0" w:color="auto"/>
            <w:bottom w:val="single" w:sz="2" w:space="0" w:color="auto"/>
            <w:right w:val="single" w:sz="2" w:space="0" w:color="auto"/>
          </w:divBdr>
        </w:div>
        <w:div w:id="1783063361">
          <w:marLeft w:val="0"/>
          <w:marRight w:val="0"/>
          <w:marTop w:val="0"/>
          <w:marBottom w:val="0"/>
          <w:divBdr>
            <w:top w:val="single" w:sz="2" w:space="0" w:color="auto"/>
            <w:left w:val="single" w:sz="2" w:space="0" w:color="auto"/>
            <w:bottom w:val="single" w:sz="2" w:space="0" w:color="auto"/>
            <w:right w:val="single" w:sz="2" w:space="0" w:color="auto"/>
          </w:divBdr>
        </w:div>
        <w:div w:id="1760784665">
          <w:marLeft w:val="0"/>
          <w:marRight w:val="0"/>
          <w:marTop w:val="0"/>
          <w:marBottom w:val="0"/>
          <w:divBdr>
            <w:top w:val="single" w:sz="2" w:space="0" w:color="auto"/>
            <w:left w:val="single" w:sz="2" w:space="0" w:color="auto"/>
            <w:bottom w:val="single" w:sz="2" w:space="0" w:color="auto"/>
            <w:right w:val="single" w:sz="2" w:space="0" w:color="auto"/>
          </w:divBdr>
        </w:div>
        <w:div w:id="1737239864">
          <w:marLeft w:val="0"/>
          <w:marRight w:val="0"/>
          <w:marTop w:val="0"/>
          <w:marBottom w:val="0"/>
          <w:divBdr>
            <w:top w:val="single" w:sz="2" w:space="0" w:color="auto"/>
            <w:left w:val="single" w:sz="2" w:space="0" w:color="auto"/>
            <w:bottom w:val="single" w:sz="2" w:space="0" w:color="auto"/>
            <w:right w:val="single" w:sz="2" w:space="0" w:color="auto"/>
          </w:divBdr>
        </w:div>
      </w:divsChild>
    </w:div>
    <w:div w:id="1512454562">
      <w:bodyDiv w:val="1"/>
      <w:marLeft w:val="0"/>
      <w:marRight w:val="0"/>
      <w:marTop w:val="0"/>
      <w:marBottom w:val="0"/>
      <w:divBdr>
        <w:top w:val="none" w:sz="0" w:space="0" w:color="auto"/>
        <w:left w:val="none" w:sz="0" w:space="0" w:color="auto"/>
        <w:bottom w:val="none" w:sz="0" w:space="0" w:color="auto"/>
        <w:right w:val="none" w:sz="0" w:space="0" w:color="auto"/>
      </w:divBdr>
    </w:div>
    <w:div w:id="1594783627">
      <w:bodyDiv w:val="1"/>
      <w:marLeft w:val="0"/>
      <w:marRight w:val="0"/>
      <w:marTop w:val="0"/>
      <w:marBottom w:val="0"/>
      <w:divBdr>
        <w:top w:val="none" w:sz="0" w:space="0" w:color="auto"/>
        <w:left w:val="none" w:sz="0" w:space="0" w:color="auto"/>
        <w:bottom w:val="none" w:sz="0" w:space="0" w:color="auto"/>
        <w:right w:val="none" w:sz="0" w:space="0" w:color="auto"/>
      </w:divBdr>
    </w:div>
    <w:div w:id="1661960106">
      <w:bodyDiv w:val="1"/>
      <w:marLeft w:val="0"/>
      <w:marRight w:val="0"/>
      <w:marTop w:val="0"/>
      <w:marBottom w:val="0"/>
      <w:divBdr>
        <w:top w:val="none" w:sz="0" w:space="0" w:color="auto"/>
        <w:left w:val="none" w:sz="0" w:space="0" w:color="auto"/>
        <w:bottom w:val="none" w:sz="0" w:space="0" w:color="auto"/>
        <w:right w:val="none" w:sz="0" w:space="0" w:color="auto"/>
      </w:divBdr>
    </w:div>
    <w:div w:id="1670868476">
      <w:bodyDiv w:val="1"/>
      <w:marLeft w:val="0"/>
      <w:marRight w:val="0"/>
      <w:marTop w:val="0"/>
      <w:marBottom w:val="0"/>
      <w:divBdr>
        <w:top w:val="none" w:sz="0" w:space="0" w:color="auto"/>
        <w:left w:val="none" w:sz="0" w:space="0" w:color="auto"/>
        <w:bottom w:val="none" w:sz="0" w:space="0" w:color="auto"/>
        <w:right w:val="none" w:sz="0" w:space="0" w:color="auto"/>
      </w:divBdr>
    </w:div>
    <w:div w:id="191962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1139</Words>
  <Characters>6495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2026-06-14T22:24:00Z</cp:lastPrinted>
  <dcterms:created xsi:type="dcterms:W3CDTF">2026-06-14T20:45:00Z</dcterms:created>
  <dcterms:modified xsi:type="dcterms:W3CDTF">2026-06-14T22:42:00Z</dcterms:modified>
</cp:coreProperties>
</file>