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0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 Statistics for the Positive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Wording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between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within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&lt;10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consciously noticed and paid attention to my feelings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thought about how happy/vigorous/satisfied/ cheerful/energetic/calm etc. I feel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patted myself on the 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expressed my positive feelings, for example by laughing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shared or celebrated my feelings with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had negative thoughts about the positive feelings and the situation she caused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talked with others in a negative way about my positive feelings, for example reminding each other that these positive feelings won't last long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regulation, M = Mean, SD = Standard Deviation, Min = Minimum, Max = Maximum, ICC = Intra-Class Correlation.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Mean, SD between, minimum and maximum represent the descriptives of the person-aggregated scores for each ER strategy. The within-person SD for each ER strategy represents the within-strategy variability. Paired-samplt t-tests indicated that mean levels of self-focus and capitalization did not significantly differ from each other (t = 1.30, p = .19), all other mean levels were significantly different (t’s ranging between 3.01 and 20.17, all ps &lt; .003)).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Note that in the pre-registration, we accidentally said we would conduct one-sample t-tests for comparing the different ER strategies, although this should have been paired sample t-tests.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2023-12-15T17:50:50Z</dcterms:modified>
  <cp:category/>
</cp:coreProperties>
</file>