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E et al., 2024; Wu B et al., 2025; Tam C et al., 2022; Wong V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C.I et al., 2001; Goodman G.J et al., 2006; Clark A.K et al., 2018).</w:t>
      </w:r>
    </w:p>
    <w:p w:rsidR="00076C3E" w:rsidRDefault="00040C75">
      <w:pPr>
        <w:spacing w:after="160"/>
        <w:jc w:val="center"/>
      </w:pPr>
      <w:r>
        <w:t xml:space="preserve">Ce trebuie ameliorat. 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D et al., 2010; Chung H.J et al., 2021; Attia E et al., 2024).</w:t>
      </w:r>
    </w:p>
    <w:p w:rsidR="00076C3E" w:rsidRDefault="00040C75">
      <w:pPr>
        <w:spacing w:after="160"/>
        <w:jc w:val="center"/>
      </w:pPr>
      <w:r>
        <w:t xml:space="preserve">Terapii combinate indicate. 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D et al., 2010; Chung H.J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B et al., 2025; Tam C et al., 2022; Long T et al., 2020; Ptaszek B et al., 2025).</w:t>
      </w:r>
    </w:p>
    <w:p w:rsidR="00076C3E" w:rsidRDefault="00040C75">
      <w:pPr>
        <w:spacing w:after="160"/>
        <w:jc w:val="center"/>
      </w:pPr>
      <w:r>
        <w:t xml:space="preserve">Terapii nerecomandate sau contraindicate. Microneedlingul izolat, laserele non-ablative fracționate ca monoterapie și peelingurile chimice superficiale aplicate global produc beneficii limitate pe cicatricile ice pick deoarece nu pot atinge baza profundă a defectului (Mujahid N et al., 2020; Shen Y.C et al., 2022). Fillerele cu acid hialuronic injectate sub o cicatrice ice pick nu obțin un efect durabil pentru că lățimea îngustă a defectului nu permite distribuirea adecvată a produsului (Siperstein R et al., 2022; Albargawi S et al., 2025). Subcizia este nepotrivită ca tehnică principală pentru ice pick deoarece nu există bride fibroase de eliberat — morfologia ice pick este de defect epitelial profund, nu de aderență mecanică (Vempati A et al., 2023; Ahramiyanpour N et al., 2023). Laserul CO2 fracționat în monoterapie produce ameliorări modeste comparativ cu protocoalele combinate care includ TCA CROSS, deoarece adâncimea coloanelor microthermal nu atinge baza cicatricilor ice pick adânci (Liu F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C.I et al., 2001; Lee S.R et al., 2023). Pe lângă dimensiunile lor caracteristice, marginile abrupte fac boxcar-ul recognoscibil în lumină oblică și diferentiabil de cicatricea rolling, care are tranziții graduale.</w:t>
      </w:r>
    </w:p>
    <w:p w:rsidR="00076C3E" w:rsidRDefault="00040C75">
      <w:pPr>
        <w:spacing w:after="160"/>
        <w:jc w:val="center"/>
      </w:pPr>
      <w:r>
        <w:t xml:space="preserve">Ce trebuie ameliorat. 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S.R et al., 2023; Attia E et al., 2024).</w:t>
      </w:r>
    </w:p>
    <w:p w:rsidR="00076C3E" w:rsidRDefault="00040C75">
      <w:pPr>
        <w:spacing w:after="160"/>
        <w:jc w:val="center"/>
      </w:pPr>
      <w:r>
        <w:t xml:space="preserve">Terapii combinate indicate. Laserul CO2 fracționat și laserul Er:YAG fracționat reprezintă tratamentele cu cele mai solide dovezi pentru boxcar, meta-analiza Liu F et al. (2024) confirmând eficacitate comparabilă a celor două sisteme, cu recuperare ușor mai bună pentru Er:YAG. Laserul fracționat non-ablativ 1550 nm este o alternativă cu profil de siguranță pigmentară superior, în special la fototipuri III-V; studiul Lee S.R et al. (2023) documentează că tipologia boxcar răspunde mai bine decât ice pick-ul la acest sistem. Combinațiile cu cele mai bune rezultate includ laserul fracționat asociat cu filler cu acid hialuronic injectat în fundul cicatricii pentru boxcar superficial (Siperstein R et al., 2022; Albargawi S et al., 2025; Zhang J et al., 2023), laser fracționat alternat cu microneedling și PRP în protocoale repetate (Mandavia R et al., 2022; Long T et al., 2020), iar pentru boxcar adânc cu bază relativ îngustă, TCA CROSS focal urmat de resurfacing global cu laser. Radiofrecvența fracționată cu microneedling este o opțiune validă, în special la fototipuri închise, susținută de revizia sistematică Niaz G et al. (2025) și asocierea documentată Mandavia R et al. (2022).</w:t>
      </w:r>
    </w:p>
    <w:p w:rsidR="00076C3E" w:rsidRDefault="00040C75">
      <w:pPr>
        <w:spacing w:after="160"/>
        <w:jc w:val="center"/>
      </w:pPr>
      <w:r>
        <w:t xml:space="preserve">Terapii nerecomandate sau contraindicate. Subcizia ca monoterapie pe boxcar nu produce ameliorare semnificativă deoarece lipsa bridelor fibroase subdermice nu oferă substrat pentru tehnica de eliberare mecanică (Vempati A et al., 2023; Ahramiyanpour N et al., 2023). Microneedlingul superficial sub 1,5 mm și peelingurile chimice superficiale aplicate izolat produc beneficii modeste pe boxcar adânci, fiind insuficient de profunde pentru a remodela fundul cicatricii (Mujahid N et al., 2020; Shen Y.C et al., 2022; Woźna J et al., 2025). Aplicarea TCA CROSS la suprafața unui boxcar larg este contraindicată tehnic — metoda este focală, concepută pentru defecte înguste, iar extinderea ei pe boxcar produce lărgire iatrogenă a cicatricii (Bhardwaj D et al., 2010; Chung H.J et al., 2021). Fillerele cu acid hialuronic injectate în boxcar adânc fără pretratament de remodelare epitelială pot produce un efect cosmetic temporar, dar nu modifică structura cicatricii pe termen lung (Siperstein R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C.I et al., 2001; Goodman G.J et al., 2006; Wong V et al., 2023).</w:t>
      </w:r>
    </w:p>
    <w:p w:rsidR="00076C3E" w:rsidRDefault="00040C75">
      <w:pPr>
        <w:spacing w:after="160"/>
        <w:jc w:val="center"/>
      </w:pPr>
      <w:r>
        <w:t xml:space="preserve">Ce trebuie ameliorat. 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A et al., 2023; Ahramiyanpour N et al., 2023; Tam C et al., 2022).</w:t>
      </w:r>
    </w:p>
    <w:p w:rsidR="00076C3E" w:rsidRDefault="00040C75">
      <w:pPr>
        <w:spacing w:after="160"/>
        <w:jc w:val="center"/>
      </w:pPr>
      <w:r>
        <w:t xml:space="preserve">Terapii combinate indicate. Subcizia constituie pilonul terapeutic pentru cicatricile rolling, cu evidență clinică solidă din revizii sistematice multiple (Ahramiyanpour N et al., 2023; Vempati A et al., 2023). Eficacitatea crește semnificativ când subcizia este combinată cu un agent care ocupă spațiul creat și previne readerența: subcizia + PRP cu factorii săi de creștere autologi (Long T et al., 2020), subcizia + filler cu acid hialuronic pentru un efect volumetric imediat și o stimulare colagenică progresivă (Siperstein R et al., 2022; Tam C et al., 2022; Albargawi S et al., 2025), subcizia + biostimulator de tip CaHA sau PLLA pentru rolling extins cu deficit volumetric difuz (Antonino P et al., 2021; Zhou C et al., 2025). După eliberarea bridelor și ocuparea spațiului, resurfacingul cu laser fracționat sau cu microneedling în asociere cu PRP poate ameliora textura reziduală (Wu B et al., 2025; Mandavia R et al., 2022). Polinucleotidele aplicate post-microneedling adaugă o componentă de stimulare biologică deosebit utilă pentru cicatrici rolling fine și extinse (Araco A et al., 2021).</w:t>
      </w:r>
    </w:p>
    <w:p w:rsidR="00076C3E" w:rsidRDefault="00040C75">
      <w:pPr>
        <w:spacing w:after="160"/>
        <w:jc w:val="center"/>
      </w:pPr>
      <w:r>
        <w:t xml:space="preserve">Terapii nerecomandate sau contraindicate. Laserul CO2 fracționat în monoterapie pe cicatrici rolling extinse produce ameliorare insuficientă deoarece nu modifică bridele fibroase profunde — chiar dacă remodelează dermul, tracțiunea mecanică persistă (Ptaszek B et al., 2025; Ziebart R.L et al., 2024). TCA CROSS este nepotrivit pentru rolling deoarece lățimea defectului depășește scopul tehnicii focale concepute pentru ice pick (Chung H.J et al., 2021). Microneedlingul superficial fără subcizie prealabilă are beneficii doar pe componenta texturală, fără să adreseze cauza primară a depresiunii (Mujahid N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R et al., 2022; Tam C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M.S et al., 2024; Almadani Y.H et al., 2021; Zhuang Z et al., 2021).</w:t>
      </w:r>
    </w:p>
    <w:p w:rsidR="00076C3E" w:rsidRDefault="00040C75">
      <w:pPr>
        <w:spacing w:after="160"/>
        <w:jc w:val="center"/>
      </w:pPr>
      <w:r>
        <w:t xml:space="preserve">Ce trebuie ameliorat. 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Z et al., 2021).</w:t>
      </w:r>
    </w:p>
    <w:p w:rsidR="00076C3E" w:rsidRDefault="00040C75">
      <w:pPr>
        <w:spacing w:after="160"/>
        <w:jc w:val="center"/>
      </w:pPr>
      <w:r>
        <w:t xml:space="preserve">Terapii combinate indicate. Injecțiile intralezionale cu triamcinolon acetonid (10-40 mg/mL) reprezintă standardul terapeutic, cu eficacitate documentată de meta-analiza Zhuang Z et al. (2021); rezultatul este aplatizarea graduală a cicatricii pe parcursul a 3-6 ședințe la interval de 4-6 săptămâni. Asocierea cu 5-fluorouracil intralezional reduce dozele de corticosteroid necesare și diminuează riscul de atrofie sau telangiectazii induse de steroizi (Zhuang Z et al., 2021; Bronte J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R et al., 2017; Zhou Q et al., 2024). Pentru cicatricile post-acneice hipertrofice de pe mandibulă sau decoltaj, combinația triamcinolon + 5-FU + PDL + silicon constituie protocolul cu cele mai bune rezultate publicate (Bronte J et al., 2024).</w:t>
      </w:r>
    </w:p>
    <w:p w:rsidR="00076C3E" w:rsidRDefault="00040C75">
      <w:pPr>
        <w:spacing w:after="160"/>
        <w:jc w:val="center"/>
      </w:pPr>
      <w:r>
        <w:t xml:space="preserve">Terapii nerecomandate sau contraindicate. Laserele ablative (CO2, Er:YAG) ca monoterapie pentru cicatrici hipertrofice sunt nerecomandate, deoarece trauma termică suplimentară poate reactiva fibroza și agrava leziunea (Liu F et al., 2024; Ptaszek B et al.,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J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J et al., 2024; Zhuang Z et al., 2021; Soares I et al., 2024).</w:t>
      </w:r>
    </w:p>
    <w:p w:rsidR="00076C3E" w:rsidRDefault="00040C75">
      <w:pPr>
        <w:spacing w:after="160"/>
        <w:jc w:val="center"/>
      </w:pPr>
      <w:r>
        <w:t xml:space="preserve">Ce trebuie ameliorat. 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J et al., 2024; Zhuang Z et al., 2021).</w:t>
      </w:r>
    </w:p>
    <w:p w:rsidR="00076C3E" w:rsidRDefault="00040C75">
      <w:pPr>
        <w:spacing w:after="160"/>
        <w:jc w:val="center"/>
      </w:pPr>
      <w:r>
        <w:t xml:space="preserve">Terapii combinate indicate. Injecțiile intralezionale cu triamcinolon acetonid 40 mg/mL combinate cu 5-fluorouracil reprezintă tratamentul de primă linie, cu rate de răspuns superioare monoterapiei steroidiene (Zhuang Z et al., 2021; Bronte J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J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t xml:space="preserve">Terapii nerecomandate sau contraindicate. Orice procedură care creează un nou traumatism cutanat fără protocol adjuvant strict este contraindicată în cicatricile keloide active sau la pacienții cu istoric familial pozitiv (Bronte J et al., 2024; Soares I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V.D et al., 2022; Soares I et al., 2024).</w:t>
      </w:r>
    </w:p>
    <w:p w:rsidR="00076C3E" w:rsidRDefault="00040C75">
      <w:pPr>
        <w:spacing w:after="160"/>
        <w:jc w:val="center"/>
      </w:pPr>
      <w:r>
        <w:t xml:space="preserve">Ce trebuie ameliorat. 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V.D et al., 2022).</w:t>
      </w:r>
    </w:p>
    <w:p w:rsidR="00076C3E" w:rsidRDefault="00040C75">
      <w:pPr>
        <w:spacing w:after="160"/>
        <w:jc w:val="center"/>
      </w:pPr>
      <w:r>
        <w:t xml:space="preserve">Terapii combinate indicate. Pentru PIH, combinația de retinoid topic (adapalen sau tretinoin) cu hidrochinonă 2-4% și niacinamidă reprezintă protocolul standard, cu rezultate vizibile în 8-12 săptămâni (Callender V.D et al., 2022; Reynolds R.V et al., 2024; Dréno B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J et al., 2025; Soares I et al., 2024). Laserele picosecund (1064/532 nm) sunt utile pentru PIH rezistentă la tratamentul topic prelungit (Shi W.T et al., 2021; Tao R et al., 2023). Pentru PIE, laserul cu colorant pulsat (PDL 595 nm) reprezintă tratamentul de elecție, cu ameliorare semnificativă după 2-3 ședințe (Lekwuttikarn R et al., 2017; Zhou Q et al., 2024). În toate cazurile, fotoprotecția cu SPF 50+ este parte integrantă a tratamentului, nu un adjuvant opțional.</w:t>
      </w:r>
    </w:p>
    <w:p w:rsidR="00076C3E" w:rsidRDefault="00040C75">
      <w:pPr>
        <w:spacing w:after="160"/>
        <w:jc w:val="center"/>
      </w:pPr>
      <w:r>
        <w:t xml:space="preserve">Terapii nerecomandate sau contraindicate. 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I et al., 2024). Microneedlingul cu profunzime mare fără pretratament anti-PIH poate similar exacerba pigmentarea la fototipuri închise (Dogra S et al., 2014). Pentru PIE, laserele fracționate care lucrează pe apa celulară (CO2, Er:glass) sunt suboptimale comparativ cu PDL deoarece nu țintesc selectiv hemoglobina, mecanismul biologic responsabil de roșeața persistentă (Ke R et al., 2025; Ziebart R.L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Tip cicatrice</w:t>
            </w:r>
          </w:p>
        </w:tc>
        <w:tc>
          <w:tcPr>
            <w:tcW w:type="dxa" w:w="2256"/>
          </w:tcPr>
          <w:p>
            <w:r/>
            <w:r>
              <w:rPr>
                <w:b/>
                <w:sz w:val="20"/>
              </w:rPr>
              <w:t>Recunoaștere și mecanism patologic</w:t>
            </w:r>
          </w:p>
        </w:tc>
        <w:tc>
          <w:tcPr>
            <w:tcW w:type="dxa" w:w="2256"/>
          </w:tcPr>
          <w:p>
            <w:r/>
            <w:r>
              <w:rPr>
                <w:b/>
                <w:sz w:val="20"/>
              </w:rPr>
              <w:t>Terapii indicate și combinate optime</w:t>
            </w:r>
          </w:p>
        </w:tc>
        <w:tc>
          <w:tcPr>
            <w:tcW w:type="dxa" w:w="2256"/>
          </w:tcPr>
          <w:p>
            <w:r/>
            <w:r>
              <w:rPr>
                <w:b/>
                <w:sz w:val="20"/>
              </w:rPr>
              <w:t>Terapii NU indicate sau contraindicate</w:t>
            </w:r>
          </w:p>
        </w:tc>
      </w:tr>
      <w:tr>
        <w:tc>
          <w:tcPr>
            <w:tcW w:type="dxa" w:w="2256"/>
          </w:tcPr>
          <w:p>
            <w:r/>
            <w:r>
              <w:rPr>
                <w:sz w:val="18"/>
              </w:rPr>
              <w:t>Ice pick</w:t>
            </w:r>
          </w:p>
        </w:tc>
        <w:tc>
          <w:tcPr>
            <w:tcW w:type="dxa" w:w="2256"/>
          </w:tcPr>
          <w:p>
            <w:r/>
            <w:r>
              <w:rPr>
                <w:sz w:val="18"/>
              </w:rPr>
              <w:t>Lățime sub 2 mm, formă de V, profunzime mare; pereți epiteliali rigizi; defect dermic îngust</w:t>
            </w:r>
          </w:p>
        </w:tc>
        <w:tc>
          <w:tcPr>
            <w:tcW w:type="dxa" w:w="2256"/>
          </w:tcPr>
          <w:p>
            <w:r/>
            <w:r>
              <w:rPr>
                <w:sz w:val="18"/>
              </w:rPr>
              <w:t>TCA CROSS 70-100% (focal) ± microneedling sau laser fracționat pentru remodelare peri-cicatricială; PRP adjuvant; punch excision pentru leziuni izolate adânci</w:t>
            </w:r>
          </w:p>
        </w:tc>
        <w:tc>
          <w:tcPr>
            <w:tcW w:type="dxa" w:w="2256"/>
          </w:tcPr>
          <w:p>
            <w:r/>
            <w:r>
              <w:rPr>
                <w:sz w:val="18"/>
              </w:rPr>
              <w:t>Microneedling izolat; filler HA (defect prea îngust); subcizie; laser fracționat monoterapie; peelinguri superficiale</w:t>
            </w:r>
          </w:p>
        </w:tc>
      </w:tr>
      <w:tr>
        <w:tc>
          <w:tcPr>
            <w:tcW w:type="dxa" w:w="2256"/>
          </w:tcPr>
          <w:p>
            <w:r/>
            <w:r>
              <w:rPr>
                <w:sz w:val="18"/>
              </w:rPr>
              <w:t>Boxcar superficial (&lt;0,5 mm)</w:t>
            </w:r>
          </w:p>
        </w:tc>
        <w:tc>
          <w:tcPr>
            <w:tcW w:type="dxa" w:w="2256"/>
          </w:tcPr>
          <w:p>
            <w:r/>
            <w:r>
              <w:rPr>
                <w:sz w:val="18"/>
              </w:rPr>
              <w:t>Rotund/oval, margini verticale, fund plat; tranziție bruscă piele-defect</w:t>
            </w:r>
          </w:p>
        </w:tc>
        <w:tc>
          <w:tcPr>
            <w:tcW w:type="dxa" w:w="2256"/>
          </w:tcPr>
          <w:p>
            <w:r/>
            <w:r>
              <w:rPr>
                <w:sz w:val="18"/>
              </w:rPr>
              <w:t>Laser fracționat (CO2, Er:YAG, sau 1550 nm non-ablativ); microneedling 1,5-2 mm + PRP; combinație laser + filler HA în fundul cicatricii</w:t>
            </w:r>
          </w:p>
        </w:tc>
        <w:tc>
          <w:tcPr>
            <w:tcW w:type="dxa" w:w="2256"/>
          </w:tcPr>
          <w:p>
            <w:r/>
            <w:r>
              <w:rPr>
                <w:sz w:val="18"/>
              </w:rPr>
              <w:t>Subcizie (lipsa bridelor); TCA CROSS aplicat global; peelinguri superficiale izolate</w:t>
            </w:r>
          </w:p>
        </w:tc>
      </w:tr>
      <w:tr>
        <w:tc>
          <w:tcPr>
            <w:tcW w:type="dxa" w:w="2256"/>
          </w:tcPr>
          <w:p>
            <w:r/>
            <w:r>
              <w:rPr>
                <w:sz w:val="18"/>
              </w:rPr>
              <w:t>Boxcar adânc (&gt;0,5 mm)</w:t>
            </w:r>
          </w:p>
        </w:tc>
        <w:tc>
          <w:tcPr>
            <w:tcW w:type="dxa" w:w="2256"/>
          </w:tcPr>
          <w:p>
            <w:r/>
            <w:r>
              <w:rPr>
                <w:sz w:val="18"/>
              </w:rPr>
              <w:t>Aceleași margini verticale, dar profunzime suficientă pentru a beneficia de tehnici focale</w:t>
            </w:r>
          </w:p>
        </w:tc>
        <w:tc>
          <w:tcPr>
            <w:tcW w:type="dxa" w:w="2256"/>
          </w:tcPr>
          <w:p>
            <w:r/>
            <w:r>
              <w:rPr>
                <w:sz w:val="18"/>
              </w:rPr>
              <w:t>Laser CO2/Er:YAG fracționat agresiv; TCA CROSS focal aplicat pe bază + resurfacing global ulterior; RF fracționată + microneedling + laser în protocoale combinate</w:t>
            </w:r>
          </w:p>
        </w:tc>
        <w:tc>
          <w:tcPr>
            <w:tcW w:type="dxa" w:w="2256"/>
          </w:tcPr>
          <w:p>
            <w:r/>
            <w:r>
              <w:rPr>
                <w:sz w:val="18"/>
              </w:rPr>
              <w:t>Microneedling superficial izolat; filler HA fără pretratament resurfacing; TCA CROSS aplicat extins (risc de lărgire iatrogenă)</w:t>
            </w:r>
          </w:p>
        </w:tc>
      </w:tr>
      <w:tr>
        <w:tc>
          <w:tcPr>
            <w:tcW w:type="dxa" w:w="2256"/>
          </w:tcPr>
          <w:p>
            <w:r/>
            <w:r>
              <w:rPr>
                <w:sz w:val="18"/>
              </w:rPr>
              <w:t>Rolling</w:t>
            </w:r>
          </w:p>
        </w:tc>
        <w:tc>
          <w:tcPr>
            <w:tcW w:type="dxa" w:w="2256"/>
          </w:tcPr>
          <w:p>
            <w:r/>
            <w:r>
              <w:rPr>
                <w:sz w:val="18"/>
              </w:rPr>
              <w:t>Aspect ondulat, distensibil la întindere; bride fibroase subdermice care tractează dermul</w:t>
            </w:r>
          </w:p>
        </w:tc>
        <w:tc>
          <w:tcPr>
            <w:tcW w:type="dxa" w:w="2256"/>
          </w:tcPr>
          <w:p>
            <w:r/>
            <w:r>
              <w:rPr>
                <w:sz w:val="18"/>
              </w:rPr>
              <w:t>Subcizia ca pilon + agent de ocupare a spațiului: PRP, filler HA sau biostimulator (CaHA, PLLA); resurfacing cu laser fracționat sau microneedling după eliberare; polinucleotide adjuvante</w:t>
            </w:r>
          </w:p>
        </w:tc>
        <w:tc>
          <w:tcPr>
            <w:tcW w:type="dxa" w:w="2256"/>
          </w:tcPr>
          <w:p>
            <w:r/>
            <w:r>
              <w:rPr>
                <w:sz w:val="18"/>
              </w:rPr>
              <w:t>Laser CO2 monoterapie (nu adresează bridele); TCA CROSS (defect prea larg); microneedling superficial fără subcizie; filler izolat sub bride active</w:t>
            </w:r>
          </w:p>
        </w:tc>
      </w:tr>
      <w:tr>
        <w:tc>
          <w:tcPr>
            <w:tcW w:type="dxa" w:w="2256"/>
          </w:tcPr>
          <w:p>
            <w:r/>
            <w:r>
              <w:rPr>
                <w:sz w:val="18"/>
              </w:rPr>
              <w:t>Hipertrofice</w:t>
            </w:r>
          </w:p>
        </w:tc>
        <w:tc>
          <w:tcPr>
            <w:tcW w:type="dxa" w:w="2256"/>
          </w:tcPr>
          <w:p>
            <w:r/>
            <w:r>
              <w:rPr>
                <w:sz w:val="18"/>
              </w:rPr>
              <w:t>Elevate, în interiorul perimetrului inițial; exces de colagen tip III; activitate fibroblastică persistentă</w:t>
            </w:r>
          </w:p>
        </w:tc>
        <w:tc>
          <w:tcPr>
            <w:tcW w:type="dxa" w:w="2256"/>
          </w:tcPr>
          <w:p>
            <w:r/>
            <w:r>
              <w:rPr>
                <w:sz w:val="18"/>
              </w:rPr>
              <w:t>Triamcinolon intralezional (10-40 mg/mL) ± 5-FU; silicon topic ca adjuvant; PDL 595 nm pentru componenta vasculară; combinație multimodală pentru cicatrici extinse</w:t>
            </w:r>
          </w:p>
        </w:tc>
        <w:tc>
          <w:tcPr>
            <w:tcW w:type="dxa" w:w="2256"/>
          </w:tcPr>
          <w:p>
            <w:r/>
            <w:r>
              <w:rPr>
                <w:sz w:val="18"/>
              </w:rPr>
              <w:t>Laser ablativ monoterapie (poate reactiva fibroza); dermabrazie; microneedling profund; TCA CROSS; fillere; biostimulatoare; excizia fără protocol adjuvant</w:t>
            </w:r>
          </w:p>
        </w:tc>
      </w:tr>
      <w:tr>
        <w:tc>
          <w:tcPr>
            <w:tcW w:type="dxa" w:w="2256"/>
          </w:tcPr>
          <w:p>
            <w:r/>
            <w:r>
              <w:rPr>
                <w:sz w:val="18"/>
              </w:rPr>
              <w:t>Keloide</w:t>
            </w:r>
          </w:p>
        </w:tc>
        <w:tc>
          <w:tcPr>
            <w:tcW w:type="dxa" w:w="2256"/>
          </w:tcPr>
          <w:p>
            <w:r/>
            <w:r>
              <w:rPr>
                <w:sz w:val="18"/>
              </w:rPr>
              <w:t>Elevate, depășesc perimetrul inițial; fibrogeneză anormală auto-perpetuantă; predispoziție genetică</w:t>
            </w:r>
          </w:p>
        </w:tc>
        <w:tc>
          <w:tcPr>
            <w:tcW w:type="dxa" w:w="2256"/>
          </w:tcPr>
          <w:p>
            <w:r/>
            <w:r>
              <w:rPr>
                <w:sz w:val="18"/>
              </w:rPr>
              <w:t>Triamcinolon 40 mg/mL + 5-FU; crioterapie intralezională; compresoterapie continuă; silicon; excizie chirurgicală DOAR cu protocol adjuvant strict (radioterapie post-op sau steroid intralezional repetat)</w:t>
            </w:r>
          </w:p>
        </w:tc>
        <w:tc>
          <w:tcPr>
            <w:tcW w:type="dxa" w:w="2256"/>
          </w:tcPr>
          <w:p>
            <w:r/>
            <w:r>
              <w:rPr>
                <w:sz w:val="18"/>
              </w:rPr>
              <w:t>Orice procedură cutanată fără adjuvant strict — laser, microneedling, subcizie, TCA CROSS, fillere; excizia simplă (recurență aproape 100%); proceduri elective la istorici familiali fără test prealabil</w:t>
            </w:r>
          </w:p>
        </w:tc>
      </w:tr>
      <w:tr>
        <w:tc>
          <w:tcPr>
            <w:tcW w:type="dxa" w:w="2256"/>
          </w:tcPr>
          <w:p>
            <w:r/>
            <w:r>
              <w:rPr>
                <w:sz w:val="18"/>
              </w:rPr>
              <w:t>PIH (hiperpigmentare postinflamatorie)</w:t>
            </w:r>
          </w:p>
        </w:tc>
        <w:tc>
          <w:tcPr>
            <w:tcW w:type="dxa" w:w="2256"/>
          </w:tcPr>
          <w:p>
            <w:r/>
            <w:r>
              <w:rPr>
                <w:sz w:val="18"/>
              </w:rPr>
              <w:t>Pete brune-maro; pigmentare epidermică sau dermică reziduală; predominant la fototipuri III-VI</w:t>
            </w:r>
          </w:p>
        </w:tc>
        <w:tc>
          <w:tcPr>
            <w:tcW w:type="dxa" w:w="2256"/>
          </w:tcPr>
          <w:p>
            <w:r/>
            <w:r>
              <w:rPr>
                <w:sz w:val="18"/>
              </w:rPr>
              <w:t>Retinoid topic + hidrochinonă 2-4% + niacinamidă; acid tranexamic 5% topic; acid azelaic; peelinguri superficiale cu prudență; lasere picosecund pentru cazuri rezistente; SPF 50+ obligatoriu</w:t>
            </w:r>
          </w:p>
        </w:tc>
        <w:tc>
          <w:tcPr>
            <w:tcW w:type="dxa" w:w="2256"/>
          </w:tcPr>
          <w:p>
            <w:r/>
            <w:r>
              <w:rPr>
                <w:sz w:val="18"/>
              </w:rPr>
              <w:t>CO2 fracționat agresiv la FT ≥IV (riscă să accentueze PIH); microneedling profund fără pretratament anti-PIH; fillere/PRP/biostimulatoare (mecanism irelevant)</w:t>
            </w:r>
          </w:p>
        </w:tc>
      </w:tr>
      <w:tr>
        <w:tc>
          <w:tcPr>
            <w:tcW w:type="dxa" w:w="2256"/>
          </w:tcPr>
          <w:p>
            <w:r/>
            <w:r>
              <w:rPr>
                <w:sz w:val="18"/>
              </w:rPr>
              <w:t>PIE (eritem rezidual)</w:t>
            </w:r>
          </w:p>
        </w:tc>
        <w:tc>
          <w:tcPr>
            <w:tcW w:type="dxa" w:w="2256"/>
          </w:tcPr>
          <w:p>
            <w:r/>
            <w:r>
              <w:rPr>
                <w:sz w:val="18"/>
              </w:rPr>
              <w:t>Pete roz-roșii persistente; vascularizație reziduală a țesutului de granulație; predominant la fototipuri I-III</w:t>
            </w:r>
          </w:p>
        </w:tc>
        <w:tc>
          <w:tcPr>
            <w:tcW w:type="dxa" w:w="2256"/>
          </w:tcPr>
          <w:p>
            <w:r/>
            <w:r>
              <w:rPr>
                <w:sz w:val="18"/>
              </w:rPr>
              <w:t>PDL 595 nm ca tratament de elecție; timp și fotoprotecție SPF 50+ pentru resoluție spontană; IPL ca alternativă</w:t>
            </w:r>
          </w:p>
        </w:tc>
        <w:tc>
          <w:tcPr>
            <w:tcW w:type="dxa" w:w="2256"/>
          </w:tcPr>
          <w:p>
            <w:r/>
            <w:r>
              <w:rPr>
                <w:sz w:val="18"/>
              </w:rPr>
              <w:t>Lasere fracționate non-vasculare (suboptimale); fillere/PRP/biostimulatoare; abraziune mecanică</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B et al., 2025; Tam C et al., 2022; Attia E et al.,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