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Procedura</w:t>
            </w:r>
          </w:p>
        </w:tc>
        <w:tc>
          <w:tcPr>
            <w:tcW w:type="dxa" w:w="1504"/>
          </w:tcPr>
          <w:p>
            <w:r/>
            <w:r>
              <w:rPr>
                <w:b/>
                <w:sz w:val="20"/>
              </w:rPr>
              <w:t>Riscuri majore (la fototip înalt)</w:t>
            </w:r>
          </w:p>
        </w:tc>
        <w:tc>
          <w:tcPr>
            <w:tcW w:type="dxa" w:w="1504"/>
          </w:tcPr>
          <w:p>
            <w:r/>
            <w:r>
              <w:rPr>
                <w:b/>
                <w:sz w:val="20"/>
              </w:rPr>
              <w:t>Riscuri minore (toate fototipurile)</w:t>
            </w:r>
          </w:p>
        </w:tc>
        <w:tc>
          <w:tcPr>
            <w:tcW w:type="dxa" w:w="1504"/>
          </w:tcPr>
          <w:p>
            <w:r/>
            <w:r>
              <w:rPr>
                <w:b/>
                <w:sz w:val="20"/>
              </w:rPr>
              <w:t>Recomandat</w:t>
            </w:r>
          </w:p>
        </w:tc>
        <w:tc>
          <w:tcPr>
            <w:tcW w:type="dxa" w:w="1504"/>
          </w:tcPr>
          <w:p>
            <w:r/>
            <w:r>
              <w:rPr>
                <w:b/>
                <w:sz w:val="20"/>
              </w:rPr>
              <w:t>Cu prudență / parametri ajustați</w:t>
            </w:r>
          </w:p>
        </w:tc>
        <w:tc>
          <w:tcPr>
            <w:tcW w:type="dxa" w:w="1504"/>
          </w:tcPr>
          <w:p>
            <w:r/>
            <w:r>
              <w:rPr>
                <w:b/>
                <w:sz w:val="20"/>
              </w:rPr>
              <w:t>De evitat sau contraindicat relativ</w:t>
            </w:r>
          </w:p>
        </w:tc>
      </w:tr>
      <w:tr>
        <w:tc>
          <w:tcPr>
            <w:tcW w:type="dxa" w:w="1504"/>
          </w:tcPr>
          <w:p>
            <w:r/>
            <w:r>
              <w:rPr>
                <w:sz w:val="18"/>
              </w:rPr>
              <w:t>Microneedling</w:t>
            </w:r>
          </w:p>
        </w:tc>
        <w:tc>
          <w:tcPr>
            <w:tcW w:type="dxa" w:w="1504"/>
          </w:tcPr>
          <w:p>
            <w:r/>
            <w:r>
              <w:rPr>
                <w:sz w:val="18"/>
              </w:rPr>
              <w:t>PIH la fototip ≥IV; cicatrici tram-track la profunzime sau pasuri excesive</w:t>
            </w:r>
          </w:p>
        </w:tc>
        <w:tc>
          <w:tcPr>
            <w:tcW w:type="dxa" w:w="1504"/>
          </w:tcPr>
          <w:p>
            <w:r/>
            <w:r>
              <w:rPr>
                <w:sz w:val="18"/>
              </w:rPr>
              <w:t>Eritem 24-72 h, edem ușor, papule tranzitorii</w:t>
            </w:r>
          </w:p>
        </w:tc>
        <w:tc>
          <w:tcPr>
            <w:tcW w:type="dxa" w:w="1504"/>
          </w:tcPr>
          <w:p>
            <w:r/>
            <w:r>
              <w:rPr>
                <w:sz w:val="18"/>
              </w:rPr>
              <w:t>I–VI</w:t>
            </w:r>
          </w:p>
        </w:tc>
        <w:tc>
          <w:tcPr>
            <w:tcW w:type="dxa" w:w="1504"/>
          </w:tcPr>
          <w:p>
            <w:r/>
            <w:r>
              <w:rPr>
                <w:sz w:val="18"/>
              </w:rPr>
              <w:t>V–VI (profunzime moderată, pasuri reduse)</w:t>
            </w:r>
          </w:p>
        </w:tc>
        <w:tc>
          <w:tcPr>
            <w:tcW w:type="dxa" w:w="1504"/>
          </w:tcPr>
          <w:p>
            <w:r/>
            <w:r>
              <w:rPr>
                <w:sz w:val="18"/>
              </w:rPr>
              <w:t>—</w:t>
            </w:r>
          </w:p>
        </w:tc>
      </w:tr>
      <w:tr>
        <w:tc>
          <w:tcPr>
            <w:tcW w:type="dxa" w:w="1504"/>
          </w:tcPr>
          <w:p>
            <w:r/>
            <w:r>
              <w:rPr>
                <w:sz w:val="18"/>
              </w:rPr>
              <w:t>Radiofrecvență fracționată (RF-ML)</w:t>
            </w:r>
          </w:p>
        </w:tc>
        <w:tc>
          <w:tcPr>
            <w:tcW w:type="dxa" w:w="1504"/>
          </w:tcPr>
          <w:p>
            <w:r/>
            <w:r>
              <w:rPr>
                <w:sz w:val="18"/>
              </w:rPr>
              <w:t>PIH (ocazional, mai ales la energii mari)</w:t>
            </w:r>
          </w:p>
        </w:tc>
        <w:tc>
          <w:tcPr>
            <w:tcW w:type="dxa" w:w="1504"/>
          </w:tcPr>
          <w:p>
            <w:r/>
            <w:r>
              <w:rPr>
                <w:sz w:val="18"/>
              </w:rPr>
              <w:t>Eritem 24-72 h, edem 2-3 zile, senzație termică reziduală</w:t>
            </w:r>
          </w:p>
        </w:tc>
        <w:tc>
          <w:tcPr>
            <w:tcW w:type="dxa" w:w="1504"/>
          </w:tcPr>
          <w:p>
            <w:r/>
            <w:r>
              <w:rPr>
                <w:sz w:val="18"/>
              </w:rPr>
              <w:t>I–VI</w:t>
            </w:r>
          </w:p>
        </w:tc>
        <w:tc>
          <w:tcPr>
            <w:tcW w:type="dxa" w:w="1504"/>
          </w:tcPr>
          <w:p>
            <w:r/>
            <w:r>
              <w:rPr>
                <w:sz w:val="18"/>
              </w:rPr>
              <w:t>VI (energii reduse, adâncime ajustată)</w:t>
            </w:r>
          </w:p>
        </w:tc>
        <w:tc>
          <w:tcPr>
            <w:tcW w:type="dxa" w:w="1504"/>
          </w:tcPr>
          <w:p>
            <w:r/>
            <w:r>
              <w:rPr>
                <w:sz w:val="18"/>
              </w:rPr>
              <w:t>—</w:t>
            </w:r>
          </w:p>
        </w:tc>
      </w:tr>
      <w:tr>
        <w:tc>
          <w:tcPr>
            <w:tcW w:type="dxa" w:w="1504"/>
          </w:tcPr>
          <w:p>
            <w:r/>
            <w:r>
              <w:rPr>
                <w:sz w:val="18"/>
              </w:rPr>
              <w:t>Laser CO2 fracționat (ablativ)</w:t>
            </w:r>
          </w:p>
        </w:tc>
        <w:tc>
          <w:tcPr>
            <w:tcW w:type="dxa" w:w="1504"/>
          </w:tcPr>
          <w:p>
            <w:r/>
            <w:r>
              <w:rPr>
                <w:sz w:val="18"/>
              </w:rPr>
              <w:t>PIH semnificativă (până la 92% la fototip IV+); cicatrizare hipertrofică; hipopigmentare permanentă</w:t>
            </w:r>
          </w:p>
        </w:tc>
        <w:tc>
          <w:tcPr>
            <w:tcW w:type="dxa" w:w="1504"/>
          </w:tcPr>
          <w:p>
            <w:r/>
            <w:r>
              <w:rPr>
                <w:sz w:val="18"/>
              </w:rPr>
              <w:t>Eritem 1-2 săptămâni, edem, descuamare</w:t>
            </w:r>
          </w:p>
        </w:tc>
        <w:tc>
          <w:tcPr>
            <w:tcW w:type="dxa" w:w="1504"/>
          </w:tcPr>
          <w:p>
            <w:r/>
            <w:r>
              <w:rPr>
                <w:sz w:val="18"/>
              </w:rPr>
              <w:t>I–III</w:t>
            </w:r>
          </w:p>
        </w:tc>
        <w:tc>
          <w:tcPr>
            <w:tcW w:type="dxa" w:w="1504"/>
          </w:tcPr>
          <w:p>
            <w:r/>
            <w:r>
              <w:rPr>
                <w:sz w:val="18"/>
              </w:rPr>
              <w:t>IV (energii și densități reduse; pre/post-tratament anti-PIH)</w:t>
            </w:r>
          </w:p>
        </w:tc>
        <w:tc>
          <w:tcPr>
            <w:tcW w:type="dxa" w:w="1504"/>
          </w:tcPr>
          <w:p>
            <w:r/>
            <w:r>
              <w:rPr>
                <w:sz w:val="18"/>
              </w:rPr>
              <w:t>V–VI (relativ contraindicat fără protocol anti-PIH strict)</w:t>
            </w:r>
          </w:p>
        </w:tc>
      </w:tr>
      <w:tr>
        <w:tc>
          <w:tcPr>
            <w:tcW w:type="dxa" w:w="1504"/>
          </w:tcPr>
          <w:p>
            <w:r/>
            <w:r>
              <w:rPr>
                <w:sz w:val="18"/>
              </w:rPr>
              <w:t>Lasere non-ablative fracționate (1550 nm, 1927 nm thulium)</w:t>
            </w:r>
          </w:p>
        </w:tc>
        <w:tc>
          <w:tcPr>
            <w:tcW w:type="dxa" w:w="1504"/>
          </w:tcPr>
          <w:p>
            <w:r/>
            <w:r>
              <w:rPr>
                <w:sz w:val="18"/>
              </w:rPr>
              <w:t>PIH (rar, ușoară și autolimitată)</w:t>
            </w:r>
          </w:p>
        </w:tc>
        <w:tc>
          <w:tcPr>
            <w:tcW w:type="dxa" w:w="1504"/>
          </w:tcPr>
          <w:p>
            <w:r/>
            <w:r>
              <w:rPr>
                <w:sz w:val="18"/>
              </w:rPr>
              <w:t>Eritem, edem ușor, micro-descuamări fine (MENDS)</w:t>
            </w:r>
          </w:p>
        </w:tc>
        <w:tc>
          <w:tcPr>
            <w:tcW w:type="dxa" w:w="1504"/>
          </w:tcPr>
          <w:p>
            <w:r/>
            <w:r>
              <w:rPr>
                <w:sz w:val="18"/>
              </w:rPr>
              <w:t>I–V</w:t>
            </w:r>
          </w:p>
        </w:tc>
        <w:tc>
          <w:tcPr>
            <w:tcW w:type="dxa" w:w="1504"/>
          </w:tcPr>
          <w:p>
            <w:r/>
            <w:r>
              <w:rPr>
                <w:sz w:val="18"/>
              </w:rPr>
              <w:t>VI (densități reduse)</w:t>
            </w:r>
          </w:p>
        </w:tc>
        <w:tc>
          <w:tcPr>
            <w:tcW w:type="dxa" w:w="1504"/>
          </w:tcPr>
          <w:p>
            <w:r/>
            <w:r>
              <w:rPr>
                <w:sz w:val="18"/>
              </w:rPr>
              <w:t>—</w:t>
            </w:r>
          </w:p>
        </w:tc>
      </w:tr>
      <w:tr>
        <w:tc>
          <w:tcPr>
            <w:tcW w:type="dxa" w:w="1504"/>
          </w:tcPr>
          <w:p>
            <w:r/>
            <w:r>
              <w:rPr>
                <w:sz w:val="18"/>
              </w:rPr>
              <w:t>Subcizie</w:t>
            </w:r>
          </w:p>
        </w:tc>
        <w:tc>
          <w:tcPr>
            <w:tcW w:type="dxa" w:w="1504"/>
          </w:tcPr>
          <w:p>
            <w:r/>
            <w:r>
              <w:rPr>
                <w:sz w:val="18"/>
              </w:rPr>
              <w:t>Hematom voluminos; cicatrizare hipertrofică sau keloidă la pacienții cu istoric familial pozitiv</w:t>
            </w:r>
          </w:p>
        </w:tc>
        <w:tc>
          <w:tcPr>
            <w:tcW w:type="dxa" w:w="1504"/>
          </w:tcPr>
          <w:p>
            <w:r/>
            <w:r>
              <w:rPr>
                <w:sz w:val="18"/>
              </w:rPr>
              <w:t>Echimoze 5-10 zile, edem, pigmentare reziduală tranzitorie</w:t>
            </w:r>
          </w:p>
        </w:tc>
        <w:tc>
          <w:tcPr>
            <w:tcW w:type="dxa" w:w="1504"/>
          </w:tcPr>
          <w:p>
            <w:r/>
            <w:r>
              <w:rPr>
                <w:sz w:val="18"/>
              </w:rPr>
              <w:t>I–IV</w:t>
            </w:r>
          </w:p>
        </w:tc>
        <w:tc>
          <w:tcPr>
            <w:tcW w:type="dxa" w:w="1504"/>
          </w:tcPr>
          <w:p>
            <w:r/>
            <w:r>
              <w:rPr>
                <w:sz w:val="18"/>
              </w:rPr>
              <w:t>V (atenție la istoric keloid)</w:t>
            </w:r>
          </w:p>
        </w:tc>
        <w:tc>
          <w:tcPr>
            <w:tcW w:type="dxa" w:w="1504"/>
          </w:tcPr>
          <w:p>
            <w:r/>
            <w:r>
              <w:rPr>
                <w:sz w:val="18"/>
              </w:rPr>
              <w:t>VI cu istoric familial keloid</w:t>
            </w:r>
          </w:p>
        </w:tc>
      </w:tr>
      <w:tr>
        <w:tc>
          <w:tcPr>
            <w:tcW w:type="dxa" w:w="1504"/>
          </w:tcPr>
          <w:p>
            <w:r/>
            <w:r>
              <w:rPr>
                <w:sz w:val="18"/>
              </w:rPr>
              <w:t>TCA CROSS (peeling focal)</w:t>
            </w:r>
          </w:p>
        </w:tc>
        <w:tc>
          <w:tcPr>
            <w:tcW w:type="dxa" w:w="1504"/>
          </w:tcPr>
          <w:p>
            <w:r/>
            <w:r>
              <w:rPr>
                <w:sz w:val="18"/>
              </w:rPr>
              <w:t>PIH; lărgirea cicatricii la aplicare incorectă; hipopigmentare locală la fototip înalt</w:t>
            </w:r>
          </w:p>
        </w:tc>
        <w:tc>
          <w:tcPr>
            <w:tcW w:type="dxa" w:w="1504"/>
          </w:tcPr>
          <w:p>
            <w:r/>
            <w:r>
              <w:rPr>
                <w:sz w:val="18"/>
              </w:rPr>
              <w:t>Cruste 7-10 zile, eritem perilezional</w:t>
            </w:r>
          </w:p>
        </w:tc>
        <w:tc>
          <w:tcPr>
            <w:tcW w:type="dxa" w:w="1504"/>
          </w:tcPr>
          <w:p>
            <w:r/>
            <w:r>
              <w:rPr>
                <w:sz w:val="18"/>
              </w:rPr>
              <w:t>I–III</w:t>
            </w:r>
          </w:p>
        </w:tc>
        <w:tc>
          <w:tcPr>
            <w:tcW w:type="dxa" w:w="1504"/>
          </w:tcPr>
          <w:p>
            <w:r/>
            <w:r>
              <w:rPr>
                <w:sz w:val="18"/>
              </w:rPr>
              <w:t>IV–V (concentrații TCA reduse sau acid carboxilic alternative)</w:t>
            </w:r>
          </w:p>
        </w:tc>
        <w:tc>
          <w:tcPr>
            <w:tcW w:type="dxa" w:w="1504"/>
          </w:tcPr>
          <w:p>
            <w:r/>
            <w:r>
              <w:rPr>
                <w:sz w:val="18"/>
              </w:rPr>
              <w:t>VI cu istoric de discromii severe</w:t>
            </w:r>
          </w:p>
        </w:tc>
      </w:tr>
      <w:tr>
        <w:tc>
          <w:tcPr>
            <w:tcW w:type="dxa" w:w="1504"/>
          </w:tcPr>
          <w:p>
            <w:r/>
            <w:r>
              <w:rPr>
                <w:sz w:val="18"/>
              </w:rPr>
              <w:t>Fillere cu acid hialuronic</w:t>
            </w:r>
          </w:p>
        </w:tc>
        <w:tc>
          <w:tcPr>
            <w:tcW w:type="dxa" w:w="1504"/>
          </w:tcPr>
          <w:p>
            <w:r/>
            <w:r>
              <w:rPr>
                <w:sz w:val="18"/>
              </w:rPr>
              <w:t>Ocluzie vasculară (rar dar grav); reacții granulomatoase</w:t>
            </w:r>
          </w:p>
        </w:tc>
        <w:tc>
          <w:tcPr>
            <w:tcW w:type="dxa" w:w="1504"/>
          </w:tcPr>
          <w:p>
            <w:r/>
            <w:r>
              <w:rPr>
                <w:sz w:val="18"/>
              </w:rPr>
              <w:t>Echimoze, edem 2-5 zile</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PRP (plasmă îmbogățită cu trombocite)</w:t>
            </w:r>
          </w:p>
        </w:tc>
        <w:tc>
          <w:tcPr>
            <w:tcW w:type="dxa" w:w="1504"/>
          </w:tcPr>
          <w:p>
            <w:r/>
            <w:r>
              <w:rPr>
                <w:sz w:val="18"/>
              </w:rPr>
              <w:t>Practic absente datorită originii autologe</w:t>
            </w:r>
          </w:p>
        </w:tc>
        <w:tc>
          <w:tcPr>
            <w:tcW w:type="dxa" w:w="1504"/>
          </w:tcPr>
          <w:p>
            <w:r/>
            <w:r>
              <w:rPr>
                <w:sz w:val="18"/>
              </w:rPr>
              <w:t>Echimoze la locul injectării, edem</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Biostimulatoare (PLLA, CaHA)</w:t>
            </w:r>
          </w:p>
        </w:tc>
        <w:tc>
          <w:tcPr>
            <w:tcW w:type="dxa" w:w="1504"/>
          </w:tcPr>
          <w:p>
            <w:r/>
            <w:r>
              <w:rPr>
                <w:sz w:val="18"/>
              </w:rPr>
              <w:t>Noduli palpabili sau vizibili; PIH la locul injectării; rar keloid la istorici pozitivi</w:t>
            </w:r>
          </w:p>
        </w:tc>
        <w:tc>
          <w:tcPr>
            <w:tcW w:type="dxa" w:w="1504"/>
          </w:tcPr>
          <w:p>
            <w:r/>
            <w:r>
              <w:rPr>
                <w:sz w:val="18"/>
              </w:rPr>
              <w:t>Edem, eritem 24-72 h, sensibilitate locală</w:t>
            </w:r>
          </w:p>
        </w:tc>
        <w:tc>
          <w:tcPr>
            <w:tcW w:type="dxa" w:w="1504"/>
          </w:tcPr>
          <w:p>
            <w:r/>
            <w:r>
              <w:rPr>
                <w:sz w:val="18"/>
              </w:rPr>
              <w:t>I–IV</w:t>
            </w:r>
          </w:p>
        </w:tc>
        <w:tc>
          <w:tcPr>
            <w:tcW w:type="dxa" w:w="1504"/>
          </w:tcPr>
          <w:p>
            <w:r/>
            <w:r>
              <w:rPr>
                <w:sz w:val="18"/>
              </w:rPr>
              <w:t>V (tehnică hiperdiluată, masaj riguros)</w:t>
            </w:r>
          </w:p>
        </w:tc>
        <w:tc>
          <w:tcPr>
            <w:tcW w:type="dxa" w:w="1504"/>
          </w:tcPr>
          <w:p>
            <w:r/>
            <w:r>
              <w:rPr>
                <w:sz w:val="18"/>
              </w:rPr>
              <w:t>VI cu istoric keloid</w:t>
            </w:r>
          </w:p>
        </w:tc>
      </w:tr>
      <w:tr>
        <w:tc>
          <w:tcPr>
            <w:tcW w:type="dxa" w:w="1504"/>
          </w:tcPr>
          <w:p>
            <w:r/>
            <w:r>
              <w:rPr>
                <w:sz w:val="18"/>
              </w:rPr>
              <w:t>Polinucleotide (PN-HPT, PDRN)</w:t>
            </w:r>
          </w:p>
        </w:tc>
        <w:tc>
          <w:tcPr>
            <w:tcW w:type="dxa" w:w="1504"/>
          </w:tcPr>
          <w:p>
            <w:r/>
            <w:r>
              <w:rPr>
                <w:sz w:val="18"/>
              </w:rPr>
              <w:t>Alergie la produse marine (somon, rar)</w:t>
            </w:r>
          </w:p>
        </w:tc>
        <w:tc>
          <w:tcPr>
            <w:tcW w:type="dxa" w:w="1504"/>
          </w:tcPr>
          <w:p>
            <w:r/>
            <w:r>
              <w:rPr>
                <w:sz w:val="18"/>
              </w:rPr>
              <w:t>Edem ușor, papule tranzitorii la locul injectării</w:t>
            </w:r>
          </w:p>
        </w:tc>
        <w:tc>
          <w:tcPr>
            <w:tcW w:type="dxa" w:w="1504"/>
          </w:tcPr>
          <w:p>
            <w:r/>
            <w:r>
              <w:rPr>
                <w:sz w:val="18"/>
              </w:rPr>
              <w:t>I–VI</w:t>
            </w:r>
          </w:p>
        </w:tc>
        <w:tc>
          <w:tcPr>
            <w:tcW w:type="dxa" w:w="1504"/>
          </w:tcPr>
          <w:p>
            <w:r/>
            <w:r>
              <w:rPr>
                <w:sz w:val="18"/>
              </w:rPr>
              <w:t>—</w:t>
            </w:r>
          </w:p>
        </w:tc>
        <w:tc>
          <w:tcPr>
            <w:tcW w:type="dxa" w:w="1504"/>
          </w:tcPr>
          <w:p>
            <w:r/>
            <w:r>
              <w:rPr>
                <w:sz w:val="18"/>
              </w:rPr>
              <w:t>Alergie cunoscută la produse marine (contraindicație absolută)</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pStyle w:val="Heading2"/>
        <w:spacing w:before="240"/>
      </w:pPr>
      <w:r>
        <w:t xml:space="preserve">A.10. Sinteza terapeutică per tip de cicatrice — analiză integrată a bibliografiei</w:t>
      </w:r>
    </w:p>
    <w:p w:rsidR="00076C3E" w:rsidRDefault="00040C75">
      <w:pPr>
        <w:spacing w:after="160"/>
        <w:jc w:val="center"/>
      </w:pPr>
      <w:r>
        <w:rPr>
          <w:b/>
        </w:rPr>
        <w:t xml:space="preserve">NOTĂ IMPORTANTĂ: Această secțiune integrează critic întreaga bibliografie a lucrării într-un cadru terapeutic organizat pe tipul cicatricii și folosește exclusiv surse deja incluse în bibliografia principală și suplimentară. După verificare, conținutul poate constitui un nou Capitol 6 dedicat sau poate extinde Capitolul 5 cu subcapitole tematice. Trimiterile bibliografice corespund autorilor și anilor deja prezenți în lucrare.</w:t>
      </w:r>
    </w:p>
    <w:p w:rsidR="00076C3E" w:rsidRDefault="00040C75">
      <w:pPr>
        <w:spacing w:after="160"/>
        <w:jc w:val="center"/>
      </w:pPr>
      <w:r>
        <w:t xml:space="preserve">Citirea critică a literaturii dedicate cicatricilor post-acneice conduce la o observație care structurează întreaga decizie clinică: niciun protocol terapeutic nu este universal aplicabil. Eficacitatea unei proceduri depinde direct de compatibilitatea sa cu mecanismul patologic specific al tipului de cicatrice tratat. O cicatrice ice pick și una rolling pot coexista la același pacient, dar răspund la intervenții diferite — laserul fracționat care excelează pe boxcar este insuficient pentru ice pick, iar subcizia care transformă rolling-ul nu modifică o cicatrice ice pick. Această secțiune sintetizează evidențele cumulate din întreaga bibliografie a lucrării într-un cadru organizat pe tipul cicatricii, urmărind pentru fiecare categorie ce trebuie ameliorat structural, ce terapii combinate au cele mai solide dovezi de eficacitate și ce abordări sunt nerecomandate sau contraindicate (Attia, 2024; Wu et al., 2025; Tam et al., 2022; Wong et al., 2023).</w:t>
      </w:r>
    </w:p>
    <w:p w:rsidR="00076C3E" w:rsidRDefault="00040C75">
      <w:pPr>
        <w:pStyle w:val="Heading2"/>
        <w:spacing w:before="240"/>
      </w:pPr>
      <w:r>
        <w:t xml:space="preserve">A.10.1. Cicatricile ice pick</w:t>
      </w:r>
    </w:p>
    <w:p w:rsidR="00076C3E" w:rsidRDefault="00040C75">
      <w:pPr>
        <w:spacing w:after="160"/>
        <w:jc w:val="center"/>
      </w:pPr>
      <w:r>
        <w:t xml:space="preserve">Cicatricile ice pick sunt cicatrici atrofice cu lățime la suprafață sub 2 mm, dar care penetrează profund în derm sau chiar în țesutul subcutanat, având formă de pană sau V cu margini epiteliale nete. Reprezintă o proporție semnificativă din cicatricile atrofice post-acneice, fiind adesea cele mai rezistente la tratament și cele mai dificil de mascat optic deoarece umbra lor în lumină oblică este disproporționat de mare față de dimensiunea suprafeței. Recunoașterea lor clinică este facilitată de dermatoscopie și de examinarea în lumină laterală (Jacob, Dover și Kaminer, 2001; Goodman și Baron, 2006; Clark, Saric și Sivamani, 2018).</w:t>
      </w:r>
    </w:p>
    <w:p w:rsidR="00076C3E" w:rsidRDefault="00040C75">
      <w:pPr>
        <w:spacing w:after="160"/>
        <w:jc w:val="center"/>
      </w:pPr>
      <w:r>
        <w:rPr>
          <w:b/>
        </w:rPr>
        <w:t xml:space="preserve">Ce trebuie ameliorat. </w:t>
      </w:r>
      <w:r>
        <w:t xml:space="preserve">Problema structurală a cicatricilor ice pick este reprezentată de defectul dermic profund și îngust cu pereți epiteliali rigizi. Spre deosebire de cicatricile rolling sau boxcar, unde volumul dermic afectat este mai larg, ice pick-ul necesită o intervenție focală capabilă să modifice baza profundă a leziunii și să declanșeze remodelarea epitelială ascendentă. Procedurile care acționează în plan orizontal — microneedlingul superficial, laserele fracționate cu profunzimi sub 2 mm, peelingurile chimice superficiale aplicate global — nu pot ajunge la baza cicatricii și produc beneficii doar marginale. Obiectivul terapeutic este transformarea pereților rigizi în țesut conjunctiv nou format, care progresiv ridică baza spre suprafață, reducând profunzimea și atenuând impresia vizuală a defectului (Bhardwaj și Khunger, 2010; Chung et al., 2021; Attia, 2024).</w:t>
      </w:r>
    </w:p>
    <w:p w:rsidR="00076C3E" w:rsidRDefault="00040C75">
      <w:pPr>
        <w:spacing w:after="160"/>
        <w:jc w:val="center"/>
      </w:pPr>
      <w:r>
        <w:rPr>
          <w:b/>
        </w:rPr>
        <w:t xml:space="preserve">Terapii combinate indicate. </w:t>
      </w:r>
      <w:r>
        <w:t xml:space="preserve">TCA CROSS în concentrație 70-100% constituie tratamentul de referință focal pentru ice pick, cu rate de ameliorare raportate între 50 și 80% după 2-3 ședințe la interval de 4-6 săptămâni; mecanismul implică distrugerea chimică controlată a bazei cicatricii cu reepitelizare ascendentă graduală (Bhardwaj și Khunger, 2010; Chung et al., 2021). Punch excision sau punch elevation reprezintă alternativa chirurgicală pentru cicatricile individuale foarte adânci, urmată de sutură fină. Combinațiile cu cele mai solide dovezi în meta-analize și revizii sistematice asociază TCA CROSS pentru baza cicatricii cu laser CO2 fracționat sau microneedling pentru remodelarea texturii peri-cicatriciale, eventual completate de PRP pentru amplificarea răspunsului de neocolageneză (Wu et al., 2025; Tam et al., 2022; Long et al., 2020; Ptaszek, Czernecka și Podsiadło, 2025).</w:t>
      </w:r>
    </w:p>
    <w:p w:rsidR="00076C3E" w:rsidRDefault="00040C75">
      <w:pPr>
        <w:spacing w:after="160"/>
        <w:jc w:val="center"/>
      </w:pPr>
      <w:r>
        <w:rPr>
          <w:b/>
        </w:rPr>
        <w:t xml:space="preserve">Terapii nerecomandate sau contraindicate. </w:t>
      </w:r>
      <w:r>
        <w:t xml:space="preserve">Microneedlingul izolat, laserele non-ablative fracționate ca monoterapie și peelingurile chimice superficiale aplicate global produc beneficii limitate pe cicatricile ice pick deoarece nu pot atinge baza profundă a defectului (Mujahid et al., 2020; Shen et al., 2022). Fillerele cu acid hialuronic injectate sub o cicatrice ice pick nu obțin un efect durabil pentru că lățimea îngustă a defectului nu permite distribuirea adecvată a produsului (Siperstein et al., 2022; Albargawi, 2025). Subcizia este nepotrivită ca tehnică principală pentru ice pick deoarece nu există bride fibroase de eliberat — morfologia ice pick este de defect epitelial profund, nu de aderență mecanică (Vempati et al., 2023; Ahramiyanpour et al., 2023). Laserul CO2 fracționat în monoterapie produce ameliorări modeste comparativ cu protocoalele combinate care includ TCA CROSS, deoarece adâncimea coloanelor microthermal nu atinge baza cicatricilor ice pick adânci (Liu et al., 2024).</w:t>
      </w:r>
    </w:p>
    <w:p w:rsidR="00076C3E" w:rsidRDefault="00040C75">
      <w:pPr>
        <w:pStyle w:val="Heading2"/>
        <w:spacing w:before="240"/>
      </w:pPr>
      <w:r>
        <w:t xml:space="preserve">A.10.2. Cicatricile boxcar</w:t>
      </w:r>
    </w:p>
    <w:p w:rsidR="00076C3E" w:rsidRDefault="00040C75">
      <w:pPr>
        <w:spacing w:after="160"/>
        <w:jc w:val="center"/>
      </w:pPr>
      <w:r>
        <w:t xml:space="preserve">Cicatricile boxcar sunt cicatrici atrofice rotunde sau ovale cu margini verticale nete și fund relativ plat, având dimensiuni între 1,5 și 4 mm. Se subclasifică funcțional în boxcar superficiale (profunzime sub 0,5 mm) și boxcar adânci (peste 0,5 mm), distincție cu implicații terapeutice directe — primele răspund foarte bine la resurfacing simplu, celelalte necesită protocoale combinate (Jacob, Dover și Kaminer, 2001; Lee și Cho, 2023). Pe lângă dimensiunile lor caracteristice, marginile abrupte fac boxcar-ul recognoscibil în lumină oblică și diferentiabil de cicatricea rolling, care are tranziții graduale.</w:t>
      </w:r>
    </w:p>
    <w:p w:rsidR="00076C3E" w:rsidRDefault="00040C75">
      <w:pPr>
        <w:spacing w:after="160"/>
        <w:jc w:val="center"/>
      </w:pPr>
      <w:r>
        <w:rPr>
          <w:b/>
        </w:rPr>
        <w:t xml:space="preserve">Ce trebuie ameliorat. </w:t>
      </w:r>
      <w:r>
        <w:t xml:space="preserve">Problema cicatricilor boxcar este reprezentată de tranziția bruscă între pielea sănătoasă și defectul atrofic — atât marginile verticale rigide, cât și fundul plat necesită remodelare. Spre deosebire de ice pick, lățimea mai mare permite acțiunea procedurilor de resurfacing și a injectabilelor; spre deosebire de rolling, lipsa bridelor fibroase face subcizia neutilă. Obiectivul terapeutic este înmuierea marginilor verticale prin remodelare dermică și ridicarea fundului prin neocolageneză sau volumizare, transformând geometria abruptă într-una graduală care reduce perceperea defectului în lumină oblică (Lee și Cho, 2023; Attia, 2024).</w:t>
      </w:r>
    </w:p>
    <w:p w:rsidR="00076C3E" w:rsidRDefault="00040C75">
      <w:pPr>
        <w:spacing w:after="160"/>
        <w:jc w:val="center"/>
      </w:pPr>
      <w:r>
        <w:rPr>
          <w:b/>
        </w:rPr>
        <w:t xml:space="preserve">Terapii combinate indicate. </w:t>
      </w:r>
      <w:r>
        <w:t xml:space="preserve">Laserul CO2 fracționat și laserul Er:YAG fracționat reprezintă tratamentele cu cele mai solide dovezi pentru boxcar, meta-analiza Liu et al. (2024) confirmând eficacitate comparabilă a celor două sisteme, cu recuperare ușor mai bună pentru Er:YAG. Laserul fracționat non-ablativ 1550 nm este o alternativă cu profil de siguranță pigmentară superior, în special la fototipuri III-V; studiul Lee și Cho (2023) documentează că tipologia boxcar răspunde mai bine decât ice pick-ul la acest sistem. Combinațiile cu cele mai bune rezultate includ laserul fracționat asociat cu filler cu acid hialuronic injectat în fundul cicatricii pentru boxcar superficial (Siperstein et al., 2022; Albargawi, 2025; Zhang et al., 2023), laser fracționat alternat cu microneedling și PRP în protocoale repetate (Mandavia et al., 2022; Long et al., 2020), iar pentru boxcar adânc cu bază relativ îngustă, TCA CROSS focal urmat de resurfacing global cu laser. Radiofrecvența fracționată cu microneedling este o opțiune validă, în special la fototipuri închise, susținută de revizia sistematică Niaz et al. (2025) și asocierea documentată Mandavia et al. (2022).</w:t>
      </w:r>
    </w:p>
    <w:p w:rsidR="00076C3E" w:rsidRDefault="00040C75">
      <w:pPr>
        <w:spacing w:after="160"/>
        <w:jc w:val="center"/>
      </w:pPr>
      <w:r>
        <w:rPr>
          <w:b/>
        </w:rPr>
        <w:t xml:space="preserve">Terapii nerecomandate sau contraindicate. </w:t>
      </w:r>
      <w:r>
        <w:t xml:space="preserve">Subcizia ca monoterapie pe boxcar nu produce ameliorare semnificativă deoarece lipsa bridelor fibroase subdermice nu oferă substrat pentru tehnica de eliberare mecanică (Vempati et al., 2023; Ahramiyanpour et al., 2023). Microneedlingul superficial sub 1,5 mm și peelingurile chimice superficiale aplicate izolat produc beneficii modeste pe boxcar adânci, fiind insuficient de profunde pentru a remodela fundul cicatricii (Mujahid et al., 2020; Shen et al., 2022; Woźna et al., 2025). Aplicarea TCA CROSS la suprafața unui boxcar larg este contraindicată tehnic — metoda este focală, concepută pentru defecte înguste, iar extinderea ei pe boxcar produce lărgire iatrogenă a cicatricii (Bhardwaj și Khunger, 2010; Chung et al., 2021). Fillerele cu acid hialuronic injectate în boxcar adânc fără pretratament de remodelare epitelială pot produce un efect cosmetic temporar, dar nu modifică structura cicatricii pe termen lung (Siperstein et al., 2022).</w:t>
      </w:r>
    </w:p>
    <w:p w:rsidR="00076C3E" w:rsidRDefault="00040C75">
      <w:pPr>
        <w:pStyle w:val="Heading2"/>
        <w:spacing w:before="240"/>
      </w:pPr>
      <w:r>
        <w:t xml:space="preserve">A.10.3. Cicatricile rolling</w:t>
      </w:r>
    </w:p>
    <w:p w:rsidR="00076C3E" w:rsidRDefault="00040C75">
      <w:pPr>
        <w:spacing w:after="160"/>
        <w:jc w:val="center"/>
      </w:pPr>
      <w:r>
        <w:t xml:space="preserve">Cicatricile rolling au aspect ondulat, distensibil, cu margini graduale, fără tranziții abrupte. Sunt produse de bride fibroase subdermice care fixează dermul de țesutul subcutanat, generând depresiuni cu diametru de 4-5 mm sau mai mari. Recunoașterea lor clinică se face prin testul de distensibilitate manuală — cicatricea se atenuează semnificativ sau dispare la întinderea pielii între degete, ceea ce confirmă componenta de tracțiune mecanică și diferențiază rolling-ul de atrofiile structurale pure (Jacob, Dover și Kaminer, 2001; Goodman și Baron, 2006; Wong, Ngan și Oakley, 2023).</w:t>
      </w:r>
    </w:p>
    <w:p w:rsidR="00076C3E" w:rsidRDefault="00040C75">
      <w:pPr>
        <w:spacing w:after="160"/>
        <w:jc w:val="center"/>
      </w:pPr>
      <w:r>
        <w:rPr>
          <w:b/>
        </w:rPr>
        <w:t xml:space="preserve">Ce trebuie ameliorat. </w:t>
      </w:r>
      <w:r>
        <w:t xml:space="preserve">Problema fundamentală a cicatricilor rolling este reprezentată de tracțiunea mecanică exercitată de bridele fibroase asupra epidermului. Spre deosebire de ice pick și boxcar, unde defectul este localizat în derm, în cicatricea rolling pielea suprajacentă este în mare parte structural normală, dar este trasă în jos de aderențele subdermice. Această distincție mecanică explică de ce procedurile care vizează exclusiv pielea (resurfacing laser, peelinguri, microneedling) au beneficii limitate dacă nu sunt precedate sau combinate cu eliberarea bridelor. Obiectivul terapeutic primar este eliberarea mecanică a aderențelor, urmată de prevenirea readerenței prin ocuparea fizică a spațiului creat (Vempati et al., 2023; Ahramiyanpour et al., 2023; Tam et al., 2022).</w:t>
      </w:r>
    </w:p>
    <w:p w:rsidR="00076C3E" w:rsidRDefault="00040C75">
      <w:pPr>
        <w:spacing w:after="160"/>
        <w:jc w:val="center"/>
      </w:pPr>
      <w:r>
        <w:rPr>
          <w:b/>
        </w:rPr>
        <w:t xml:space="preserve">Terapii combinate indicate. </w:t>
      </w:r>
      <w:r>
        <w:t xml:space="preserve">Subcizia constituie pilonul terapeutic pentru cicatricile rolling, cu evidență clinică solidă din revizii sistematice multiple (Ahramiyanpour et al., 2023; Vempati et al., 2023). Eficacitatea crește semnificativ când subcizia este combinată cu un agent care ocupă spațiul creat și previne readerența: subcizia + PRP cu factorii săi de creștere autologi (Long et al., 2020), subcizia + filler cu acid hialuronic pentru un efect volumetric imediat și o stimulare colagenică progresivă (Siperstein et al., 2022; Tam et al., 2022; Albargawi, 2025), subcizia + biostimulator de tip CaHA sau PLLA pentru rolling extins cu deficit volumetric difuz (Antonino et al., 2021; Zhou C et al., 2025). După eliberarea bridelor și ocuparea spațiului, resurfacingul cu laser fracționat sau cu microneedling în asociere cu PRP poate ameliora textura reziduală (Wu et al., 2025; Mandavia et al., 2022). Polinucleotidele aplicate post-microneedling adaugă o componentă de stimulare biologică deosebit utilă pentru cicatrici rolling fine și extinse (Araco și Araco, 2021).</w:t>
      </w:r>
    </w:p>
    <w:p w:rsidR="00076C3E" w:rsidRDefault="00040C75">
      <w:pPr>
        <w:spacing w:after="160"/>
        <w:jc w:val="center"/>
      </w:pPr>
      <w:r>
        <w:rPr>
          <w:b/>
        </w:rPr>
        <w:t xml:space="preserve">Terapii nerecomandate sau contraindicate. </w:t>
      </w:r>
      <w:r>
        <w:t xml:space="preserve">Laserul CO2 fracționat în monoterapie pe cicatrici rolling extinse produce ameliorare insuficientă deoarece nu modifică bridele fibroase profunde — chiar dacă remodelează dermul, tracțiunea mecanică persistă (Ptaszek, Czernecka și Podsiadło, 2025; Ziebart et al., 2024). TCA CROSS este nepotrivit pentru rolling deoarece lățimea defectului depășește scopul tehnicii focale concepute pentru ice pick (Chung et al., 2021). Microneedlingul superficial fără subcizie prealabilă are beneficii doar pe componenta texturală, fără să adreseze cauza primară a depresiunii (Mujahid et al., 2020). Injectarea de filler HA sau biostimulator direct sub o cicatrice rolling cu bride active, fără subcizie prealabilă, produce un efect cosmetic temporar dar suboptimal — produsul nu poate compensa mecanic tracțiunea continuă, iar resorbția ulterioară lasă o ameliorare modestă (Siperstein et al., 2022; Tam et al., 2022).</w:t>
      </w:r>
    </w:p>
    <w:p w:rsidR="00076C3E" w:rsidRDefault="00040C75">
      <w:pPr>
        <w:pStyle w:val="Heading2"/>
        <w:spacing w:before="240"/>
      </w:pPr>
      <w:r>
        <w:t xml:space="preserve">A.10.4. Cicatricile hipertrofice</w:t>
      </w:r>
    </w:p>
    <w:p w:rsidR="00076C3E" w:rsidRDefault="00040C75">
      <w:pPr>
        <w:spacing w:after="160"/>
        <w:jc w:val="center"/>
      </w:pPr>
      <w:r>
        <w:t xml:space="preserve">Cicatricile hipertrofice sunt elevate față de planul cutanat, dar rămân în interiorul perimetrului leziunii originale. Apar mai frecvent pe zonele cu tensiune cutanată ridicată (mandibulă, decoltaj, umeri, spate) și au tendință de stabilizare în timp, spre deosebire de cicatricile keloide care continuă să crească. Diferă fundamental de cicatricile atrofice prin mecanismul patologic — excesul de colagen tip III depozitat necontrolat, nu deficitul structural (Sangha, Deroide și Meys, 2024; Almadani et al., 2021; Zhuang, Li și Wei, 2021).</w:t>
      </w:r>
    </w:p>
    <w:p w:rsidR="00076C3E" w:rsidRDefault="00040C75">
      <w:pPr>
        <w:spacing w:after="160"/>
        <w:jc w:val="center"/>
      </w:pPr>
      <w:r>
        <w:rPr>
          <w:b/>
        </w:rPr>
        <w:t xml:space="preserve">Ce trebuie ameliorat. </w:t>
      </w:r>
      <w:r>
        <w:t xml:space="preserve">Problema structurală a cicatricilor hipertrofice este reprezentată de depunerea excesivă de colagen și de persistența unei activități fibroblastice anormale în interiorul perimetrului leziunii. Procesul inflamator local rămâne activ luni sau ani după traumatismul inițial, ceea ce explică tendința la creștere progresivă în primele 12-18 luni. Obiectivul terapeutic este inhibarea sintezei de colagen, modularea inflamației locale și reducerea vascularizației aberante a cicatricii — exact opusul abordării atrofiilor, unde scopul este stimularea sintezei de colagen. Această inversare a obiectivului explică de ce protocoalele eficiente pentru cicatrici atrofice pot agrava cicatricile hipertrofice (Zhuang, Li și Wei, 2021).</w:t>
      </w:r>
    </w:p>
    <w:p w:rsidR="00076C3E" w:rsidRDefault="00040C75">
      <w:pPr>
        <w:spacing w:after="160"/>
        <w:jc w:val="center"/>
      </w:pPr>
      <w:r>
        <w:rPr>
          <w:b/>
        </w:rPr>
        <w:t xml:space="preserve">Terapii combinate indicate. </w:t>
      </w:r>
      <w:r>
        <w:t xml:space="preserve">Injecțiile intralezionale cu triamcinolon acetonid (10-40 mg/mL) reprezintă standardul terapeutic, cu eficacitate documentată de meta-analiza Zhuang, Li și Wei (2021); rezultatul este aplatizarea graduală a cicatricii pe parcursul a 3-6 ședințe la interval de 4-6 săptămâni. Asocierea cu 5-fluorouracil intralezional reduce dozele de corticosteroid necesare și diminuează riscul de atrofie sau telangiectazii induse de steroizi (Zhuang, Li și Wei, 2021; Bronte et al., 2024). Aplicarea de geluri sau plasturi cu silicon constituie terapie adjuvantă și de menținere, susținând rezultatul intralezional pe termen lung. Laserul cu colorant pulsat (PDL, 595 nm) tratează componenta vasculară a cicatricilor hipertrofice eritematoase, reducând și pruritul asociat (Lekwuttikarn et al., 2017; Zhou Q et al., 2024). Pentru cicatricile post-acneice hipertrofice de pe mandibulă sau decoltaj, combinația triamcinolon + 5-FU + PDL + silicon constituie protocolul cu cele mai bune rezultate publicate (Bronte et al., 2024).</w:t>
      </w:r>
    </w:p>
    <w:p w:rsidR="00076C3E" w:rsidRDefault="00040C75">
      <w:pPr>
        <w:spacing w:after="160"/>
        <w:jc w:val="center"/>
      </w:pPr>
      <w:r>
        <w:rPr>
          <w:b/>
        </w:rPr>
        <w:t xml:space="preserve">Terapii nerecomandate sau contraindicate. </w:t>
      </w:r>
      <w:r>
        <w:t xml:space="preserve">Laserele ablative (CO2, Er:YAG) ca monoterapie pentru cicatrici hipertrofice sunt nerecomandate, deoarece trauma termică suplimentară poate reactiva fibroza și agrava leziunea (Liu et al., 2024; Ptaszek, Czernecka și Podsiadło, 2025). Dermabrazia clasică, microneedlingul cu profunzime mare și peelingurile chimice profunde sunt similar contraindicate, deoarece traumatismul cutanat poate stimula fibroblaștii deja hiperactivi. Excizia chirurgicală fără terapie adjuvantă post-operatorie (steroid intralezional, presoterapie, silicon) duce frecvent la recurența cicatricii (Bronte et al., 2024). TCA CROSS, fillerele cu acid hialuronic și biostimulatoarele nu au indicație în cicatricile hipertrofice — abordarea volumetrică este irelevantă într-o leziune cu exces volumetric.</w:t>
      </w:r>
    </w:p>
    <w:p w:rsidR="00076C3E" w:rsidRDefault="00040C75">
      <w:pPr>
        <w:pStyle w:val="Heading2"/>
        <w:spacing w:before="240"/>
      </w:pPr>
      <w:r>
        <w:t xml:space="preserve">A.10.5. Cicatricile keloide</w:t>
      </w:r>
    </w:p>
    <w:p w:rsidR="00076C3E" w:rsidRDefault="00040C75">
      <w:pPr>
        <w:spacing w:after="160"/>
        <w:jc w:val="center"/>
      </w:pPr>
      <w:r>
        <w:t xml:space="preserve">Cicatricile keloide sunt elevate ca cele hipertrofice, dar se extind dincolo de perimetrul leziunii originale, invadând progresiv țesutul sănătos adiacent. Au o predispoziție genetică marcată, cu prevalență raportată de 6-10% în populația afro-americană, apar mai frecvent pe lobi, decoltaj, umeri, mandibulă și pot continua să crească indefinit, fără tendința de stabilizare caracteristică cicatricilor hipertrofice. Distincția față de hipertrofic este crucială pentru abordarea terapeutică, iar evaluarea istoricului familial este parte obligatorie a anamnezei (Bronte et al., 2024; Zhuang, Li și Wei, 2021; Soares et al., 2024).</w:t>
      </w:r>
    </w:p>
    <w:p w:rsidR="00076C3E" w:rsidRDefault="00040C75">
      <w:pPr>
        <w:spacing w:after="160"/>
        <w:jc w:val="center"/>
      </w:pPr>
      <w:r>
        <w:rPr>
          <w:b/>
        </w:rPr>
        <w:t xml:space="preserve">Ce trebuie ameliorat. </w:t>
      </w:r>
      <w:r>
        <w:t xml:space="preserve">Problema cicatricilor keloide este o activitate fibroblastică anormal de intensă și auto-perpetuantă, cu sinteză continuă de colagen, fibronectină și acid hialuronic, însoțită de un mediu inflamator cronic. Spre deosebire de cicatricile hipertrofice unde procesul tinde să se stabilizeze în timp, keloidul are tendință de creștere progresivă și nu remite spontan. Obiectivul terapeutic este oprirea expansiunii, reducerea volumului existent și, esențial, evitarea oricărui traumatism cutanat suplimentar care ar putea declanșa o cicatrice keloidă nouă sau ar putea agrava leziunea existentă. Această ultimă regulă diferențiază abordarea keloidă de toate celelalte abordări procedurale și o face restrictivă (Bronte et al., 2024; Zhuang, Li și Wei, 2021).</w:t>
      </w:r>
    </w:p>
    <w:p w:rsidR="00076C3E" w:rsidRDefault="00040C75">
      <w:pPr>
        <w:spacing w:after="160"/>
        <w:jc w:val="center"/>
      </w:pPr>
      <w:r>
        <w:rPr>
          <w:b/>
        </w:rPr>
        <w:t xml:space="preserve">Terapii combinate indicate. </w:t>
      </w:r>
      <w:r>
        <w:t xml:space="preserve">Injecțiile intralezionale cu triamcinolon acetonid 40 mg/mL combinate cu 5-fluorouracil reprezintă tratamentul de primă linie, cu rate de răspuns superioare monoterapiei steroidiene (Zhuang, Li și Wei, 2021; Bronte et al., 2024). Crioterapia intralezională (cu sonde speciale care îngheață din interior leziunea) este adjuvantă utilă pentru cicatricile mici și medii. Compresoterapia continuă (presiune 24-30 mmHg, 23 din 24 ore zilnic) susținută luni de zile contribuie la remisie. Excizia chirurgicală este indicată doar pentru keloizi mari și OBLIGATORIU urmată de terapie adjuvantă imediată — radioterapie postoperatorie sau injecții intralezionale repetate — pentru a preveni recurența care altfel se apropie de 100% (Bronte et al., 2024). Pentru cicatricile keloide post-acneice extinse de pe decoltaj, abordarea multimodală cu steroid + 5-FU + silicon + compresie ± crioterapie, susținută luni de zile, este singura strategie cu rezultate de durată.</w:t>
      </w:r>
    </w:p>
    <w:p w:rsidR="00076C3E" w:rsidRDefault="00040C75">
      <w:pPr>
        <w:spacing w:after="160"/>
        <w:jc w:val="center"/>
      </w:pPr>
      <w:r>
        <w:rPr>
          <w:b/>
        </w:rPr>
        <w:t xml:space="preserve">Terapii nerecomandate sau contraindicate. </w:t>
      </w:r>
      <w:r>
        <w:t xml:space="preserve">Orice procedură care creează un nou traumatism cutanat fără protocol adjuvant strict este contraindicată în cicatricile keloide active sau la pacienții cu istoric familial pozitiv (Bronte et al., 2024; Soares et al., 2024). Laserele ablative, microneedlingul, subcizia, TCA CROSS, dermabrazia și fillerele injectate intralezional pot declanșa creșterea explozivă a keloidului existent sau apariția de keloizi noi la locul intervenției — fenomenul este cunoscut sub numele de „keloid spreading” și este imprevizibil ca amploare. Excizia chirurgicală fără protocol adjuvant este contraindicată — recurența este aproape sigură și keloidul recidivat poate fi mai mare decât cel inițial. La pacienții cu fototip V-VI și istoric familial de keloid, orice procedură cosmetică nouă pentru cicatrici post-acneice asociate trebuie precedată de test pe zonă mică (1-2 cm²) și de consiliere extensivă privind riscul real de cicatrizare keloidă iatrogenă.</w:t>
      </w:r>
    </w:p>
    <w:p w:rsidR="00076C3E" w:rsidRDefault="00040C75">
      <w:pPr>
        <w:pStyle w:val="Heading2"/>
        <w:spacing w:before="240"/>
      </w:pPr>
      <w:r>
        <w:t xml:space="preserve">A.10.6. Hiperpigmentarea postinflamatorie (PIH) și eritemul postinflamator (PIE)</w:t>
      </w:r>
    </w:p>
    <w:p w:rsidR="00076C3E" w:rsidRDefault="00040C75">
      <w:pPr>
        <w:spacing w:after="160"/>
        <w:jc w:val="center"/>
      </w:pPr>
      <w:r>
        <w:t xml:space="preserve">Hiperpigmentarea postinflamatorie (PIH) și eritemul postinflamator (PIE) nu sunt cicatrici structurale, ci modificări pigmentare sau vasculare reziduale apărute după leziuni acneice inflamatorii. PIH se manifestă predominant la fototipurile III-VI ca pete brune până la maro-negru, în timp ce PIE apare predominant la fototipurile I-III ca pete roz-roșii persistente. Tratarea lor distinctă este importantă deoarece majoritatea pacienților le consideră eronat cicatrici, iar abordarea corectă diferă fundamental de cea a cicatricilor atrofice sau hipertrofice (Callender et al., 2022; Soares et al., 2024).</w:t>
      </w:r>
    </w:p>
    <w:p w:rsidR="00076C3E" w:rsidRDefault="00040C75">
      <w:pPr>
        <w:spacing w:after="160"/>
        <w:jc w:val="center"/>
      </w:pPr>
      <w:r>
        <w:rPr>
          <w:b/>
        </w:rPr>
        <w:t xml:space="preserve">Ce trebuie ameliorat. </w:t>
      </w:r>
      <w:r>
        <w:t xml:space="preserve">Pentru PIH, problema este excesul localizat de melanină depozitată în epiderm sau în derm ca răspuns la inflamația acneică precedentă; structura cutanată este intactă. Pentru PIE, problema este vascularizația reziduală dilatată a țesutului de granulație din zona inflamației rezolvate. Ambele entități se rezolvă progresiv și spontan în luni sau ani, dar procesul poate fi accelerat semnificativ prin abordare terapeutică adecvată. Obiectivul este eliminarea pigmentului depozitat (pentru PIH) sau a vascularizației aberante (pentru PIE), fără a induce inflamație nouă care ar reactiva ciclul (Callender et al., 2022).</w:t>
      </w:r>
    </w:p>
    <w:p w:rsidR="00076C3E" w:rsidRDefault="00040C75">
      <w:pPr>
        <w:spacing w:after="160"/>
        <w:jc w:val="center"/>
      </w:pPr>
      <w:r>
        <w:rPr>
          <w:b/>
        </w:rPr>
        <w:t xml:space="preserve">Terapii combinate indicate. </w:t>
      </w:r>
      <w:r>
        <w:t xml:space="preserve">Pentru PIH, combinația de retinoid topic (adapalen sau tretinoin) cu hidrochinonă 2-4% și niacinamidă reprezintă protocolul standard, cu rezultate vizibile în 8-12 săptămâni (Callender et al., 2022; Reynolds et al., 2024; Dréno et al., 2018). Acidul tranexamic topic 5% și acidul azelaic sunt alternative sau adjuvanți utili, în special pentru pacienții care nu tolerează hidrochinona. Peelingurile chimice superficiale (acid glicolic 30%, acid mandelic) accelerează clearance-ul pigmentului, dar trebuie folosite cu prudență la fototipurile ≥IV pentru a evita reactivarea PIH (Woźna et al., 2025; Soares et al., 2024). Laserele picosecund (1064/532 nm) sunt utile pentru PIH rezistentă la tratamentul topic prelungit (Shi et al., 2021; Tao et al., 2023). Pentru PIE, laserul cu colorant pulsat (PDL 595 nm) reprezintă tratamentul de elecție, cu ameliorare semnificativă după 2-3 ședințe (Lekwuttikarn et al., 2017; Zhou Q et al., 2024). În toate cazurile, fotoprotecția cu SPF 50+ este parte integrantă a tratamentului, nu un adjuvant opțional.</w:t>
      </w:r>
    </w:p>
    <w:p w:rsidR="00076C3E" w:rsidRDefault="00040C75">
      <w:pPr>
        <w:spacing w:after="160"/>
        <w:jc w:val="center"/>
      </w:pPr>
      <w:r>
        <w:rPr>
          <w:b/>
        </w:rPr>
        <w:t xml:space="preserve">Terapii nerecomandate sau contraindicate. </w:t>
      </w:r>
      <w:r>
        <w:t xml:space="preserve">Procedurile ablative agresive (CO2 fracționat la energii standard, peelinguri chimice profunde) ca primă linie pentru PIH sunt nerecomandate la fototipurile ≥IV, deoarece pot accentua paradoxal pigmentarea prin reactivarea melanocitelor stimulate de trauma termică sau chimică (Soares et al., 2024). Microneedlingul cu profunzime mare fără pretratament anti-PIH poate similar exacerba pigmentarea la fototipuri închise (Dogra, Yadav și Sarangal, 2014). Pentru PIE, laserele fracționate care lucrează pe apa celulară (CO2, Er:glass) sunt suboptimale comparativ cu PDL deoarece nu țintesc selectiv hemoglobina, mecanismul biologic responsabil de roșeața persistentă (Ke et al., 2025; Ziebart et al., 2024). Tratarea PIH sau PIE cu fillere, PRP sau biostimulatoare este irelevantă din punct de vedere mecanic — aceste modificări sunt pigmentare sau vasculare, nu structurale, iar produsele injectabile nu modifică melanina dispozitată sau vascularizația reziduală.</w:t>
      </w:r>
    </w:p>
    <w:p w:rsidR="00076C3E" w:rsidRDefault="00040C75">
      <w:pPr>
        <w:spacing w:after="160"/>
        <w:jc w:val="center"/>
      </w:pPr>
      <w:r>
        <w:rPr>
          <w:b/>
        </w:rPr>
        <w:t xml:space="preserve">Tabelul A.10.1 — Sinteză schematizată: recunoaștere, mecanism, terapii indicate și terapii nerecomandate per tip de cicatrice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Tip cicatrice</w:t>
            </w:r>
          </w:p>
        </w:tc>
        <w:tc>
          <w:tcPr>
            <w:tcW w:type="dxa" w:w="2256"/>
          </w:tcPr>
          <w:p>
            <w:r/>
            <w:r>
              <w:rPr>
                <w:b/>
                <w:sz w:val="20"/>
              </w:rPr>
              <w:t>Recunoaștere și mecanism patologic</w:t>
            </w:r>
          </w:p>
        </w:tc>
        <w:tc>
          <w:tcPr>
            <w:tcW w:type="dxa" w:w="2256"/>
          </w:tcPr>
          <w:p>
            <w:r/>
            <w:r>
              <w:rPr>
                <w:b/>
                <w:sz w:val="20"/>
              </w:rPr>
              <w:t>Terapii indicate și combinate optime</w:t>
            </w:r>
          </w:p>
        </w:tc>
        <w:tc>
          <w:tcPr>
            <w:tcW w:type="dxa" w:w="2256"/>
          </w:tcPr>
          <w:p>
            <w:r/>
            <w:r>
              <w:rPr>
                <w:b/>
                <w:sz w:val="20"/>
              </w:rPr>
              <w:t>Terapii NU indicate sau contraindicate</w:t>
            </w:r>
          </w:p>
        </w:tc>
      </w:tr>
      <w:tr>
        <w:tc>
          <w:tcPr>
            <w:tcW w:type="dxa" w:w="2256"/>
          </w:tcPr>
          <w:p>
            <w:r/>
            <w:r>
              <w:rPr>
                <w:sz w:val="18"/>
              </w:rPr>
              <w:t>Ice pick</w:t>
            </w:r>
          </w:p>
        </w:tc>
        <w:tc>
          <w:tcPr>
            <w:tcW w:type="dxa" w:w="2256"/>
          </w:tcPr>
          <w:p>
            <w:r/>
            <w:r>
              <w:rPr>
                <w:sz w:val="18"/>
              </w:rPr>
              <w:t>Lățime sub 2 mm, formă de V, profunzime mare; pereți epiteliali rigizi; defect dermic îngust</w:t>
            </w:r>
          </w:p>
        </w:tc>
        <w:tc>
          <w:tcPr>
            <w:tcW w:type="dxa" w:w="2256"/>
          </w:tcPr>
          <w:p>
            <w:r/>
            <w:r>
              <w:rPr>
                <w:sz w:val="18"/>
              </w:rPr>
              <w:t>TCA CROSS 70-100% (focal) ± microneedling sau laser fracționat pentru remodelare peri-cicatricială; PRP adjuvant; punch excision pentru leziuni izolate adânci</w:t>
            </w:r>
          </w:p>
        </w:tc>
        <w:tc>
          <w:tcPr>
            <w:tcW w:type="dxa" w:w="2256"/>
          </w:tcPr>
          <w:p>
            <w:r/>
            <w:r>
              <w:rPr>
                <w:sz w:val="18"/>
              </w:rPr>
              <w:t>Microneedling izolat; filler HA (defect prea îngust); subcizie; laser fracționat monoterapie; peelinguri superficiale</w:t>
            </w:r>
          </w:p>
        </w:tc>
      </w:tr>
      <w:tr>
        <w:tc>
          <w:tcPr>
            <w:tcW w:type="dxa" w:w="2256"/>
          </w:tcPr>
          <w:p>
            <w:r/>
            <w:r>
              <w:rPr>
                <w:sz w:val="18"/>
              </w:rPr>
              <w:t>Boxcar superficial (&lt;0,5 mm)</w:t>
            </w:r>
          </w:p>
        </w:tc>
        <w:tc>
          <w:tcPr>
            <w:tcW w:type="dxa" w:w="2256"/>
          </w:tcPr>
          <w:p>
            <w:r/>
            <w:r>
              <w:rPr>
                <w:sz w:val="18"/>
              </w:rPr>
              <w:t>Rotund/oval, margini verticale, fund plat; tranziție bruscă piele-defect</w:t>
            </w:r>
          </w:p>
        </w:tc>
        <w:tc>
          <w:tcPr>
            <w:tcW w:type="dxa" w:w="2256"/>
          </w:tcPr>
          <w:p>
            <w:r/>
            <w:r>
              <w:rPr>
                <w:sz w:val="18"/>
              </w:rPr>
              <w:t>Laser fracționat (CO2, Er:YAG, sau 1550 nm non-ablativ); microneedling 1,5-2 mm + PRP; combinație laser + filler HA în fundul cicatricii</w:t>
            </w:r>
          </w:p>
        </w:tc>
        <w:tc>
          <w:tcPr>
            <w:tcW w:type="dxa" w:w="2256"/>
          </w:tcPr>
          <w:p>
            <w:r/>
            <w:r>
              <w:rPr>
                <w:sz w:val="18"/>
              </w:rPr>
              <w:t>Subcizie (lipsa bridelor); TCA CROSS aplicat global; peelinguri superficiale izolate</w:t>
            </w:r>
          </w:p>
        </w:tc>
      </w:tr>
      <w:tr>
        <w:tc>
          <w:tcPr>
            <w:tcW w:type="dxa" w:w="2256"/>
          </w:tcPr>
          <w:p>
            <w:r/>
            <w:r>
              <w:rPr>
                <w:sz w:val="18"/>
              </w:rPr>
              <w:t>Boxcar adânc (&gt;0,5 mm)</w:t>
            </w:r>
          </w:p>
        </w:tc>
        <w:tc>
          <w:tcPr>
            <w:tcW w:type="dxa" w:w="2256"/>
          </w:tcPr>
          <w:p>
            <w:r/>
            <w:r>
              <w:rPr>
                <w:sz w:val="18"/>
              </w:rPr>
              <w:t>Aceleași margini verticale, dar profunzime suficientă pentru a beneficia de tehnici focale</w:t>
            </w:r>
          </w:p>
        </w:tc>
        <w:tc>
          <w:tcPr>
            <w:tcW w:type="dxa" w:w="2256"/>
          </w:tcPr>
          <w:p>
            <w:r/>
            <w:r>
              <w:rPr>
                <w:sz w:val="18"/>
              </w:rPr>
              <w:t>Laser CO2/Er:YAG fracționat agresiv; TCA CROSS focal aplicat pe bază + resurfacing global ulterior; RF fracționată + microneedling + laser în protocoale combinate</w:t>
            </w:r>
          </w:p>
        </w:tc>
        <w:tc>
          <w:tcPr>
            <w:tcW w:type="dxa" w:w="2256"/>
          </w:tcPr>
          <w:p>
            <w:r/>
            <w:r>
              <w:rPr>
                <w:sz w:val="18"/>
              </w:rPr>
              <w:t>Microneedling superficial izolat; filler HA fără pretratament resurfacing; TCA CROSS aplicat extins (risc de lărgire iatrogenă)</w:t>
            </w:r>
          </w:p>
        </w:tc>
      </w:tr>
      <w:tr>
        <w:tc>
          <w:tcPr>
            <w:tcW w:type="dxa" w:w="2256"/>
          </w:tcPr>
          <w:p>
            <w:r/>
            <w:r>
              <w:rPr>
                <w:sz w:val="18"/>
              </w:rPr>
              <w:t>Rolling</w:t>
            </w:r>
          </w:p>
        </w:tc>
        <w:tc>
          <w:tcPr>
            <w:tcW w:type="dxa" w:w="2256"/>
          </w:tcPr>
          <w:p>
            <w:r/>
            <w:r>
              <w:rPr>
                <w:sz w:val="18"/>
              </w:rPr>
              <w:t>Aspect ondulat, distensibil la întindere; bride fibroase subdermice care tractează dermul</w:t>
            </w:r>
          </w:p>
        </w:tc>
        <w:tc>
          <w:tcPr>
            <w:tcW w:type="dxa" w:w="2256"/>
          </w:tcPr>
          <w:p>
            <w:r/>
            <w:r>
              <w:rPr>
                <w:sz w:val="18"/>
              </w:rPr>
              <w:t>Subcizia ca pilon + agent de ocupare a spațiului: PRP, filler HA sau biostimulator (CaHA, PLLA); resurfacing cu laser fracționat sau microneedling după eliberare; polinucleotide adjuvante</w:t>
            </w:r>
          </w:p>
        </w:tc>
        <w:tc>
          <w:tcPr>
            <w:tcW w:type="dxa" w:w="2256"/>
          </w:tcPr>
          <w:p>
            <w:r/>
            <w:r>
              <w:rPr>
                <w:sz w:val="18"/>
              </w:rPr>
              <w:t>Laser CO2 monoterapie (nu adresează bridele); TCA CROSS (defect prea larg); microneedling superficial fără subcizie; filler izolat sub bride active</w:t>
            </w:r>
          </w:p>
        </w:tc>
      </w:tr>
      <w:tr>
        <w:tc>
          <w:tcPr>
            <w:tcW w:type="dxa" w:w="2256"/>
          </w:tcPr>
          <w:p>
            <w:r/>
            <w:r>
              <w:rPr>
                <w:sz w:val="18"/>
              </w:rPr>
              <w:t>Hipertrofice</w:t>
            </w:r>
          </w:p>
        </w:tc>
        <w:tc>
          <w:tcPr>
            <w:tcW w:type="dxa" w:w="2256"/>
          </w:tcPr>
          <w:p>
            <w:r/>
            <w:r>
              <w:rPr>
                <w:sz w:val="18"/>
              </w:rPr>
              <w:t>Elevate, în interiorul perimetrului inițial; exces de colagen tip III; activitate fibroblastică persistentă</w:t>
            </w:r>
          </w:p>
        </w:tc>
        <w:tc>
          <w:tcPr>
            <w:tcW w:type="dxa" w:w="2256"/>
          </w:tcPr>
          <w:p>
            <w:r/>
            <w:r>
              <w:rPr>
                <w:sz w:val="18"/>
              </w:rPr>
              <w:t>Triamcinolon intralezional (10-40 mg/mL) ± 5-FU; silicon topic ca adjuvant; PDL 595 nm pentru componenta vasculară; combinație multimodală pentru cicatrici extinse</w:t>
            </w:r>
          </w:p>
        </w:tc>
        <w:tc>
          <w:tcPr>
            <w:tcW w:type="dxa" w:w="2256"/>
          </w:tcPr>
          <w:p>
            <w:r/>
            <w:r>
              <w:rPr>
                <w:sz w:val="18"/>
              </w:rPr>
              <w:t>Laser ablativ monoterapie (poate reactiva fibroza); dermabrazie; microneedling profund; TCA CROSS; fillere; biostimulatoare; excizia fără protocol adjuvant</w:t>
            </w:r>
          </w:p>
        </w:tc>
      </w:tr>
      <w:tr>
        <w:tc>
          <w:tcPr>
            <w:tcW w:type="dxa" w:w="2256"/>
          </w:tcPr>
          <w:p>
            <w:r/>
            <w:r>
              <w:rPr>
                <w:sz w:val="18"/>
              </w:rPr>
              <w:t>Keloide</w:t>
            </w:r>
          </w:p>
        </w:tc>
        <w:tc>
          <w:tcPr>
            <w:tcW w:type="dxa" w:w="2256"/>
          </w:tcPr>
          <w:p>
            <w:r/>
            <w:r>
              <w:rPr>
                <w:sz w:val="18"/>
              </w:rPr>
              <w:t>Elevate, depășesc perimetrul inițial; fibrogeneză anormală auto-perpetuantă; predispoziție genetică</w:t>
            </w:r>
          </w:p>
        </w:tc>
        <w:tc>
          <w:tcPr>
            <w:tcW w:type="dxa" w:w="2256"/>
          </w:tcPr>
          <w:p>
            <w:r/>
            <w:r>
              <w:rPr>
                <w:sz w:val="18"/>
              </w:rPr>
              <w:t>Triamcinolon 40 mg/mL + 5-FU; crioterapie intralezională; compresoterapie continuă; silicon; excizie chirurgicală DOAR cu protocol adjuvant strict (radioterapie post-op sau steroid intralezional repetat)</w:t>
            </w:r>
          </w:p>
        </w:tc>
        <w:tc>
          <w:tcPr>
            <w:tcW w:type="dxa" w:w="2256"/>
          </w:tcPr>
          <w:p>
            <w:r/>
            <w:r>
              <w:rPr>
                <w:sz w:val="18"/>
              </w:rPr>
              <w:t>Orice procedură cutanată fără adjuvant strict — laser, microneedling, subcizie, TCA CROSS, fillere; excizia simplă (recurență aproape 100%); proceduri elective la istorici familiali fără test prealabil</w:t>
            </w:r>
          </w:p>
        </w:tc>
      </w:tr>
      <w:tr>
        <w:tc>
          <w:tcPr>
            <w:tcW w:type="dxa" w:w="2256"/>
          </w:tcPr>
          <w:p>
            <w:r/>
            <w:r>
              <w:rPr>
                <w:sz w:val="18"/>
              </w:rPr>
              <w:t>PIH (hiperpigmentare postinflamatorie)</w:t>
            </w:r>
          </w:p>
        </w:tc>
        <w:tc>
          <w:tcPr>
            <w:tcW w:type="dxa" w:w="2256"/>
          </w:tcPr>
          <w:p>
            <w:r/>
            <w:r>
              <w:rPr>
                <w:sz w:val="18"/>
              </w:rPr>
              <w:t>Pete brune-maro; pigmentare epidermică sau dermică reziduală; predominant la fototipuri III-VI</w:t>
            </w:r>
          </w:p>
        </w:tc>
        <w:tc>
          <w:tcPr>
            <w:tcW w:type="dxa" w:w="2256"/>
          </w:tcPr>
          <w:p>
            <w:r/>
            <w:r>
              <w:rPr>
                <w:sz w:val="18"/>
              </w:rPr>
              <w:t>Retinoid topic + hidrochinonă 2-4% + niacinamidă; acid tranexamic 5% topic; acid azelaic; peelinguri superficiale cu prudență; lasere picosecund pentru cazuri rezistente; SPF 50+ obligatoriu</w:t>
            </w:r>
          </w:p>
        </w:tc>
        <w:tc>
          <w:tcPr>
            <w:tcW w:type="dxa" w:w="2256"/>
          </w:tcPr>
          <w:p>
            <w:r/>
            <w:r>
              <w:rPr>
                <w:sz w:val="18"/>
              </w:rPr>
              <w:t>CO2 fracționat agresiv la FT ≥IV (riscă să accentueze PIH); microneedling profund fără pretratament anti-PIH; fillere/PRP/biostimulatoare (mecanism irelevant)</w:t>
            </w:r>
          </w:p>
        </w:tc>
      </w:tr>
      <w:tr>
        <w:tc>
          <w:tcPr>
            <w:tcW w:type="dxa" w:w="2256"/>
          </w:tcPr>
          <w:p>
            <w:r/>
            <w:r>
              <w:rPr>
                <w:sz w:val="18"/>
              </w:rPr>
              <w:t>PIE (eritem rezidual)</w:t>
            </w:r>
          </w:p>
        </w:tc>
        <w:tc>
          <w:tcPr>
            <w:tcW w:type="dxa" w:w="2256"/>
          </w:tcPr>
          <w:p>
            <w:r/>
            <w:r>
              <w:rPr>
                <w:sz w:val="18"/>
              </w:rPr>
              <w:t>Pete roz-roșii persistente; vascularizație reziduală a țesutului de granulație; predominant la fototipuri I-III</w:t>
            </w:r>
          </w:p>
        </w:tc>
        <w:tc>
          <w:tcPr>
            <w:tcW w:type="dxa" w:w="2256"/>
          </w:tcPr>
          <w:p>
            <w:r/>
            <w:r>
              <w:rPr>
                <w:sz w:val="18"/>
              </w:rPr>
              <w:t>PDL 595 nm ca tratament de elecție; timp și fotoprotecție SPF 50+ pentru resoluție spontană; IPL ca alternativă</w:t>
            </w:r>
          </w:p>
        </w:tc>
        <w:tc>
          <w:tcPr>
            <w:tcW w:type="dxa" w:w="2256"/>
          </w:tcPr>
          <w:p>
            <w:r/>
            <w:r>
              <w:rPr>
                <w:sz w:val="18"/>
              </w:rPr>
              <w:t>Lasere fracționate non-vasculare (suboptimale); fillere/PRP/biostimulatoare; abraziune mecanică</w:t>
            </w:r>
          </w:p>
        </w:tc>
      </w:tr>
    </w:tbl>
    <w:p w:rsidR="00076C3E" w:rsidRDefault="00040C75">
      <w:pPr>
        <w:pStyle w:val="Heading2"/>
        <w:spacing w:before="240"/>
      </w:pPr>
      <w:r>
        <w:t xml:space="preserve">A.10.7. Concluzie sintetică</w:t>
      </w:r>
    </w:p>
    <w:p w:rsidR="00076C3E" w:rsidRDefault="00040C75">
      <w:pPr>
        <w:spacing w:after="160"/>
        <w:jc w:val="center"/>
      </w:pPr>
      <w:r>
        <w:t xml:space="preserve">Sinteza bibliografiei conduce la trei principii operaționale care depășesc detaliile fiecărei proceduri individuale și care merită articulate ca atare. Primul principiu este al specificității mecanice: fiecare tip de cicatrice are un mecanism patologic dominant — defect epitelial profund pentru ice pick, tranziție abruptă pentru boxcar, tracțiune mecanică pentru rolling, exces de colagen pentru hipertrofice și keloide, pigmentare reziduală pentru PIH, vascularizație aberantă pentru PIE — iar eficacitatea unei intervenții depinde de compatibilitatea ei cu acest mecanism, nu de prestigiul sau noutatea tehnologică a procedurii. Al doilea principiu este al combinării raționale: meta-analizele și rețelele de comparații (Wu et al., 2025; Tam et al., 2022; Attia, 2024) confirmă consistent că protocoalele combinate, atent secvențiate (subcizie/CROSS prima, resurfacing apoi, biostimulare/PRP în final), sunt superioare monoterapiilor pentru majoritatea cicatricilor atrofice, dar combinarea aleatoare a tehnicilor fără rațiune mecanică nu adaugă beneficiu, ci doar cost și risc. Al treilea principiu este al evitării active: există situații în care abținerea de la o procedură populară este alegerea cea mai bună — laserul ablativ pe cicatrici hipertrofice sau keloide, fillerele într-o cicatrice ice pick, TCA CROSS pe boxcar larg, microneedlingul profund la fototip VI fără pretratament — iar identificarea acestor situații este parte indispensabilă a competenței clinice. Algoritmul terapeutic personalizat pentru cicatricile post-acneice se construiește, prin urmare, din intersecția acestor trei principii cu particularitățile pacientului — tipul dominant de cicatrice, fototipul, istoricul medical și așteptările realiste comunicate înainte de începerea oricărui protocol.</w:t>
      </w:r>
    </w:p>
    <w:p w:rsidR="00076C3E" w:rsidRDefault="00040C75">
      <w:pPr>
        <w:pStyle w:val="Heading2"/>
        <w:spacing w:before="240"/>
      </w:pPr>
      <w:r>
        <w:t xml:space="preserve">A.10.8. Bibliografie utilizată în capitol</w:t>
      </w:r>
    </w:p>
    <w:p w:rsidR="00076C3E" w:rsidRDefault="00040C75">
      <w:pPr>
        <w:spacing w:after="160"/>
        <w:jc w:val="center"/>
      </w:pPr>
      <w:r>
        <w:t xml:space="preserve">Ahramiyanpour, N., Rastaghi, F., Parvar, S.Y., Sisakht, A.K., Hosseini, S.A. and Amani, M. (2023) 'Subcision in acne scarring: A review of clinical trials', Journal of Cosmetic Dermatology, 22(3), pp. 744-751. doi: 10.1111/jocd.15480. Link: https://pubmed.ncbi.nlm.nih.gov/36315903/</w:t>
      </w:r>
    </w:p>
    <w:p w:rsidR="00076C3E" w:rsidRDefault="00040C75">
      <w:pPr>
        <w:spacing w:after="160"/>
        <w:jc w:val="center"/>
      </w:pPr>
      <w:r>
        <w:t xml:space="preserve">Albargawi, S. (2025) 'Synthetic Dermal Fillers in Treating Acne Scars: A Comparative Systematic Review', Journal of Cosmetic Dermatology, 24(1), e16752. doi: 10.1111/jocd.16752. Link: https://pubmed.ncbi.nlm.nih.gov/39789904/</w:t>
      </w:r>
    </w:p>
    <w:p w:rsidR="00076C3E" w:rsidRDefault="00040C75">
      <w:pPr>
        <w:spacing w:after="160"/>
        <w:jc w:val="center"/>
      </w:pPr>
      <w:r>
        <w:t xml:space="preserve">Almadani, Y.H., Vorstenbosch, J., Davison, P.G. and Murphy, A.M. (2021) 'Wound Healing: A Comprehensive Review', Seminars in Plastic Surgery, 35(3), pp. 141-144. doi: 10.1055/s-0041-1731791.</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Attia, E. (2024) 'Atrophic Postacne Scar Treatment: Narrative Review', JMIR Dermatology, 7, e49954. doi: 10.2196/49954. Link: https://pmc.ncbi.nlm.nih.gov/articles/PMC10918545/</w:t>
      </w:r>
    </w:p>
    <w:p w:rsidR="00076C3E" w:rsidRDefault="00040C75">
      <w:pPr>
        <w:spacing w:after="160"/>
        <w:jc w:val="center"/>
      </w:pPr>
      <w:r>
        <w:t xml:space="preserve">Bhardwaj, D. and Khunger, N. (2010) 'An assessment of the efficacy and safety of CROSS technique with 100% TCA in the management of ice pick acne scars', Journal of Cutaneous and Aesthetic Surgery, 3(2), pp. 93-96. doi: 10.4103/0974-2077.69020. Link: https://pmc.ncbi.nlm.nih.gov/articles/PMC2956965/</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Callender, V.D., Baldwin, H., Cook-Bolden, F.E., Alexis, A.F., Stein Gold, L. and Guenin, E. (2022) 'Effects of Topical Retinoids on Acne and Post-inflammatory Hyperpigmentation in Patients with Skin of Color: A Clinical Review and Implications for Practice', American Journal of Clinical Dermatology, 23, pp. 69-81. doi: 10.1007/s40257-021-00643-2. Link: https://link.springer.com/article/10.1007/s40257-021-00643-2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Clark, A.K., Saric, S. and Sivamani, R.K. (2018) 'Acne Scars: How Do We Grade Them?', American Journal of Clinical Dermatology, 19, pp. 139-144. doi: 10.1007/s40257-017-0321-x.</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Dréno, B., Bissonnette, R., Gagné-Henley, A. et al. (2018) 'Prevention and Reduction of Atrophic Acne Scars with Adapalene 0.3%/Benzoyl Peroxide 2.5% Gel', American Journal of Clinical Dermatology, 19, pp. 275-286. doi: 10.1007/s40257-018-0352-y. Link: https://link.springer.com/article/10.1007/s40257-018-0352-y</w:t>
      </w:r>
    </w:p>
    <w:p w:rsidR="00076C3E" w:rsidRDefault="00040C75">
      <w:pPr>
        <w:spacing w:after="160"/>
        <w:jc w:val="center"/>
      </w:pPr>
      <w:r>
        <w:t xml:space="preserve">Goodman, G.J. and Baron, J.A. (2006) 'Postacne scarring: a qualitative global scarring grading system', Dermatologic Surgery, 32(12), pp. 1458-1466. doi: 10.1111/j.1524-4725.2006.32354.x.</w:t>
      </w:r>
    </w:p>
    <w:p w:rsidR="00076C3E" w:rsidRDefault="00040C75">
      <w:pPr>
        <w:spacing w:after="160"/>
        <w:jc w:val="center"/>
      </w:pPr>
      <w:r>
        <w:t xml:space="preserve">Jacob, C.I., Dover, J.S. and Kaminer, M.S. (2001) 'Acne scarring: a classification system and review of treatment options', Journal of the American Academy of Dermatology, 45(1), pp. 109-117.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Lee, S.R. and Cho, S. (2023) 'Clinical Factors Affecting the Effectiveness of 1550-nm Erbium-Doped Fractional Photothermolysis Laser for Individual Atrophic Acne Scar Types', Dermatology and Therapy, 13, pp. 609-616. doi: 10.1007/s13555-022-00887-8. Link: https://pmc.ncbi.nlm.nih.gov/articles/PMC9884716/</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Liu, F., Zhou, Q., Tao, M., Shu, L. and Cao, Y. (2024) 'Efficacy and safety of CO2 fractional laser versus Er:YAG fractional laser in the treatment of atrophic acne scar: A meta-analysis and systematic review', Journal of Cosmetic Dermatology, 23(9), pp. 2768-2778. doi: 10.1111/jocd.16348. Link: https://pubmed.ncbi.nlm.nih.gov/38733085/</w:t>
      </w:r>
    </w:p>
    <w:p w:rsidR="00076C3E" w:rsidRDefault="00040C75">
      <w:pPr>
        <w:spacing w:after="160"/>
        <w:jc w:val="center"/>
      </w:pPr>
      <w:r>
        <w:t xml:space="preserve">Long, T., Gupta, A., Ma, S. and Hsu, S. (2020) 'Platelet-rich plasma in noninvasive procedures for atrophic acne scars: A systematic review and meta-analysis', Journal of Cosmetic Dermatology.</w:t>
      </w:r>
    </w:p>
    <w:p w:rsidR="00076C3E" w:rsidRDefault="00040C75">
      <w:pPr>
        <w:spacing w:after="160"/>
        <w:jc w:val="center"/>
      </w:pPr>
      <w:r>
        <w:t xml:space="preserve">Mandavia, R., Cariati, M., Shahidi, S., Spencer, C., Somenek, M. and Lapa, T. (2022) 'Combination radiofrequency microneedling and carbon dioxide laser for acne scarring', Journal of Cosmetic Dermatology, 21(11), pp. 5672-5679. doi: 10.1111/jocd.15276. Link: https://pubmed.ncbi.nlm.nih.gov/35896510/</w:t>
      </w:r>
    </w:p>
    <w:p w:rsidR="00076C3E" w:rsidRDefault="00040C75">
      <w:pPr>
        <w:spacing w:after="160"/>
        <w:jc w:val="center"/>
      </w:pPr>
      <w:r>
        <w:t xml:space="preserve">Mujahid, N., Shareef, F., Maymone, M.B.C. and Vashi, N.A. (2020) 'Microneedling as a Treatment for Acne Scarring: A Systematic Review', Dermatologic Surgery, 46(1), pp. 86-92. doi: 10.1097/DSS.0000000000002020. Link: https://pubmed.ncbi.nlm.nih.gov/31356435/</w:t>
      </w:r>
    </w:p>
    <w:p w:rsidR="00076C3E" w:rsidRDefault="00040C75">
      <w:pPr>
        <w:spacing w:after="160"/>
        <w:jc w:val="center"/>
      </w:pPr>
      <w:r>
        <w:t xml:space="preserve">Niaz, G., Ajeebi, Y., Alshamrani, H.M., Khalmurad, M. and Lee, K. (2025) 'Fractional Radiofrequency Microneedling as a Monotherapy in Acne Scar Management: A Systematic Review of Current Evidence', Cureus. Link: https://pmc.ncbi.nlm.nih.gov/articles/PMC11706011/</w:t>
      </w:r>
    </w:p>
    <w:p w:rsidR="00076C3E" w:rsidRDefault="00040C75">
      <w:pPr>
        <w:spacing w:after="160"/>
        <w:jc w:val="center"/>
      </w:pPr>
      <w:r>
        <w:t xml:space="preserve">Ptaszek, B., Czernecka, M. and Podsiadło, S. (2025) 'The Use of a Fractional Laser in Acne Scar Treatment-A Systematic Review', Life, 15(6), 915. doi: 10.3390/life15060915. Link: https://pubmed.ncbi.nlm.nih.gov/40566567/</w:t>
      </w:r>
    </w:p>
    <w:p w:rsidR="00076C3E" w:rsidRDefault="00040C75">
      <w:pPr>
        <w:spacing w:after="160"/>
        <w:jc w:val="center"/>
      </w:pPr>
      <w:r>
        <w:t xml:space="preserve">Reynolds, R.V., Yeung, H., Cheng, C.E. et al. (2024) 'Guidelines of care for the management of acne vulgaris', Journal of the American Academy of Dermatology, 90(5), pp. 1006.e1-1006.e30. doi: 10.1016/j.jaad.2023.12.017. Link: https://pubmed.ncbi.nlm.nih.gov/38300170/</w:t>
      </w:r>
    </w:p>
    <w:p w:rsidR="00076C3E" w:rsidRDefault="00040C75">
      <w:pPr>
        <w:spacing w:after="160"/>
        <w:jc w:val="center"/>
      </w:pPr>
      <w:r>
        <w:t xml:space="preserve">Sangha, M.S., Deroide, F. and Meys, R. (2024) 'Wound healing, scarring and management', Clinical and Experimental Dermatology.</w:t>
      </w:r>
    </w:p>
    <w:p w:rsidR="00076C3E" w:rsidRDefault="00040C75">
      <w:pPr>
        <w:spacing w:after="160"/>
        <w:jc w:val="center"/>
      </w:pPr>
      <w:r>
        <w:t xml:space="preserve">Shen, Y.C., Chiu, W.K., Kang, Y.N. and Chen, C. (2022) 'Microneedling Monotherapy for Acne Scar: Systematic Review and Meta-Analysis of Randomized Controlled Trials', Aesthetic Plastic Surgery, 46(4), pp. 1913-1922. doi: 10.1007/s00266-022-02845-3. Link: https://pubmed.ncbi.nlm.nih.gov/35426044/</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Siperstein, R., Nestor, E., Meran, S. and Grunebaum, L. (2022) 'A split-face,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spacing w:after="160"/>
        <w:jc w:val="center"/>
      </w:pPr>
      <w:r>
        <w:t xml:space="preserve">Tam, C., Khong, J., Tam, K., Vasilev, R., Wu, W. and Hazany, S. (2022) 'A Comprehensive Review of Non-Energy-Based Treatments for Atrophic Acne Scarring', Clinical, Cosmetic and Investigational Dermatology, 15, pp. 455-469. doi: 10.2147/CCID.S350040. Link: https://pubmed.ncbi.nlm.nih.gov/35359828/</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Vempati, A., Zhou, C., Tam, C., Khong, J. and Rubanowitz, A. (2023) 'Subcision for Atrophic Acne Scarring: A Comprehensive Review of Surgical Instruments and Combinatorial Treatments', Clinical, Cosmetic and Investigational Dermatology, 16, pp. 125-134. doi: 10.2147/CCID.S397888. Link: https://pmc.ncbi.nlm.nih.gov/articles/PMC9868281/</w:t>
      </w:r>
    </w:p>
    <w:p w:rsidR="00076C3E" w:rsidRDefault="00040C75">
      <w:pPr>
        <w:spacing w:after="160"/>
        <w:jc w:val="center"/>
      </w:pPr>
      <w:r>
        <w:t xml:space="preserve">Wong, V., Ngan, V. and Oakley, A. (2023) 'Acne scarring', DermNet. Link: https://dermnetnz.org/topics/acne-scarring</w:t>
      </w:r>
    </w:p>
    <w:p w:rsidR="00076C3E" w:rsidRDefault="00040C75">
      <w:pPr>
        <w:spacing w:after="160"/>
        <w:jc w:val="center"/>
      </w:pPr>
      <w:r>
        <w:t xml:space="preserve">Woźna, J., Bałoniak, A., Stępka, J., Dańczak-Pazdrowska, A., Polańska, A., Mojs, E. and Żaba, R. (2025) 'Chemical peeling in combination with microneedling versus chemical peeling or microneedling monotherapy in the treatment of acne scars: a systematic review and meta-analysis', Advances in Dermatology and Allergology, 42(6), pp. 527-536. doi: 10.5114/ada.2025.154436. Link: https://pubmed.ncbi.nlm.nih.gov/41640476/</w:t>
      </w:r>
    </w:p>
    <w:p w:rsidR="00076C3E" w:rsidRDefault="00040C75">
      <w:pPr>
        <w:spacing w:after="160"/>
        <w:jc w:val="center"/>
      </w:pPr>
      <w:r>
        <w:t xml:space="preserve">Wu, B., Gao, M., Zhang, Y. and Bai, X. (2025) 'Optimal treatment options for acne scars in patients with historic acne: a systematic review and network meta-analysis', PeerJ, 13, e19938. doi: 10.7717/peerj.19938. Link: https://pubmed.ncbi.nlm.nih.gov/41081097/</w:t>
      </w:r>
    </w:p>
    <w:p w:rsidR="00076C3E" w:rsidRDefault="00040C75">
      <w:pPr>
        <w:spacing w:after="160"/>
        <w:jc w:val="center"/>
      </w:pPr>
      <w:r>
        <w:t xml:space="preserve">Zhang, J., Xu, F., Lin, H., Ma, Y., Hu, Y., Meng, Q., Lin, P. and Zhang, Y. (2023) 'Efficacy of fractional CO2 laser therapy combined with hyaluronic acid dressing for facial atrophic acne scars: a systematic review and meta-analysis', Lasers in Medical Science, 38, 214. doi: 10.1007/s10103-023-03879-y. Link: https://pubmed.ncbi.nlm.nih.gov/37723352/</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spacing w:after="160"/>
        <w:jc w:val="center"/>
      </w:pPr>
      <w:r>
        <w:t xml:space="preserve">Zhuang, Z., Li, Y. and Wei, X. (2021) 'The safety and efficacy of intralesional triamcinolone acetonide for keloids and hypertrophic scars: A systematic review and meta-analysis', Burns, 47(5), pp. 987-998.</w:t>
      </w:r>
    </w:p>
    <w:p w:rsidR="00076C3E" w:rsidRDefault="00040C75">
      <w:pPr>
        <w:spacing w:after="160"/>
        <w:jc w:val="center"/>
      </w:pPr>
      <w:r>
        <w:t xml:space="preserve">Ziebart, R.L., Antezana, L.A., Crum, O.M., Lynch, M. and Wyles, S.P. (2024) 'Laser and Energy Treatments for Acne Scarring: A Review of Clinical Trials', Journal of Drugs in Dermatology, 23(12), pp. 1058-1062. doi: 10.36849/JDD.8195. Link: https://pubmed.ncbi.nlm.nih.gov/39630683/</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