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t xml:space="preserve">ASSESSMENT CENTER</w:t>
      </w:r>
    </w:p>
    <w:p>
      <w:pPr>
        <w:pStyle w:val="Subtitle"/>
        <w:spacing w:after="120"/>
      </w:pPr>
      <w:r>
        <w:t xml:space="preserve">PERŁA MARKETING EXPERIENCE</w:t>
      </w:r>
    </w:p>
    <w:p>
      <w:pPr>
        <w:spacing w:after="120"/>
      </w:pPr>
      <w:r>
        <w:rPr>
          <w:i/>
        </w:rPr>
        <w:t xml:space="preserve">Format: Speed Dating Assessment Center | Liczba uczestników: 16 | Czas trwania: ok. 4,5–5 godzin</w:t>
      </w:r>
    </w:p>
    <w:p>
      <w:pPr>
        <w:pStyle w:val="Heading1"/>
        <w:spacing w:after="120"/>
      </w:pPr>
      <w:r>
        <w:t xml:space="preserve">1. Cel</w:t>
      </w:r>
    </w:p>
    <w:p>
      <w:pPr>
        <w:spacing w:after="120"/>
      </w:pPr>
      <w:r>
        <w:t xml:space="preserve">Celem Assessment Center jest ocena kandydatów do działu marketingu marki Perła w warunkach zbliżonych do dynamicznej pracy kreatywno-strategicznej. Format ogranicza deklaratywny charakter klasycznej rozmowy rekrutacyjnej i pozwala obserwować realne zachowania uczestników: komunikację, adaptację, kreatywność, odporność na presję oraz sposób pracy z innymi.</w:t>
      </w:r>
    </w:p>
    <w:p>
      <w:pPr>
        <w:pStyle w:val="Heading1"/>
        <w:spacing w:after="120"/>
      </w:pPr>
      <w:r>
        <w:t xml:space="preserve">2. Kompetencje oceniane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00"/>
        <w:gridCol w:w="6800"/>
      </w:tblGrid>
      <w:tr>
        <w:tc>
          <w:tcPr>
            <w:tcW w:w="2200" w:type="dxa"/>
            <w:shd w:fill="EDEDED"/>
          </w:tcPr>
          <w:p>
            <w:pPr>
              <w:spacing w:after="0"/>
            </w:pPr>
            <w:r>
              <w:rPr>
                <w:b/>
              </w:rPr>
              <w:t xml:space="preserve">Obszar</w:t>
            </w:r>
          </w:p>
        </w:tc>
        <w:tc>
          <w:tcPr>
            <w:tcW w:w="6800" w:type="dxa"/>
            <w:shd w:fill="EDEDED"/>
          </w:tcPr>
          <w:p>
            <w:pPr>
              <w:spacing w:after="0"/>
            </w:pPr>
            <w:r>
              <w:rPr>
                <w:b/>
              </w:rPr>
              <w:t xml:space="preserve">Kompetencje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Marketingowy</w:t>
            </w:r>
          </w:p>
        </w:tc>
        <w:tc>
          <w:tcPr>
            <w:tcW w:w="6800" w:type="dxa"/>
          </w:tcPr>
          <w:p>
            <w:pPr>
              <w:spacing w:after="0"/>
            </w:pPr>
            <w:r>
              <w:t xml:space="preserve">kreatywność, myślenie strategiczne, insight konsumencki, storytelling, rozumienie marki, myślenie viralowe, pitchowanie pomysłów</w:t>
            </w:r>
          </w:p>
        </w:tc>
      </w:tr>
      <w:tr>
        <w:tc>
          <w:tcPr>
            <w:tcW w:w="2200" w:type="dxa"/>
          </w:tcPr>
          <w:p>
            <w:pPr>
              <w:spacing w:after="0"/>
            </w:pPr>
            <w:r>
              <w:t xml:space="preserve">Interpersonalny</w:t>
            </w:r>
          </w:p>
        </w:tc>
        <w:tc>
          <w:tcPr>
            <w:tcW w:w="6800" w:type="dxa"/>
          </w:tcPr>
          <w:p>
            <w:pPr>
              <w:spacing w:after="0"/>
            </w:pPr>
            <w:r>
              <w:t xml:space="preserve">komunikacja, wpływ społeczny, leadership, współpraca, adaptacja, odporność psychiczna, energia i inicjatywa</w:t>
            </w:r>
          </w:p>
        </w:tc>
      </w:tr>
    </w:tbl>
    <w:p>
      <w:pPr>
        <w:pStyle w:val="Heading1"/>
        <w:spacing w:after="120"/>
      </w:pPr>
      <w:r>
        <w:t xml:space="preserve">3. Założenie formatu</w:t>
      </w:r>
    </w:p>
    <w:p>
      <w:pPr>
        <w:spacing w:after="120"/>
      </w:pPr>
      <w:r>
        <w:t xml:space="preserve">Proces ma charakter creative sprintu połączonego z marketing battle. Kandydaci pracują w krótkich rundach, zmieniają partnerów i zespoły, reagują na ograniczony czas oraz niespodziewane zmiany w zadaniu. Najważniejsza jest obserwacja tego, jak funkcjonują w ruchu, presji i niepełnej kontroli.</w:t>
      </w:r>
    </w:p>
    <w:p>
      <w:pPr>
        <w:pStyle w:val="Heading1"/>
        <w:spacing w:after="120"/>
      </w:pPr>
      <w:r>
        <w:t xml:space="preserve">4. Harmonogram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6500"/>
        <w:gridCol w:w="2500"/>
      </w:tblGrid>
      <w:tr>
        <w:tc>
          <w:tcPr>
            <w:tcW w:w="6500" w:type="dxa"/>
            <w:shd w:fill="EDEDED"/>
          </w:tcPr>
          <w:p>
            <w:pPr>
              <w:spacing w:after="0"/>
            </w:pPr>
            <w:r>
              <w:rPr>
                <w:b/>
              </w:rPr>
              <w:t xml:space="preserve">Etap</w:t>
            </w:r>
          </w:p>
        </w:tc>
        <w:tc>
          <w:tcPr>
            <w:tcW w:w="2500" w:type="dxa"/>
            <w:shd w:fill="EDEDED"/>
          </w:tcPr>
          <w:p>
            <w:pPr>
              <w:spacing w:after="0"/>
            </w:pPr>
            <w:r>
              <w:rPr>
                <w:b/>
              </w:rPr>
              <w:t xml:space="preserve">Czas</w:t>
            </w:r>
          </w:p>
        </w:tc>
      </w:tr>
      <w:tr>
        <w:tc>
          <w:tcPr>
            <w:tcW w:w="6500" w:type="dxa"/>
          </w:tcPr>
          <w:p>
            <w:pPr>
              <w:spacing w:after="0"/>
            </w:pPr>
            <w:r>
              <w:t xml:space="preserve">Rejestracja i intro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t xml:space="preserve">20 min</w:t>
            </w:r>
          </w:p>
        </w:tc>
      </w:tr>
      <w:tr>
        <w:tc>
          <w:tcPr>
            <w:tcW w:w="6500" w:type="dxa"/>
          </w:tcPr>
          <w:p>
            <w:pPr>
              <w:spacing w:after="0"/>
            </w:pPr>
            <w:r>
              <w:t xml:space="preserve">Speed Dating 1:1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t xml:space="preserve">60 min</w:t>
            </w:r>
          </w:p>
        </w:tc>
      </w:tr>
      <w:tr>
        <w:tc>
          <w:tcPr>
            <w:tcW w:w="6500" w:type="dxa"/>
          </w:tcPr>
          <w:p>
            <w:pPr>
              <w:spacing w:after="0"/>
            </w:pPr>
            <w:r>
              <w:t xml:space="preserve">Przerwa techniczna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t xml:space="preserve">10 min</w:t>
            </w:r>
          </w:p>
        </w:tc>
      </w:tr>
      <w:tr>
        <w:tc>
          <w:tcPr>
            <w:tcW w:w="6500" w:type="dxa"/>
          </w:tcPr>
          <w:p>
            <w:pPr>
              <w:spacing w:after="0"/>
            </w:pPr>
            <w:r>
              <w:t xml:space="preserve">Group Speed Dating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t xml:space="preserve">90 min</w:t>
            </w:r>
          </w:p>
        </w:tc>
      </w:tr>
      <w:tr>
        <w:tc>
          <w:tcPr>
            <w:tcW w:w="6500" w:type="dxa"/>
          </w:tcPr>
          <w:p>
            <w:pPr>
              <w:spacing w:after="0"/>
            </w:pPr>
            <w:r>
              <w:t xml:space="preserve">Final Pitch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t xml:space="preserve">30 min</w:t>
            </w:r>
          </w:p>
        </w:tc>
      </w:tr>
      <w:tr>
        <w:tc>
          <w:tcPr>
            <w:tcW w:w="6500" w:type="dxa"/>
          </w:tcPr>
          <w:p>
            <w:pPr>
              <w:spacing w:after="0"/>
            </w:pPr>
            <w:r>
              <w:t xml:space="preserve">Networking z obserwacją nieformalną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t xml:space="preserve">20 min</w:t>
            </w:r>
          </w:p>
        </w:tc>
      </w:tr>
      <w:tr>
        <w:tc>
          <w:tcPr>
            <w:tcW w:w="6500" w:type="dxa"/>
          </w:tcPr>
          <w:p>
            <w:pPr>
              <w:spacing w:after="0"/>
            </w:pPr>
            <w:r>
              <w:t xml:space="preserve">Debrief asesorów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t xml:space="preserve">30–45 min</w:t>
            </w:r>
          </w:p>
        </w:tc>
      </w:tr>
    </w:tbl>
    <w:p>
      <w:pPr>
        <w:pStyle w:val="Heading1"/>
        <w:spacing w:after="120"/>
      </w:pPr>
      <w:r>
        <w:t xml:space="preserve">5. Role organizacyjne</w:t>
      </w:r>
    </w:p>
    <w:p>
      <w:pPr>
        <w:spacing w:after="60"/>
      </w:pPr>
      <w:r>
        <w:t xml:space="preserve">• Host wydarzenia prowadzi proces, przekazuje instrukcje, ogłasza rotacje, wprowadza twisty i utrzymuje energię sali. Nie ocenia kandydatów.</w:t>
      </w:r>
    </w:p>
    <w:p>
      <w:pPr>
        <w:spacing w:after="60"/>
      </w:pPr>
      <w:r>
        <w:t xml:space="preserve">• Time Master pilnuje czasu, rotacji, materiałów i płynności wydarzenia. Również nie pełni funkcji asesora.</w:t>
      </w:r>
    </w:p>
    <w:p>
      <w:pPr>
        <w:spacing w:after="60"/>
      </w:pPr>
      <w:r>
        <w:t xml:space="preserve">• Asesorzy obserwują zachowania kandydatów i notują krótkie, behawioralne obserwacje. Nie prowadzą klasycznych rozmów rekrutacyjnych.</w:t>
      </w:r>
    </w:p>
    <w:p>
      <w:pPr>
        <w:pStyle w:val="Heading1"/>
        <w:spacing w:after="120"/>
      </w:pPr>
      <w:r>
        <w:t xml:space="preserve">6. Model obserwacji</w:t>
      </w:r>
    </w:p>
    <w:p>
      <w:pPr>
        <w:spacing w:after="120"/>
      </w:pPr>
      <w:r>
        <w:t xml:space="preserve">W części 1:1 asesorzy są obecni na sali i obserwują dwie przypisane im strefy stolików. W części grupowej każdy asesor odpowiada za jeden stół, co pozwala śledzić dynamikę zespołu, zmianę ról, leadership, konflikty i sposób adaptacji po rotacjach.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6000"/>
      </w:tblGrid>
      <w:tr>
        <w:tc>
          <w:tcPr>
            <w:tcW w:w="3000" w:type="dxa"/>
            <w:shd w:fill="EDEDED"/>
          </w:tcPr>
          <w:p>
            <w:pPr>
              <w:spacing w:after="0"/>
            </w:pPr>
            <w:r>
              <w:rPr>
                <w:b/>
              </w:rPr>
              <w:t xml:space="preserve">Etap</w:t>
            </w:r>
          </w:p>
        </w:tc>
        <w:tc>
          <w:tcPr>
            <w:tcW w:w="6000" w:type="dxa"/>
            <w:shd w:fill="EDEDED"/>
          </w:tcPr>
          <w:p>
            <w:pPr>
              <w:spacing w:after="0"/>
            </w:pPr>
            <w:r>
              <w:rPr>
                <w:b/>
              </w:rPr>
              <w:t xml:space="preserve">Organizacja obserwacji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Speed Dating 1:1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t xml:space="preserve">8 stolików, 4 asesorów; każdy asesor obserwuje 2 stoliki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Group Speed Dating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t xml:space="preserve">4 stoły, 4 asesorów; każdy asesor obserwuje jeden stół przez cały etap</w:t>
            </w:r>
          </w:p>
        </w:tc>
      </w:tr>
    </w:tbl>
    <w:p>
      <w:pPr>
        <w:pStyle w:val="Heading1"/>
        <w:spacing w:after="120"/>
      </w:pPr>
      <w:r>
        <w:t xml:space="preserve">7. Etap I — Speed Dating 1:1</w:t>
      </w:r>
    </w:p>
    <w:p>
      <w:pPr>
        <w:spacing w:after="120"/>
      </w:pPr>
      <w:r>
        <w:t xml:space="preserve">Czas: 60 minut. Format: 8 stolików, po 2 osoby przy stoliku. Runda trwa 4–5 minut. Po każdej rundzie jedna osoba zostaje, druga rotuje.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00"/>
        <w:gridCol w:w="4000"/>
        <w:gridCol w:w="2400"/>
      </w:tblGrid>
      <w:tr>
        <w:tc>
          <w:tcPr>
            <w:tcW w:w="2600" w:type="dxa"/>
            <w:shd w:fill="EDEDED"/>
          </w:tcPr>
          <w:p>
            <w:pPr>
              <w:spacing w:after="0"/>
            </w:pPr>
            <w:r>
              <w:rPr>
                <w:b/>
              </w:rPr>
              <w:t xml:space="preserve">Runda</w:t>
            </w:r>
          </w:p>
        </w:tc>
        <w:tc>
          <w:tcPr>
            <w:tcW w:w="4000" w:type="dxa"/>
            <w:shd w:fill="EDEDED"/>
          </w:tcPr>
          <w:p>
            <w:pPr>
              <w:spacing w:after="0"/>
            </w:pPr>
            <w:r>
              <w:rPr>
                <w:b/>
              </w:rPr>
              <w:t xml:space="preserve">Zadanie</w:t>
            </w:r>
          </w:p>
        </w:tc>
        <w:tc>
          <w:tcPr>
            <w:tcW w:w="2400" w:type="dxa"/>
            <w:shd w:fill="EDEDED"/>
          </w:tcPr>
          <w:p>
            <w:pPr>
              <w:spacing w:after="0"/>
            </w:pPr>
            <w:r>
              <w:rPr>
                <w:b/>
              </w:rPr>
              <w:t xml:space="preserve">Co obserwujemy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1. Sprzedaj siebie jak markę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 xml:space="preserve">Kandydat przedstawia siebie jako markę: slogan, target, USP, vibe.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t xml:space="preserve">storytelling, energia, autoprezentacja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2. Wspólny viral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 xml:space="preserve">Para tworzy viral dla Perły z użyciem kapsla, kartki i telefonu.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t xml:space="preserve">współpraca, kreatywność, komunikacja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3. Trudny klient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 xml:space="preserve">Jedna osoba jest marketingowcem, druga trudnym klientem; po 2 minutach zmiana ról.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t xml:space="preserve">argumentacja, opanowanie, odporność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4. Kill the idea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 xml:space="preserve">Jedna osoba tworzy pomysł, druga go podważa.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t xml:space="preserve">reakcja na krytykę, elastyczność, wpływ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5. Viral w 45 sekund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 xml:space="preserve">Szybki pomysł na TikTok trend dla Perły.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t xml:space="preserve">szybkość myślenia, improwizacja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6. Najgorszy brief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t xml:space="preserve">Komunikacja Perły do osób, które nie piją piwa.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t xml:space="preserve">dystans, kreatywność, humor pod presją</w:t>
            </w:r>
          </w:p>
        </w:tc>
      </w:tr>
    </w:tbl>
    <w:p>
      <w:pPr>
        <w:pStyle w:val="Heading1"/>
        <w:spacing w:after="120"/>
      </w:pPr>
      <w:r>
        <w:t xml:space="preserve">8. Etap II — Group Speed Dating</w:t>
      </w:r>
    </w:p>
    <w:p>
      <w:pPr>
        <w:spacing w:after="120"/>
      </w:pPr>
      <w:r>
        <w:t xml:space="preserve">Case główny: „Perła chce stworzyć największą wakacyjną aktywację marketingową w Polsce”. Każda grupa opracowuje: big idea, slogan, mechanikę TikTok, pomysł aktywacji, kierunek influencerski oraz viral hook.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00"/>
        <w:gridCol w:w="4200"/>
        <w:gridCol w:w="2300"/>
      </w:tblGrid>
      <w:tr>
        <w:tc>
          <w:tcPr>
            <w:tcW w:w="2500" w:type="dxa"/>
            <w:shd w:fill="EDEDED"/>
          </w:tcPr>
          <w:p>
            <w:pPr>
              <w:spacing w:after="0"/>
            </w:pPr>
            <w:r>
              <w:rPr>
                <w:b/>
              </w:rPr>
              <w:t xml:space="preserve">Faza</w:t>
            </w:r>
          </w:p>
        </w:tc>
        <w:tc>
          <w:tcPr>
            <w:tcW w:w="4200" w:type="dxa"/>
            <w:shd w:fill="EDEDED"/>
          </w:tcPr>
          <w:p>
            <w:pPr>
              <w:spacing w:after="0"/>
            </w:pPr>
            <w:r>
              <w:rPr>
                <w:b/>
              </w:rPr>
              <w:t xml:space="preserve">Opis</w:t>
            </w:r>
          </w:p>
        </w:tc>
        <w:tc>
          <w:tcPr>
            <w:tcW w:w="2300" w:type="dxa"/>
            <w:shd w:fill="EDEDED"/>
          </w:tcPr>
          <w:p>
            <w:pPr>
              <w:spacing w:after="0"/>
            </w:pPr>
            <w:r>
              <w:rPr>
                <w:b/>
              </w:rPr>
              <w:t xml:space="preserve">Obszary obserwacji</w:t>
            </w:r>
          </w:p>
        </w:tc>
      </w:tr>
      <w:tr>
        <w:tc>
          <w:tcPr>
            <w:tcW w:w="2500" w:type="dxa"/>
          </w:tcPr>
          <w:p>
            <w:pPr>
              <w:spacing w:after="0"/>
            </w:pPr>
            <w:r>
              <w:t xml:space="preserve">Build — 12 min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 xml:space="preserve">Grupy startowe tworzą pierwszy kierunek kampanii.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t xml:space="preserve">leadership, inicjatywa, organizacja pracy, kreatywność</w:t>
            </w:r>
          </w:p>
        </w:tc>
      </w:tr>
      <w:tr>
        <w:tc>
          <w:tcPr>
            <w:tcW w:w="2500" w:type="dxa"/>
          </w:tcPr>
          <w:p>
            <w:pPr>
              <w:spacing w:after="0"/>
            </w:pPr>
            <w:r>
              <w:t xml:space="preserve">Rotacja 1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 xml:space="preserve">Uczestnicy przechodzą do nowych stołów i rozwijają cudzy pomysł, bez zaczynania od zera.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t xml:space="preserve">adaptacja, słuchanie, rozumienie koncepcji</w:t>
            </w:r>
          </w:p>
        </w:tc>
      </w:tr>
      <w:tr>
        <w:tc>
          <w:tcPr>
            <w:tcW w:w="2500" w:type="dxa"/>
          </w:tcPr>
          <w:p>
            <w:pPr>
              <w:spacing w:after="0"/>
            </w:pPr>
            <w:r>
              <w:t xml:space="preserve">Develop — 10 min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 xml:space="preserve">Nowe grupy dopracowują kampanię. W połowie pojawia się pivot: konkurencja wypuściła podobną kampanię, trzeba zmienić kierunek, zachowując insight.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t xml:space="preserve">elastyczność, strategic thinking, odporność</w:t>
            </w:r>
          </w:p>
        </w:tc>
      </w:tr>
      <w:tr>
        <w:tc>
          <w:tcPr>
            <w:tcW w:w="2500" w:type="dxa"/>
          </w:tcPr>
          <w:p>
            <w:pPr>
              <w:spacing w:after="0"/>
            </w:pPr>
            <w:r>
              <w:t xml:space="preserve">Rotacja 2 — Ownership Battle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 xml:space="preserve">Przy stole zostaje jedna osoba, trzy pozostałe rotują. Osoba zostająca tłumaczy i broni koncepcji, nowe osoby próbują wnieść wkład.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t xml:space="preserve">ownership, wpływ, współpraca, ego, przejmowanie lub oddawanie kontroli</w:t>
            </w:r>
          </w:p>
        </w:tc>
      </w:tr>
      <w:tr>
        <w:tc>
          <w:tcPr>
            <w:tcW w:w="2500" w:type="dxa"/>
          </w:tcPr>
          <w:p>
            <w:pPr>
              <w:spacing w:after="0"/>
            </w:pPr>
            <w:r>
              <w:t xml:space="preserve">Finalizing — 12 min</w:t>
            </w:r>
          </w:p>
        </w:tc>
        <w:tc>
          <w:tcPr>
            <w:tcW w:w="4200" w:type="dxa"/>
          </w:tcPr>
          <w:p>
            <w:pPr>
              <w:spacing w:after="0"/>
            </w:pPr>
            <w:r>
              <w:t xml:space="preserve">Grupy wybierają najlepszy kierunek, porządkują kampanię i przygotowują pitch.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t xml:space="preserve">decyzyjność, priorytetyzacja, dowożenie efektu</w:t>
            </w:r>
          </w:p>
        </w:tc>
      </w:tr>
    </w:tbl>
    <w:p>
      <w:pPr>
        <w:pStyle w:val="Heading1"/>
        <w:spacing w:after="120"/>
      </w:pPr>
      <w:r>
        <w:t xml:space="preserve">9. Etap III — Final Pitch</w:t>
      </w:r>
    </w:p>
    <w:p>
      <w:pPr>
        <w:spacing w:after="120"/>
      </w:pPr>
      <w:r>
        <w:t xml:space="preserve">Każda grupa samodzielnie wybiera osobę prezentującą koncepcję. Pitch trwa 45 sekund, po nim następuje krótkie Q&amp;A prowadzone przez hosta.</w:t>
      </w:r>
    </w:p>
    <w:p>
      <w:pPr>
        <w:spacing w:after="60"/>
      </w:pPr>
      <w:r>
        <w:t xml:space="preserve">• Przykładowe pytania: Dlaczego to ma działać? Co wyróżnia kampanię? Dlaczego ludzie mieliby ją udostępniać?</w:t>
      </w:r>
    </w:p>
    <w:p>
      <w:pPr>
        <w:spacing w:after="60"/>
      </w:pPr>
      <w:r>
        <w:t xml:space="preserve">• Obserwowane obszary: storytelling, komunikacja pod presją, naturalny autorytet, pozycja w grupie i wpływ społeczny.</w:t>
      </w:r>
    </w:p>
    <w:p>
      <w:pPr>
        <w:pStyle w:val="Heading1"/>
        <w:spacing w:after="120"/>
      </w:pPr>
      <w:r>
        <w:t xml:space="preserve">10. System oceny</w:t>
      </w:r>
    </w:p>
    <w:p>
      <w:pPr>
        <w:spacing w:after="120"/>
      </w:pPr>
      <w:r>
        <w:t xml:space="preserve">Asesorzy oceniają kandydatów w skali 1–5 oraz uzupełniają krótkie obserwacje behawioralne. Notatki powinny opisywać konkretne zachowania, nie ogólne wrażenia.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000"/>
      </w:tblGrid>
      <w:tr>
        <w:tc>
          <w:tcPr>
            <w:tcW w:w="9000" w:type="dxa"/>
            <w:shd w:fill="EDEDED"/>
          </w:tcPr>
          <w:p>
            <w:pPr>
              <w:spacing w:after="0"/>
            </w:pPr>
            <w:r>
              <w:rPr>
                <w:b/>
              </w:rPr>
              <w:t xml:space="preserve">Kompetencje oceniane</w:t>
            </w:r>
          </w:p>
        </w:tc>
      </w:tr>
      <w:tr>
        <w:tc>
          <w:tcPr>
            <w:tcW w:w="9000" w:type="dxa"/>
          </w:tcPr>
          <w:p>
            <w:pPr>
              <w:spacing w:after="0"/>
            </w:pPr>
            <w:r>
              <w:t xml:space="preserve">Leadership, kreatywność, komunikacja, wpływ społeczny, teamwork, adaptacja, odporność, energia, storytelling, marketing thinking</w:t>
            </w:r>
          </w:p>
        </w:tc>
      </w:tr>
    </w:tbl>
    <w:p>
      <w:pPr>
        <w:pStyle w:val="Heading1"/>
        <w:spacing w:after="120"/>
      </w:pPr>
      <w:r>
        <w:t xml:space="preserve">11. Sygnały obserwacyjne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00"/>
        <w:gridCol w:w="4500"/>
      </w:tblGrid>
      <w:tr>
        <w:tc>
          <w:tcPr>
            <w:tcW w:w="4500" w:type="dxa"/>
            <w:shd w:fill="EDEDED"/>
          </w:tcPr>
          <w:p>
            <w:pPr>
              <w:spacing w:after="0"/>
            </w:pPr>
            <w:r>
              <w:rPr>
                <w:b/>
              </w:rPr>
              <w:t xml:space="preserve">Green flags</w:t>
            </w:r>
          </w:p>
        </w:tc>
        <w:tc>
          <w:tcPr>
            <w:tcW w:w="4500" w:type="dxa"/>
            <w:shd w:fill="EDEDED"/>
          </w:tcPr>
          <w:p>
            <w:pPr>
              <w:spacing w:after="0"/>
            </w:pPr>
            <w:r>
              <w:rPr>
                <w:b/>
              </w:rPr>
              <w:t xml:space="preserve">Red flags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t xml:space="preserve">naturalny leadership; szybka adaptacja; budowanie na pomysłach innych; strategiczna kreatywność; energia mimo presji; ownership; aktywne słuchanie; dowożenie efektów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t xml:space="preserve">dominowanie grupy; wyłączanie innych; defensywność; brak elastyczności; chaos bez decyzji; wycofanie pod presją; przerywanie innym; forsowanie pomysłu bez uwzględnienia zespołu</w:t>
            </w:r>
          </w:p>
        </w:tc>
      </w:tr>
    </w:tbl>
    <w:p>
      <w:pPr>
        <w:pStyle w:val="Heading1"/>
        <w:spacing w:after="120"/>
      </w:pPr>
      <w:r>
        <w:t xml:space="preserve">12. Uzasadnienie</w:t>
      </w:r>
    </w:p>
    <w:p>
      <w:pPr>
        <w:spacing w:after="120"/>
      </w:pPr>
      <w:r>
        <w:t xml:space="preserve">Format jest skuteczny, ponieważ kandydaci wielokrotnie zmieniają kontekst pracy, zespół i poziom presji. Krótkie rundy ograniczają możliwość funkcjonowania wyłącznie w trybie autoprezentacji, a rotacje ujawniają realny styl komunikacji, współpracy, leadershipu, odporności i adaptacji.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eastAsia="Calibri" w:cs="Calibri"/>
      <w:sz w:val="22"/>
      <w:szCs w:val="22"/>
    </w:rPr>
  </w:style>
  <w:style w:type="paragraph" w:styleId="Title">
    <w:name w:val="Title"/>
    <w:basedOn w:val="Normal"/>
    <w:next w:val="Normal"/>
    <w:qFormat/>
    <w:rPr>
      <w:b/>
      <w:sz w:val="36"/>
      <w:szCs w:val="36"/>
    </w:rPr>
    <w:pPr>
      <w:spacing w:after="160"/>
    </w:pPr>
  </w:style>
  <w:style w:type="paragraph" w:styleId="Subtitle">
    <w:name w:val="Subtitle"/>
    <w:basedOn w:val="Normal"/>
    <w:next w:val="Normal"/>
    <w:qFormat/>
    <w:rPr>
      <w:b/>
      <w:color w:val="666666"/>
      <w:sz w:val="28"/>
      <w:szCs w:val="28"/>
    </w:rPr>
    <w:pPr>
      <w:spacing w:after="240"/>
    </w:pPr>
  </w:style>
  <w:style w:type="paragraph" w:styleId="Heading1">
    <w:name w:val="heading 1"/>
    <w:basedOn w:val="Normal"/>
    <w:next w:val="Normal"/>
    <w:qFormat/>
    <w:rPr>
      <w:b/>
      <w:color w:val="1F4E79"/>
      <w:sz w:val="28"/>
      <w:szCs w:val="28"/>
    </w:rPr>
    <w:pPr>
      <w:spacing w:before="280" w:after="120"/>
      <w:outlineLvl w:val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Cursor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Center - Perła Marketing Experience</dc:title>
  <dc:creator>Cursor Agent</dc:creator>
  <cp:lastModifiedBy>Cursor Agent</cp:lastModifiedBy>
  <dcterms:created xsi:type="dcterms:W3CDTF">2026-06-08T21:05:00Z</dcterms:created>
  <dcterms:modified xsi:type="dcterms:W3CDTF">2026-06-08T21:05:00Z</dcterms:modified>
</cp:coreProperties>
</file>