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color w:val="c00000"/>
        </w:rPr>
      </w:pPr>
      <w:bookmarkStart w:colFirst="0" w:colLast="0" w:name="_d6c1poxw8jdg" w:id="0"/>
      <w:bookmarkEnd w:id="0"/>
      <w:r w:rsidDel="00000000" w:rsidR="00000000" w:rsidRPr="00000000">
        <w:rPr>
          <w:color w:val="c00000"/>
          <w:rtl w:val="0"/>
        </w:rPr>
        <w:t xml:space="preserve">Exemple de document</w:t>
      </w:r>
    </w:p>
    <w:p w:rsidR="00000000" w:rsidDel="00000000" w:rsidP="00000000" w:rsidRDefault="00000000" w:rsidRPr="00000000" w14:paraId="00000002">
      <w:pPr>
        <w:rPr/>
      </w:pPr>
      <w:hyperlink r:id="rId6">
        <w:r w:rsidDel="00000000" w:rsidR="00000000" w:rsidRPr="00000000">
          <w:rPr>
            <w:color w:val="1155cc"/>
            <w:u w:val="single"/>
            <w:rtl w:val="0"/>
          </w:rPr>
          <w:t xml:space="preserve">domrozenberg@gmail.com</w:t>
        </w:r>
      </w:hyperlink>
      <w:r w:rsidDel="00000000" w:rsidR="00000000" w:rsidRPr="00000000">
        <w:rPr>
          <w:rtl w:val="0"/>
        </w:rPr>
        <w:t xml:space="preserve"> - Shimin 18, Modiin, 717243 Israël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Ce document a été créé à l'aide de techniques d'accessibilité pour les titres, les listes, le texte alternatif des images, les tableaux et les colonnes. Il devrait être entièrement accessible à l'aide de technologies d'assistance telles que les lecteurs d'écran.</w:t>
      </w:r>
    </w:p>
    <w:p w:rsidR="00000000" w:rsidDel="00000000" w:rsidP="00000000" w:rsidRDefault="00000000" w:rsidRPr="00000000" w14:paraId="00000005">
      <w:pPr>
        <w:pStyle w:val="Heading2"/>
        <w:rPr/>
      </w:pPr>
      <w:r w:rsidDel="00000000" w:rsidR="00000000" w:rsidRPr="00000000">
        <w:rPr>
          <w:rtl w:val="0"/>
        </w:rPr>
        <w:t xml:space="preserve">Titres</w:t>
      </w:r>
    </w:p>
    <w:p w:rsidR="00000000" w:rsidDel="00000000" w:rsidP="00000000" w:rsidRDefault="00000000" w:rsidRPr="00000000" w14:paraId="00000006">
      <w:pPr>
        <w:rPr/>
      </w:pPr>
      <w:r w:rsidDel="00000000" w:rsidR="00000000" w:rsidRPr="00000000">
        <w:rPr>
          <w:rtl w:val="0"/>
        </w:rPr>
        <w:t xml:space="preserve">Ce document comporte huit titres de section. Au début, « Exemple de document » est un titre de niveau 1. Les titres de section principaux, tels que « Titres » et « Listes », sont des titres de niveau 2. La section « Tableaux » contient deux sous-titres, « Tableau simple » et « Tableau complexe », tous deux de niveau 3.</w:t>
      </w:r>
    </w:p>
    <w:p w:rsidR="00000000" w:rsidDel="00000000" w:rsidP="00000000" w:rsidRDefault="00000000" w:rsidRPr="00000000" w14:paraId="00000007">
      <w:pPr>
        <w:pStyle w:val="Heading2"/>
        <w:rPr/>
      </w:pPr>
      <w:r w:rsidDel="00000000" w:rsidR="00000000" w:rsidRPr="00000000">
        <w:rPr>
          <w:rtl w:val="0"/>
        </w:rPr>
        <w:t xml:space="preserve">Listes</w:t>
      </w:r>
    </w:p>
    <w:p w:rsidR="00000000" w:rsidDel="00000000" w:rsidP="00000000" w:rsidRDefault="00000000" w:rsidRPr="00000000" w14:paraId="00000008">
      <w:pPr>
        <w:rPr/>
      </w:pPr>
      <w:r w:rsidDel="00000000" w:rsidR="00000000" w:rsidRPr="00000000">
        <w:rPr>
          <w:rtl w:val="0"/>
        </w:rPr>
        <w:t xml:space="preserve">Le plan suivant des sections de ce document est une liste ordonnée (numérotée) de six éléments. Le cinquième élément, « Tableaux », contient une liste imbriquée non ordonnée (à puces) de deux éléments.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Titres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Listes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Liens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Images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Tableaux</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Tableaux simples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Tables complexes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Colonnes</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Links</w:t>
      </w:r>
    </w:p>
    <w:p w:rsidR="00000000" w:rsidDel="00000000" w:rsidP="00000000" w:rsidRDefault="00000000" w:rsidRPr="00000000" w14:paraId="00000012">
      <w:pPr>
        <w:rPr/>
      </w:pPr>
      <w:bookmarkStart w:colFirst="0" w:colLast="0" w:name="_v50j8sb433f5" w:id="1"/>
      <w:bookmarkEnd w:id="1"/>
      <w:r w:rsidDel="00000000" w:rsidR="00000000" w:rsidRPr="00000000">
        <w:rPr>
          <w:rtl w:val="0"/>
        </w:rPr>
        <w:t xml:space="preserve">Dans les documents Web, les liens peuvent pointer vers différents emplacements sur la page, différentes pages ou même des documents téléchargeables, tels que des documents Word ou des PDF :</w:t>
      </w:r>
    </w:p>
    <w:p w:rsidR="00000000" w:rsidDel="00000000" w:rsidP="00000000" w:rsidRDefault="00000000" w:rsidRPr="00000000" w14:paraId="00000013">
      <w:pPr>
        <w:rPr/>
      </w:pPr>
      <w:hyperlink w:anchor="_d6c1poxw8jdg">
        <w:r w:rsidDel="00000000" w:rsidR="00000000" w:rsidRPr="00000000">
          <w:rPr>
            <w:color w:val="0000ff"/>
            <w:u w:val="single"/>
            <w:rtl w:val="0"/>
          </w:rPr>
          <w:t xml:space="preserve">Haut de cette page</w:t>
        </w:r>
      </w:hyperlink>
      <w:r w:rsidDel="00000000" w:rsidR="00000000" w:rsidRPr="00000000">
        <w:rPr>
          <w:rtl w:val="0"/>
        </w:rPr>
        <w:br w:type="textWrapping"/>
      </w:r>
      <w:hyperlink r:id="rId7">
        <w:r w:rsidDel="00000000" w:rsidR="00000000" w:rsidRPr="00000000">
          <w:rPr>
            <w:color w:val="0000ff"/>
            <w:u w:val="single"/>
            <w:rtl w:val="0"/>
          </w:rPr>
          <w:t xml:space="preserve">Exemple de document</w:t>
        </w:r>
      </w:hyperlink>
      <w:r w:rsidDel="00000000" w:rsidR="00000000" w:rsidRPr="00000000">
        <w:rPr>
          <w:rtl w:val="0"/>
        </w:rPr>
        <w:br w:type="textWrapping"/>
      </w:r>
      <w:hyperlink r:id="rId8">
        <w:r w:rsidDel="00000000" w:rsidR="00000000" w:rsidRPr="00000000">
          <w:rPr>
            <w:color w:val="0000ff"/>
            <w:u w:val="single"/>
            <w:rtl w:val="0"/>
          </w:rPr>
          <w:t xml:space="preserve">Exemple de document (docx)</w:t>
        </w:r>
      </w:hyperlink>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Images</w:t>
      </w:r>
    </w:p>
    <w:p w:rsidR="00000000" w:rsidDel="00000000" w:rsidP="00000000" w:rsidRDefault="00000000" w:rsidRPr="00000000" w14:paraId="00000015">
      <w:pPr>
        <w:rPr/>
      </w:pPr>
      <w:r w:rsidDel="00000000" w:rsidR="00000000" w:rsidRPr="00000000">
        <w:rPr>
          <w:rtl w:val="0"/>
        </w:rPr>
        <w:t xml:space="preserve">Les documents peuvent contenir des images. Par exemple, une image du symbole d'accessibilité Web se trouve à gauche de ce paragraphe. Son texte alternatif est « Symbole d'accès Web ».</w:t>
      </w:r>
      <w:r w:rsidDel="00000000" w:rsidR="00000000" w:rsidRPr="00000000">
        <w:drawing>
          <wp:anchor allowOverlap="1" behindDoc="0" distB="0" distT="0" distL="114300" distR="114300" hidden="0" layoutInCell="1" locked="0" relativeHeight="0" simplePos="0">
            <wp:simplePos x="0" y="0"/>
            <wp:positionH relativeFrom="column">
              <wp:posOffset>-53338</wp:posOffset>
            </wp:positionH>
            <wp:positionV relativeFrom="paragraph">
              <wp:posOffset>18415</wp:posOffset>
            </wp:positionV>
            <wp:extent cx="1339850" cy="1243965"/>
            <wp:effectExtent b="0" l="0" r="0" t="0"/>
            <wp:wrapSquare wrapText="bothSides" distB="0" distT="0" distL="114300" distR="114300"/>
            <wp:docPr descr="Web Access Symbol" id="1" name="image2.gif"/>
            <a:graphic>
              <a:graphicData uri="http://schemas.openxmlformats.org/drawingml/2006/picture">
                <pic:pic>
                  <pic:nvPicPr>
                    <pic:cNvPr descr="Web Access Symbol" id="0" name="image2.gif"/>
                    <pic:cNvPicPr preferRelativeResize="0"/>
                  </pic:nvPicPr>
                  <pic:blipFill>
                    <a:blip r:embed="rId9"/>
                    <a:srcRect b="0" l="0" r="0" t="0"/>
                    <a:stretch>
                      <a:fillRect/>
                    </a:stretch>
                  </pic:blipFill>
                  <pic:spPr>
                    <a:xfrm>
                      <a:off x="0" y="0"/>
                      <a:ext cx="1339850" cy="1243965"/>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t xml:space="preserve">Le texte alternatif doit communiquer ce que signifie une image, et non son apparence.</w:t>
      </w:r>
    </w:p>
    <w:p w:rsidR="00000000" w:rsidDel="00000000" w:rsidP="00000000" w:rsidRDefault="00000000" w:rsidRPr="00000000" w14:paraId="00000017">
      <w:pPr>
        <w:spacing w:after="20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Certaines images, comme les tableaux ou les graphiques, nécessitent de longues descriptions, mais tous les types de documents ne le permettent pas. Sur les pages web, les descriptions longues peuvent être fournies de plusieurs manières : sur la page sous l'image, via un lien sous l'image ou via un lien sur l'image.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-195577</wp:posOffset>
            </wp:positionV>
            <wp:extent cx="2700655" cy="1329055"/>
            <wp:effectExtent b="0" l="0" r="0" t="0"/>
            <wp:wrapSquare wrapText="bothSides" distB="0" distT="0" distL="114300" distR="114300"/>
            <wp:docPr descr="Chart of Screen Reader Market Share.&#10;(Unfortunately, there isn't a way in Word or PDF to include rich formatting, such as a table, in alternate text.)" id="2" name="image1.png"/>
            <a:graphic>
              <a:graphicData uri="http://schemas.openxmlformats.org/drawingml/2006/picture">
                <pic:pic>
                  <pic:nvPicPr>
                    <pic:cNvPr descr="Chart of Screen Reader Market Share.&#10;(Unfortunately, there isn't a way in Word or PDF to include rich formatting, such as a table, in alternate text.)" id="0" name="image1.png"/>
                    <pic:cNvPicPr preferRelativeResize="0"/>
                  </pic:nvPicPr>
                  <pic:blipFill>
                    <a:blip r:embed="rId10"/>
                    <a:srcRect b="0" l="0" r="0" t="0"/>
                    <a:stretch>
                      <a:fillRect/>
                    </a:stretch>
                  </pic:blipFill>
                  <pic:spPr>
                    <a:xfrm>
                      <a:off x="0" y="0"/>
                      <a:ext cx="2700655" cy="1329055"/>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Tableaux</w:t>
      </w:r>
    </w:p>
    <w:p w:rsidR="00000000" w:rsidDel="00000000" w:rsidP="00000000" w:rsidRDefault="00000000" w:rsidRPr="00000000" w14:paraId="0000001B">
      <w:pPr>
        <w:pStyle w:val="Heading3"/>
        <w:rPr/>
      </w:pPr>
      <w:r w:rsidDel="00000000" w:rsidR="00000000" w:rsidRPr="00000000">
        <w:rPr>
          <w:rtl w:val="0"/>
        </w:rPr>
        <w:t xml:space="preserve">Tableaux simples</w:t>
      </w:r>
    </w:p>
    <w:p w:rsidR="00000000" w:rsidDel="00000000" w:rsidP="00000000" w:rsidRDefault="00000000" w:rsidRPr="00000000" w14:paraId="0000001C">
      <w:pPr>
        <w:rPr/>
      </w:pPr>
      <w:r w:rsidDel="00000000" w:rsidR="00000000" w:rsidRPr="00000000">
        <w:rPr>
          <w:rtl w:val="0"/>
        </w:rPr>
        <w:t xml:space="preserve">Les tableaux simples ont un nombre uniforme de colonnes et de lignes, sans aucune cellule fusionnée :</w:t>
      </w:r>
    </w:p>
    <w:tbl>
      <w:tblPr>
        <w:tblStyle w:val="Table1"/>
        <w:tblW w:w="377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7"/>
        <w:gridCol w:w="1270"/>
        <w:gridCol w:w="884"/>
        <w:tblGridChange w:id="0">
          <w:tblGrid>
            <w:gridCol w:w="1617"/>
            <w:gridCol w:w="1270"/>
            <w:gridCol w:w="884"/>
          </w:tblGrid>
        </w:tblGridChange>
      </w:tblGrid>
      <w:tr>
        <w:trPr>
          <w:cantSplit w:val="0"/>
          <w:tblHeader w:val="1"/>
        </w:trPr>
        <w:tc>
          <w:tcPr>
            <w:shd w:fill="00ff00" w:val="clear"/>
          </w:tcPr>
          <w:p w:rsidR="00000000" w:rsidDel="00000000" w:rsidP="00000000" w:rsidRDefault="00000000" w:rsidRPr="00000000" w14:paraId="0000001D">
            <w:pPr>
              <w:spacing w:after="0" w:before="0" w:lineRule="auto"/>
              <w:rPr>
                <w:b w:val="1"/>
              </w:rPr>
            </w:pPr>
            <w:r w:rsidDel="00000000" w:rsidR="00000000" w:rsidRPr="00000000">
              <w:rPr>
                <w:b w:val="1"/>
                <w:rtl w:val="0"/>
              </w:rPr>
              <w:t xml:space="preserve">lecteur d'écran</w:t>
            </w:r>
          </w:p>
        </w:tc>
        <w:tc>
          <w:tcPr>
            <w:shd w:fill="00ff00" w:val="clear"/>
          </w:tcPr>
          <w:p w:rsidR="00000000" w:rsidDel="00000000" w:rsidP="00000000" w:rsidRDefault="00000000" w:rsidRPr="00000000" w14:paraId="0000001E">
            <w:pPr>
              <w:spacing w:after="0" w:before="0" w:lineRule="auto"/>
              <w:rPr>
                <w:b w:val="1"/>
              </w:rPr>
            </w:pPr>
            <w:r w:rsidDel="00000000" w:rsidR="00000000" w:rsidRPr="00000000">
              <w:rPr>
                <w:b w:val="1"/>
                <w:rtl w:val="0"/>
              </w:rPr>
              <w:t xml:space="preserve">Réponses</w:t>
            </w:r>
          </w:p>
        </w:tc>
        <w:tc>
          <w:tcPr>
            <w:shd w:fill="00ff00" w:val="clear"/>
          </w:tcPr>
          <w:p w:rsidR="00000000" w:rsidDel="00000000" w:rsidP="00000000" w:rsidRDefault="00000000" w:rsidRPr="00000000" w14:paraId="0000001F">
            <w:pPr>
              <w:spacing w:after="0" w:before="0" w:lineRule="auto"/>
              <w:rPr>
                <w:b w:val="1"/>
              </w:rPr>
            </w:pPr>
            <w:r w:rsidDel="00000000" w:rsidR="00000000" w:rsidRPr="00000000">
              <w:rPr>
                <w:b w:val="1"/>
                <w:rtl w:val="0"/>
              </w:rPr>
              <w:t xml:space="preserve">Partager </w:t>
            </w:r>
          </w:p>
        </w:tc>
      </w:tr>
      <w:tr>
        <w:trPr>
          <w:cantSplit w:val="0"/>
          <w:tblHeader w:val="1"/>
        </w:trPr>
        <w:tc>
          <w:tcPr>
            <w:tcBorders>
              <w:bottom w:color="ff0000" w:space="0" w:sz="4" w:val="single"/>
            </w:tcBorders>
          </w:tcPr>
          <w:p w:rsidR="00000000" w:rsidDel="00000000" w:rsidP="00000000" w:rsidRDefault="00000000" w:rsidRPr="00000000" w14:paraId="00000020">
            <w:pPr>
              <w:spacing w:after="0" w:before="0" w:lineRule="auto"/>
              <w:rPr/>
            </w:pPr>
            <w:r w:rsidDel="00000000" w:rsidR="00000000" w:rsidRPr="00000000">
              <w:rPr>
                <w:rtl w:val="0"/>
              </w:rPr>
              <w:t xml:space="preserve">MÂCHOIRES</w:t>
            </w:r>
          </w:p>
        </w:tc>
        <w:tc>
          <w:tcPr>
            <w:tcBorders>
              <w:bottom w:color="ff0000" w:space="0" w:sz="4" w:val="single"/>
            </w:tcBorders>
          </w:tcPr>
          <w:p w:rsidR="00000000" w:rsidDel="00000000" w:rsidP="00000000" w:rsidRDefault="00000000" w:rsidRPr="00000000" w14:paraId="00000021">
            <w:pPr>
              <w:spacing w:after="0" w:before="0" w:lineRule="auto"/>
              <w:rPr/>
            </w:pPr>
            <w:r w:rsidDel="00000000" w:rsidR="00000000" w:rsidRPr="00000000">
              <w:rPr>
                <w:rtl w:val="0"/>
              </w:rPr>
              <w:t xml:space="preserve">853</w:t>
            </w:r>
          </w:p>
        </w:tc>
        <w:tc>
          <w:tcPr>
            <w:tcBorders>
              <w:bottom w:color="ff0000" w:space="0" w:sz="4" w:val="single"/>
            </w:tcBorders>
          </w:tcPr>
          <w:p w:rsidR="00000000" w:rsidDel="00000000" w:rsidP="00000000" w:rsidRDefault="00000000" w:rsidRPr="00000000" w14:paraId="00000022">
            <w:pPr>
              <w:spacing w:after="0" w:before="0" w:lineRule="auto"/>
              <w:rPr/>
            </w:pPr>
            <w:r w:rsidDel="00000000" w:rsidR="00000000" w:rsidRPr="00000000">
              <w:rPr>
                <w:rtl w:val="0"/>
              </w:rPr>
              <w:t xml:space="preserve">49%</w:t>
            </w:r>
          </w:p>
        </w:tc>
      </w:tr>
      <w:tr>
        <w:trPr>
          <w:cantSplit w:val="0"/>
          <w:tblHeader w:val="1"/>
        </w:trPr>
        <w:tc>
          <w:tcPr>
            <w:tcBorders>
              <w:top w:color="ff0000" w:space="0" w:sz="4" w:val="single"/>
              <w:left w:color="ff0000" w:space="0" w:sz="4" w:val="single"/>
              <w:bottom w:color="ff0000" w:space="0" w:sz="4" w:val="single"/>
              <w:right w:color="ff0000" w:space="0" w:sz="4" w:val="single"/>
            </w:tcBorders>
            <w:shd w:fill="f4cccc" w:val="clear"/>
          </w:tcPr>
          <w:p w:rsidR="00000000" w:rsidDel="00000000" w:rsidP="00000000" w:rsidRDefault="00000000" w:rsidRPr="00000000" w14:paraId="00000023">
            <w:pPr>
              <w:spacing w:after="0" w:before="0" w:lineRule="auto"/>
              <w:rPr/>
            </w:pPr>
            <w:r w:rsidDel="00000000" w:rsidR="00000000" w:rsidRPr="00000000">
              <w:rPr>
                <w:rtl w:val="0"/>
              </w:rPr>
              <w:t xml:space="preserve">NVDA</w:t>
            </w:r>
          </w:p>
        </w:tc>
        <w:tc>
          <w:tcPr>
            <w:tcBorders>
              <w:top w:color="ff0000" w:space="0" w:sz="4" w:val="single"/>
              <w:left w:color="ff0000" w:space="0" w:sz="4" w:val="single"/>
              <w:bottom w:color="ff0000" w:space="0" w:sz="4" w:val="single"/>
              <w:right w:color="ff0000" w:space="0" w:sz="4" w:val="single"/>
            </w:tcBorders>
            <w:shd w:fill="f4cccc" w:val="clear"/>
          </w:tcPr>
          <w:p w:rsidR="00000000" w:rsidDel="00000000" w:rsidP="00000000" w:rsidRDefault="00000000" w:rsidRPr="00000000" w14:paraId="00000024">
            <w:pPr>
              <w:spacing w:after="0" w:before="0" w:lineRule="auto"/>
              <w:rPr/>
            </w:pPr>
            <w:r w:rsidDel="00000000" w:rsidR="00000000" w:rsidRPr="00000000">
              <w:rPr>
                <w:rtl w:val="0"/>
              </w:rPr>
              <w:t xml:space="preserve">238</w:t>
            </w:r>
          </w:p>
        </w:tc>
        <w:tc>
          <w:tcPr>
            <w:tcBorders>
              <w:top w:color="ff0000" w:space="0" w:sz="4" w:val="single"/>
              <w:left w:color="ff0000" w:space="0" w:sz="4" w:val="single"/>
              <w:bottom w:color="ff0000" w:space="0" w:sz="4" w:val="single"/>
              <w:right w:color="ff0000" w:space="0" w:sz="4" w:val="single"/>
            </w:tcBorders>
            <w:shd w:fill="f4cccc" w:val="clear"/>
          </w:tcPr>
          <w:p w:rsidR="00000000" w:rsidDel="00000000" w:rsidP="00000000" w:rsidRDefault="00000000" w:rsidRPr="00000000" w14:paraId="00000025">
            <w:pPr>
              <w:spacing w:after="0" w:before="0" w:lineRule="auto"/>
              <w:rPr/>
            </w:pPr>
            <w:r w:rsidDel="00000000" w:rsidR="00000000" w:rsidRPr="00000000">
              <w:rPr>
                <w:rtl w:val="0"/>
              </w:rPr>
              <w:t xml:space="preserve">14%</w:t>
            </w:r>
          </w:p>
        </w:tc>
      </w:tr>
      <w:tr>
        <w:trPr>
          <w:cantSplit w:val="0"/>
          <w:tblHeader w:val="1"/>
        </w:trPr>
        <w:tc>
          <w:tcPr>
            <w:tcBorders>
              <w:top w:color="ff0000" w:space="0" w:sz="4" w:val="single"/>
            </w:tcBorders>
          </w:tcPr>
          <w:p w:rsidR="00000000" w:rsidDel="00000000" w:rsidP="00000000" w:rsidRDefault="00000000" w:rsidRPr="00000000" w14:paraId="00000026">
            <w:pPr>
              <w:spacing w:after="0" w:before="0" w:lineRule="auto"/>
              <w:rPr/>
            </w:pPr>
            <w:r w:rsidDel="00000000" w:rsidR="00000000" w:rsidRPr="00000000">
              <w:rPr>
                <w:rtl w:val="0"/>
              </w:rPr>
              <w:t xml:space="preserve">Fenêtre-Yeux</w:t>
            </w:r>
          </w:p>
        </w:tc>
        <w:tc>
          <w:tcPr>
            <w:tcBorders>
              <w:top w:color="ff0000" w:space="0" w:sz="4" w:val="single"/>
            </w:tcBorders>
          </w:tcPr>
          <w:p w:rsidR="00000000" w:rsidDel="00000000" w:rsidP="00000000" w:rsidRDefault="00000000" w:rsidRPr="00000000" w14:paraId="00000027">
            <w:pPr>
              <w:spacing w:after="0" w:before="0" w:lineRule="auto"/>
              <w:rPr/>
            </w:pPr>
            <w:r w:rsidDel="00000000" w:rsidR="00000000" w:rsidRPr="00000000">
              <w:rPr>
                <w:rtl w:val="0"/>
              </w:rPr>
              <w:t xml:space="preserve">214</w:t>
            </w:r>
          </w:p>
        </w:tc>
        <w:tc>
          <w:tcPr>
            <w:tcBorders>
              <w:top w:color="ff0000" w:space="0" w:sz="4" w:val="single"/>
            </w:tcBorders>
          </w:tcPr>
          <w:p w:rsidR="00000000" w:rsidDel="00000000" w:rsidP="00000000" w:rsidRDefault="00000000" w:rsidRPr="00000000" w14:paraId="00000028">
            <w:pPr>
              <w:spacing w:after="0" w:before="0" w:lineRule="auto"/>
              <w:rPr/>
            </w:pPr>
            <w:r w:rsidDel="00000000" w:rsidR="00000000" w:rsidRPr="00000000">
              <w:rPr>
                <w:rtl w:val="0"/>
              </w:rPr>
              <w:t xml:space="preserve">12%</w:t>
            </w:r>
          </w:p>
        </w:tc>
      </w:tr>
      <w:tr>
        <w:trPr>
          <w:cantSplit w:val="0"/>
          <w:tblHeader w:val="1"/>
        </w:trPr>
        <w:tc>
          <w:tcPr/>
          <w:p w:rsidR="00000000" w:rsidDel="00000000" w:rsidP="00000000" w:rsidRDefault="00000000" w:rsidRPr="00000000" w14:paraId="00000029">
            <w:pPr>
              <w:spacing w:after="0" w:before="0" w:lineRule="auto"/>
              <w:rPr/>
            </w:pPr>
            <w:r w:rsidDel="00000000" w:rsidR="00000000" w:rsidRPr="00000000">
              <w:rPr>
                <w:rtl w:val="0"/>
              </w:rPr>
              <w:t xml:space="preserve">Accès au système</w:t>
            </w:r>
          </w:p>
        </w:tc>
        <w:tc>
          <w:tcPr/>
          <w:p w:rsidR="00000000" w:rsidDel="00000000" w:rsidP="00000000" w:rsidRDefault="00000000" w:rsidRPr="00000000" w14:paraId="0000002A">
            <w:pPr>
              <w:spacing w:after="0" w:before="0" w:lineRule="auto"/>
              <w:rPr/>
            </w:pPr>
            <w:r w:rsidDel="00000000" w:rsidR="00000000" w:rsidRPr="00000000">
              <w:rPr>
                <w:rtl w:val="0"/>
              </w:rPr>
              <w:t xml:space="preserve">181</w:t>
            </w:r>
          </w:p>
        </w:tc>
        <w:tc>
          <w:tcPr/>
          <w:p w:rsidR="00000000" w:rsidDel="00000000" w:rsidP="00000000" w:rsidRDefault="00000000" w:rsidRPr="00000000" w14:paraId="0000002B">
            <w:pPr>
              <w:spacing w:after="0" w:before="0" w:lineRule="auto"/>
              <w:rPr/>
            </w:pPr>
            <w:r w:rsidDel="00000000" w:rsidR="00000000" w:rsidRPr="00000000">
              <w:rPr>
                <w:rtl w:val="0"/>
              </w:rPr>
              <w:t xml:space="preserve">10%</w:t>
            </w:r>
          </w:p>
        </w:tc>
      </w:tr>
      <w:tr>
        <w:trPr>
          <w:cantSplit w:val="0"/>
          <w:tblHeader w:val="1"/>
        </w:trPr>
        <w:tc>
          <w:tcPr/>
          <w:p w:rsidR="00000000" w:rsidDel="00000000" w:rsidP="00000000" w:rsidRDefault="00000000" w:rsidRPr="00000000" w14:paraId="0000002C">
            <w:pPr>
              <w:spacing w:after="0" w:before="0" w:lineRule="auto"/>
              <w:rPr/>
            </w:pPr>
            <w:r w:rsidDel="00000000" w:rsidR="00000000" w:rsidRPr="00000000">
              <w:rPr>
                <w:rtl w:val="0"/>
              </w:rPr>
              <w:t xml:space="preserve">Voix off</w:t>
            </w:r>
          </w:p>
        </w:tc>
        <w:tc>
          <w:tcPr/>
          <w:p w:rsidR="00000000" w:rsidDel="00000000" w:rsidP="00000000" w:rsidRDefault="00000000" w:rsidRPr="00000000" w14:paraId="0000002D">
            <w:pPr>
              <w:spacing w:after="0" w:before="0" w:lineRule="auto"/>
              <w:rPr/>
            </w:pPr>
            <w:r w:rsidDel="00000000" w:rsidR="00000000" w:rsidRPr="00000000">
              <w:rPr>
                <w:rtl w:val="0"/>
              </w:rPr>
              <w:t xml:space="preserve">159</w:t>
            </w:r>
          </w:p>
        </w:tc>
        <w:tc>
          <w:tcPr/>
          <w:p w:rsidR="00000000" w:rsidDel="00000000" w:rsidP="00000000" w:rsidRDefault="00000000" w:rsidRPr="00000000" w14:paraId="0000002E">
            <w:pPr>
              <w:spacing w:after="0" w:before="0" w:lineRule="auto"/>
              <w:rPr/>
            </w:pPr>
            <w:r w:rsidDel="00000000" w:rsidR="00000000" w:rsidRPr="00000000">
              <w:rPr>
                <w:rtl w:val="0"/>
              </w:rPr>
              <w:t xml:space="preserve">9%</w:t>
            </w:r>
          </w:p>
        </w:tc>
      </w:tr>
    </w:tbl>
    <w:p w:rsidR="00000000" w:rsidDel="00000000" w:rsidP="00000000" w:rsidRDefault="00000000" w:rsidRPr="00000000" w14:paraId="0000002F">
      <w:pPr>
        <w:spacing w:after="0" w:before="0" w:line="120" w:lineRule="auto"/>
        <w:rPr/>
      </w:pPr>
      <w:r w:rsidDel="00000000" w:rsidR="00000000" w:rsidRPr="00000000">
        <w:rPr>
          <w:rtl w:val="0"/>
        </w:rPr>
      </w:r>
    </w:p>
    <w:p w:rsidR="00000000" w:rsidDel="00000000" w:rsidP="00000000" w:rsidRDefault="00000000" w:rsidRPr="00000000" w14:paraId="00000030">
      <w:pPr>
        <w:pStyle w:val="Heading3"/>
        <w:rPr/>
      </w:pPr>
      <w:r w:rsidDel="00000000" w:rsidR="00000000" w:rsidRPr="00000000">
        <w:rPr>
          <w:rtl w:val="0"/>
        </w:rPr>
        <w:t xml:space="preserve">Tables complexes</w:t>
      </w:r>
    </w:p>
    <w:p w:rsidR="00000000" w:rsidDel="00000000" w:rsidP="00000000" w:rsidRDefault="00000000" w:rsidRPr="00000000" w14:paraId="00000031">
      <w:pPr>
        <w:rPr/>
      </w:pPr>
      <w:r w:rsidDel="00000000" w:rsidR="00000000" w:rsidRPr="00000000">
        <w:rPr>
          <w:rtl w:val="0"/>
        </w:rPr>
        <w:t xml:space="preserve">Le tableau suivant est complexe, utilisant des cellules fusionnées comme en-têtes pour les sections. Il n'est pas accessible dans tous les types de documents :</w:t>
      </w:r>
    </w:p>
    <w:tbl>
      <w:tblPr>
        <w:tblStyle w:val="Table2"/>
        <w:tblW w:w="9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915"/>
        <w:gridCol w:w="1915"/>
        <w:gridCol w:w="1915"/>
        <w:gridCol w:w="1916"/>
        <w:tblGridChange w:id="0">
          <w:tblGrid>
            <w:gridCol w:w="1800"/>
            <w:gridCol w:w="1915"/>
            <w:gridCol w:w="1915"/>
            <w:gridCol w:w="1915"/>
            <w:gridCol w:w="1916"/>
          </w:tblGrid>
        </w:tblGridChange>
      </w:tblGrid>
      <w:tr>
        <w:trPr>
          <w:cantSplit w:val="0"/>
          <w:tblHeader w:val="0"/>
        </w:trPr>
        <w:tc>
          <w:tcPr/>
          <w:p w:rsidR="00000000" w:rsidDel="00000000" w:rsidP="00000000" w:rsidRDefault="00000000" w:rsidRPr="00000000" w14:paraId="00000032">
            <w:pPr>
              <w:spacing w:after="0" w:before="0" w:lineRule="auto"/>
              <w:rPr>
                <w:b w:val="1"/>
              </w:rPr>
            </w:pPr>
            <w:r w:rsidDel="00000000" w:rsidR="00000000" w:rsidRPr="00000000">
              <w:rPr>
                <w:rtl w:val="0"/>
              </w:rPr>
            </w:r>
          </w:p>
        </w:tc>
        <w:tc>
          <w:tcPr>
            <w:gridSpan w:val="2"/>
          </w:tcPr>
          <w:p w:rsidR="00000000" w:rsidDel="00000000" w:rsidP="00000000" w:rsidRDefault="00000000" w:rsidRPr="00000000" w14:paraId="00000033">
            <w:pPr>
              <w:spacing w:after="0" w:before="0" w:lineRule="auto"/>
              <w:rPr>
                <w:b w:val="1"/>
              </w:rPr>
            </w:pPr>
            <w:r w:rsidDel="00000000" w:rsidR="00000000" w:rsidRPr="00000000">
              <w:rPr>
                <w:b w:val="1"/>
                <w:rtl w:val="0"/>
              </w:rPr>
              <w:t xml:space="preserve">Mai 2012</w:t>
            </w:r>
          </w:p>
        </w:tc>
        <w:tc>
          <w:tcPr>
            <w:gridSpan w:val="2"/>
          </w:tcPr>
          <w:p w:rsidR="00000000" w:rsidDel="00000000" w:rsidP="00000000" w:rsidRDefault="00000000" w:rsidRPr="00000000" w14:paraId="00000035">
            <w:pPr>
              <w:spacing w:after="0" w:before="0" w:lineRule="auto"/>
              <w:rPr>
                <w:b w:val="1"/>
              </w:rPr>
            </w:pPr>
            <w:r w:rsidDel="00000000" w:rsidR="00000000" w:rsidRPr="00000000">
              <w:rPr>
                <w:b w:val="1"/>
                <w:rtl w:val="0"/>
              </w:rPr>
              <w:t xml:space="preserve">Septembre 2010</w:t>
            </w:r>
          </w:p>
        </w:tc>
      </w:tr>
      <w:tr>
        <w:trPr>
          <w:cantSplit w:val="0"/>
          <w:tblHeader w:val="0"/>
        </w:trPr>
        <w:tc>
          <w:tcPr/>
          <w:p w:rsidR="00000000" w:rsidDel="00000000" w:rsidP="00000000" w:rsidRDefault="00000000" w:rsidRPr="00000000" w14:paraId="00000037">
            <w:pPr>
              <w:spacing w:after="0" w:before="0" w:lineRule="auto"/>
              <w:rPr>
                <w:b w:val="1"/>
              </w:rPr>
            </w:pPr>
            <w:r w:rsidDel="00000000" w:rsidR="00000000" w:rsidRPr="00000000">
              <w:rPr>
                <w:b w:val="1"/>
                <w:rtl w:val="0"/>
              </w:rPr>
              <w:t xml:space="preserve">lecteur d'écran</w:t>
            </w:r>
          </w:p>
        </w:tc>
        <w:tc>
          <w:tcPr/>
          <w:p w:rsidR="00000000" w:rsidDel="00000000" w:rsidP="00000000" w:rsidRDefault="00000000" w:rsidRPr="00000000" w14:paraId="00000038">
            <w:pPr>
              <w:spacing w:after="0" w:before="0" w:lineRule="auto"/>
              <w:rPr>
                <w:b w:val="1"/>
              </w:rPr>
            </w:pPr>
            <w:r w:rsidDel="00000000" w:rsidR="00000000" w:rsidRPr="00000000">
              <w:rPr>
                <w:b w:val="1"/>
                <w:rtl w:val="0"/>
              </w:rPr>
              <w:t xml:space="preserve">Réponses</w:t>
            </w:r>
          </w:p>
        </w:tc>
        <w:tc>
          <w:tcPr/>
          <w:p w:rsidR="00000000" w:rsidDel="00000000" w:rsidP="00000000" w:rsidRDefault="00000000" w:rsidRPr="00000000" w14:paraId="00000039">
            <w:pPr>
              <w:spacing w:after="0" w:before="0" w:lineRule="auto"/>
              <w:rPr>
                <w:b w:val="1"/>
              </w:rPr>
            </w:pPr>
            <w:r w:rsidDel="00000000" w:rsidR="00000000" w:rsidRPr="00000000">
              <w:rPr>
                <w:b w:val="1"/>
                <w:rtl w:val="0"/>
              </w:rPr>
              <w:t xml:space="preserve">Partager</w:t>
            </w:r>
          </w:p>
        </w:tc>
        <w:tc>
          <w:tcPr/>
          <w:p w:rsidR="00000000" w:rsidDel="00000000" w:rsidP="00000000" w:rsidRDefault="00000000" w:rsidRPr="00000000" w14:paraId="0000003A">
            <w:pPr>
              <w:spacing w:after="0" w:before="0" w:lineRule="auto"/>
              <w:rPr>
                <w:b w:val="1"/>
              </w:rPr>
            </w:pPr>
            <w:r w:rsidDel="00000000" w:rsidR="00000000" w:rsidRPr="00000000">
              <w:rPr>
                <w:b w:val="1"/>
                <w:rtl w:val="0"/>
              </w:rPr>
              <w:t xml:space="preserve">Réponses</w:t>
            </w:r>
          </w:p>
        </w:tc>
        <w:tc>
          <w:tcPr/>
          <w:p w:rsidR="00000000" w:rsidDel="00000000" w:rsidP="00000000" w:rsidRDefault="00000000" w:rsidRPr="00000000" w14:paraId="0000003B">
            <w:pPr>
              <w:spacing w:after="0" w:before="0" w:lineRule="auto"/>
              <w:rPr>
                <w:b w:val="1"/>
              </w:rPr>
            </w:pPr>
            <w:r w:rsidDel="00000000" w:rsidR="00000000" w:rsidRPr="00000000">
              <w:rPr>
                <w:b w:val="1"/>
                <w:rtl w:val="0"/>
              </w:rPr>
              <w:t xml:space="preserve">Partager </w:t>
            </w:r>
          </w:p>
        </w:tc>
      </w:tr>
      <w:tr>
        <w:trPr>
          <w:cantSplit w:val="0"/>
          <w:tblHeader w:val="0"/>
        </w:trPr>
        <w:tc>
          <w:tcPr/>
          <w:p w:rsidR="00000000" w:rsidDel="00000000" w:rsidP="00000000" w:rsidRDefault="00000000" w:rsidRPr="00000000" w14:paraId="0000003C">
            <w:pPr>
              <w:spacing w:after="0" w:before="0" w:lineRule="auto"/>
              <w:rPr/>
            </w:pPr>
            <w:r w:rsidDel="00000000" w:rsidR="00000000" w:rsidRPr="00000000">
              <w:rPr>
                <w:rtl w:val="0"/>
              </w:rPr>
              <w:t xml:space="preserve">MÂCHOIRES</w:t>
            </w:r>
          </w:p>
        </w:tc>
        <w:tc>
          <w:tcPr/>
          <w:p w:rsidR="00000000" w:rsidDel="00000000" w:rsidP="00000000" w:rsidRDefault="00000000" w:rsidRPr="00000000" w14:paraId="0000003D">
            <w:pPr>
              <w:spacing w:after="0" w:before="0" w:lineRule="auto"/>
              <w:rPr/>
            </w:pPr>
            <w:r w:rsidDel="00000000" w:rsidR="00000000" w:rsidRPr="00000000">
              <w:rPr>
                <w:rtl w:val="0"/>
              </w:rPr>
              <w:t xml:space="preserve">853</w:t>
            </w:r>
          </w:p>
        </w:tc>
        <w:tc>
          <w:tcPr>
            <w:tcBorders>
              <w:bottom w:color="ff0000" w:space="0" w:sz="4" w:val="single"/>
            </w:tcBorders>
          </w:tcPr>
          <w:p w:rsidR="00000000" w:rsidDel="00000000" w:rsidP="00000000" w:rsidRDefault="00000000" w:rsidRPr="00000000" w14:paraId="0000003E">
            <w:pPr>
              <w:spacing w:after="0" w:before="0" w:lineRule="auto"/>
              <w:rPr/>
            </w:pPr>
            <w:r w:rsidDel="00000000" w:rsidR="00000000" w:rsidRPr="00000000">
              <w:rPr>
                <w:rtl w:val="0"/>
              </w:rPr>
              <w:t xml:space="preserve">49%</w:t>
            </w:r>
          </w:p>
        </w:tc>
        <w:tc>
          <w:tcPr/>
          <w:p w:rsidR="00000000" w:rsidDel="00000000" w:rsidP="00000000" w:rsidRDefault="00000000" w:rsidRPr="00000000" w14:paraId="0000003F">
            <w:pPr>
              <w:spacing w:after="0" w:before="0" w:lineRule="auto"/>
              <w:rPr/>
            </w:pPr>
            <w:r w:rsidDel="00000000" w:rsidR="00000000" w:rsidRPr="00000000">
              <w:rPr>
                <w:rtl w:val="0"/>
              </w:rPr>
              <w:t xml:space="preserve">727</w:t>
            </w:r>
          </w:p>
        </w:tc>
        <w:tc>
          <w:tcPr/>
          <w:p w:rsidR="00000000" w:rsidDel="00000000" w:rsidP="00000000" w:rsidRDefault="00000000" w:rsidRPr="00000000" w14:paraId="00000040">
            <w:pPr>
              <w:spacing w:after="0" w:before="0" w:lineRule="auto"/>
              <w:rPr/>
            </w:pPr>
            <w:r w:rsidDel="00000000" w:rsidR="00000000" w:rsidRPr="00000000">
              <w:rPr>
                <w:rtl w:val="0"/>
              </w:rPr>
              <w:t xml:space="preserve">59%</w:t>
            </w:r>
          </w:p>
        </w:tc>
      </w:tr>
      <w:tr>
        <w:trPr>
          <w:cantSplit w:val="0"/>
          <w:tblHeader w:val="0"/>
        </w:trPr>
        <w:tc>
          <w:tcPr/>
          <w:p w:rsidR="00000000" w:rsidDel="00000000" w:rsidP="00000000" w:rsidRDefault="00000000" w:rsidRPr="00000000" w14:paraId="00000041">
            <w:pPr>
              <w:spacing w:after="0" w:before="0" w:lineRule="auto"/>
              <w:rPr/>
            </w:pPr>
            <w:r w:rsidDel="00000000" w:rsidR="00000000" w:rsidRPr="00000000">
              <w:rPr>
                <w:rtl w:val="0"/>
              </w:rPr>
              <w:t xml:space="preserve">NVDA</w:t>
            </w:r>
          </w:p>
        </w:tc>
        <w:tc>
          <w:tcPr>
            <w:tcBorders>
              <w:right w:color="ff0000" w:space="0" w:sz="4" w:val="single"/>
            </w:tcBorders>
          </w:tcPr>
          <w:p w:rsidR="00000000" w:rsidDel="00000000" w:rsidP="00000000" w:rsidRDefault="00000000" w:rsidRPr="00000000" w14:paraId="00000042">
            <w:pPr>
              <w:spacing w:after="0" w:before="0" w:lineRule="auto"/>
              <w:rPr/>
            </w:pPr>
            <w:r w:rsidDel="00000000" w:rsidR="00000000" w:rsidRPr="00000000">
              <w:rPr>
                <w:rtl w:val="0"/>
              </w:rPr>
              <w:t xml:space="preserve">238</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043">
            <w:pPr>
              <w:spacing w:after="0" w:before="0" w:lineRule="auto"/>
              <w:rPr/>
            </w:pPr>
            <w:r w:rsidDel="00000000" w:rsidR="00000000" w:rsidRPr="00000000">
              <w:rPr>
                <w:rtl w:val="0"/>
              </w:rPr>
              <w:t xml:space="preserve">14%</w:t>
            </w:r>
          </w:p>
        </w:tc>
        <w:tc>
          <w:tcPr>
            <w:tcBorders>
              <w:left w:color="ff0000" w:space="0" w:sz="4" w:val="single"/>
            </w:tcBorders>
          </w:tcPr>
          <w:p w:rsidR="00000000" w:rsidDel="00000000" w:rsidP="00000000" w:rsidRDefault="00000000" w:rsidRPr="00000000" w14:paraId="00000044">
            <w:pPr>
              <w:spacing w:after="0" w:before="0" w:lineRule="auto"/>
              <w:rPr/>
            </w:pPr>
            <w:r w:rsidDel="00000000" w:rsidR="00000000" w:rsidRPr="00000000">
              <w:rPr>
                <w:rtl w:val="0"/>
              </w:rPr>
              <w:t xml:space="preserve">105</w:t>
            </w:r>
          </w:p>
        </w:tc>
        <w:tc>
          <w:tcPr/>
          <w:p w:rsidR="00000000" w:rsidDel="00000000" w:rsidP="00000000" w:rsidRDefault="00000000" w:rsidRPr="00000000" w14:paraId="00000045">
            <w:pPr>
              <w:spacing w:after="0" w:before="0" w:lineRule="auto"/>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46">
            <w:pPr>
              <w:spacing w:after="0" w:before="0" w:lineRule="auto"/>
              <w:rPr/>
            </w:pPr>
            <w:r w:rsidDel="00000000" w:rsidR="00000000" w:rsidRPr="00000000">
              <w:rPr>
                <w:rtl w:val="0"/>
              </w:rPr>
              <w:t xml:space="preserve">Fenêtre-Yeux</w:t>
            </w:r>
          </w:p>
        </w:tc>
        <w:tc>
          <w:tcPr/>
          <w:p w:rsidR="00000000" w:rsidDel="00000000" w:rsidP="00000000" w:rsidRDefault="00000000" w:rsidRPr="00000000" w14:paraId="00000047">
            <w:pPr>
              <w:spacing w:after="0" w:before="0" w:lineRule="auto"/>
              <w:rPr/>
            </w:pPr>
            <w:r w:rsidDel="00000000" w:rsidR="00000000" w:rsidRPr="00000000">
              <w:rPr>
                <w:rtl w:val="0"/>
              </w:rPr>
              <w:t xml:space="preserve">214</w:t>
            </w:r>
          </w:p>
        </w:tc>
        <w:tc>
          <w:tcPr>
            <w:tcBorders>
              <w:top w:color="ff0000" w:space="0" w:sz="4" w:val="single"/>
            </w:tcBorders>
          </w:tcPr>
          <w:p w:rsidR="00000000" w:rsidDel="00000000" w:rsidP="00000000" w:rsidRDefault="00000000" w:rsidRPr="00000000" w14:paraId="00000048">
            <w:pPr>
              <w:spacing w:after="0" w:before="0" w:lineRule="auto"/>
              <w:rPr/>
            </w:pPr>
            <w:r w:rsidDel="00000000" w:rsidR="00000000" w:rsidRPr="00000000">
              <w:rPr>
                <w:rtl w:val="0"/>
              </w:rPr>
              <w:t xml:space="preserve">12%</w:t>
            </w:r>
          </w:p>
        </w:tc>
        <w:tc>
          <w:tcPr/>
          <w:p w:rsidR="00000000" w:rsidDel="00000000" w:rsidP="00000000" w:rsidRDefault="00000000" w:rsidRPr="00000000" w14:paraId="00000049">
            <w:pPr>
              <w:spacing w:after="0" w:before="0" w:lineRule="auto"/>
              <w:rPr/>
            </w:pPr>
            <w:r w:rsidDel="00000000" w:rsidR="00000000" w:rsidRPr="00000000">
              <w:rPr>
                <w:rtl w:val="0"/>
              </w:rPr>
              <w:t xml:space="preserve">138</w:t>
            </w:r>
          </w:p>
        </w:tc>
        <w:tc>
          <w:tcPr/>
          <w:p w:rsidR="00000000" w:rsidDel="00000000" w:rsidP="00000000" w:rsidRDefault="00000000" w:rsidRPr="00000000" w14:paraId="0000004A">
            <w:pPr>
              <w:spacing w:after="0" w:before="0" w:lineRule="auto"/>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4B">
            <w:pPr>
              <w:spacing w:after="0" w:before="0" w:lineRule="auto"/>
              <w:rPr/>
            </w:pPr>
            <w:r w:rsidDel="00000000" w:rsidR="00000000" w:rsidRPr="00000000">
              <w:rPr>
                <w:rtl w:val="0"/>
              </w:rPr>
              <w:t xml:space="preserve">Accès au système</w:t>
            </w:r>
          </w:p>
        </w:tc>
        <w:tc>
          <w:tcPr/>
          <w:p w:rsidR="00000000" w:rsidDel="00000000" w:rsidP="00000000" w:rsidRDefault="00000000" w:rsidRPr="00000000" w14:paraId="0000004C">
            <w:pPr>
              <w:spacing w:after="0" w:before="0" w:lineRule="auto"/>
              <w:rPr/>
            </w:pPr>
            <w:r w:rsidDel="00000000" w:rsidR="00000000" w:rsidRPr="00000000">
              <w:rPr>
                <w:rtl w:val="0"/>
              </w:rPr>
              <w:t xml:space="preserve">181</w:t>
            </w:r>
          </w:p>
        </w:tc>
        <w:tc>
          <w:tcPr/>
          <w:p w:rsidR="00000000" w:rsidDel="00000000" w:rsidP="00000000" w:rsidRDefault="00000000" w:rsidRPr="00000000" w14:paraId="0000004D">
            <w:pPr>
              <w:spacing w:after="0" w:before="0" w:lineRule="auto"/>
              <w:rPr/>
            </w:pPr>
            <w:r w:rsidDel="00000000" w:rsidR="00000000" w:rsidRPr="00000000">
              <w:rPr>
                <w:rtl w:val="0"/>
              </w:rPr>
              <w:t xml:space="preserve">10%</w:t>
            </w:r>
          </w:p>
        </w:tc>
        <w:tc>
          <w:tcPr/>
          <w:p w:rsidR="00000000" w:rsidDel="00000000" w:rsidP="00000000" w:rsidRDefault="00000000" w:rsidRPr="00000000" w14:paraId="0000004E">
            <w:pPr>
              <w:spacing w:after="0" w:before="0" w:lineRule="auto"/>
              <w:rPr/>
            </w:pPr>
            <w:r w:rsidDel="00000000" w:rsidR="00000000" w:rsidRPr="00000000">
              <w:rPr>
                <w:rtl w:val="0"/>
              </w:rPr>
              <w:t xml:space="preserve">58</w:t>
            </w:r>
          </w:p>
        </w:tc>
        <w:tc>
          <w:tcPr/>
          <w:p w:rsidR="00000000" w:rsidDel="00000000" w:rsidP="00000000" w:rsidRDefault="00000000" w:rsidRPr="00000000" w14:paraId="0000004F">
            <w:pPr>
              <w:spacing w:after="0" w:before="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50">
            <w:pPr>
              <w:spacing w:after="0" w:before="0" w:lineRule="auto"/>
              <w:rPr/>
            </w:pPr>
            <w:r w:rsidDel="00000000" w:rsidR="00000000" w:rsidRPr="00000000">
              <w:rPr>
                <w:rtl w:val="0"/>
              </w:rPr>
              <w:t xml:space="preserve">Voix off</w:t>
            </w:r>
          </w:p>
        </w:tc>
        <w:tc>
          <w:tcPr/>
          <w:p w:rsidR="00000000" w:rsidDel="00000000" w:rsidP="00000000" w:rsidRDefault="00000000" w:rsidRPr="00000000" w14:paraId="00000051">
            <w:pPr>
              <w:spacing w:after="0" w:before="0" w:lineRule="auto"/>
              <w:rPr/>
            </w:pPr>
            <w:r w:rsidDel="00000000" w:rsidR="00000000" w:rsidRPr="00000000">
              <w:rPr>
                <w:rtl w:val="0"/>
              </w:rPr>
              <w:t xml:space="preserve">159</w:t>
            </w:r>
          </w:p>
        </w:tc>
        <w:tc>
          <w:tcPr/>
          <w:p w:rsidR="00000000" w:rsidDel="00000000" w:rsidP="00000000" w:rsidRDefault="00000000" w:rsidRPr="00000000" w14:paraId="00000052">
            <w:pPr>
              <w:spacing w:after="0" w:before="0" w:lineRule="auto"/>
              <w:rPr/>
            </w:pPr>
            <w:r w:rsidDel="00000000" w:rsidR="00000000" w:rsidRPr="00000000">
              <w:rPr>
                <w:rtl w:val="0"/>
              </w:rPr>
              <w:t xml:space="preserve">9%</w:t>
            </w:r>
          </w:p>
        </w:tc>
        <w:tc>
          <w:tcPr/>
          <w:p w:rsidR="00000000" w:rsidDel="00000000" w:rsidP="00000000" w:rsidRDefault="00000000" w:rsidRPr="00000000" w14:paraId="00000053">
            <w:pPr>
              <w:spacing w:after="0" w:before="0" w:lineRule="auto"/>
              <w:rPr/>
            </w:pPr>
            <w:r w:rsidDel="00000000" w:rsidR="00000000" w:rsidRPr="00000000">
              <w:rPr>
                <w:rtl w:val="0"/>
              </w:rPr>
              <w:t xml:space="preserve">120</w:t>
            </w:r>
          </w:p>
        </w:tc>
        <w:tc>
          <w:tcPr/>
          <w:p w:rsidR="00000000" w:rsidDel="00000000" w:rsidP="00000000" w:rsidRDefault="00000000" w:rsidRPr="00000000" w14:paraId="00000054">
            <w:pPr>
              <w:spacing w:after="0" w:before="0" w:lineRule="auto"/>
              <w:rPr/>
            </w:pPr>
            <w:r w:rsidDel="00000000" w:rsidR="00000000" w:rsidRPr="00000000">
              <w:rPr>
                <w:rtl w:val="0"/>
              </w:rPr>
              <w:t xml:space="preserve">10%</w:t>
            </w:r>
          </w:p>
        </w:tc>
      </w:tr>
    </w:tbl>
    <w:p w:rsidR="00000000" w:rsidDel="00000000" w:rsidP="00000000" w:rsidRDefault="00000000" w:rsidRPr="00000000" w14:paraId="00000055">
      <w:pPr>
        <w:spacing w:after="0" w:before="0" w:line="120" w:lineRule="auto"/>
        <w:rPr/>
      </w:pPr>
      <w:r w:rsidDel="00000000" w:rsidR="00000000" w:rsidRPr="00000000">
        <w:rPr>
          <w:rtl w:val="0"/>
        </w:rPr>
        <w:t xml:space="preserve"> </w:t>
      </w:r>
    </w:p>
    <w:p w:rsidR="00000000" w:rsidDel="00000000" w:rsidP="00000000" w:rsidRDefault="00000000" w:rsidRPr="00000000" w14:paraId="00000056">
      <w:pPr>
        <w:pStyle w:val="Heading2"/>
        <w:rPr/>
      </w:pPr>
      <w:r w:rsidDel="00000000" w:rsidR="00000000" w:rsidRPr="00000000">
        <w:rPr>
          <w:rtl w:val="0"/>
        </w:rPr>
      </w:r>
    </w:p>
    <w:p w:rsidR="00000000" w:rsidDel="00000000" w:rsidP="00000000" w:rsidRDefault="00000000" w:rsidRPr="00000000" w14:paraId="00000057">
      <w:pPr>
        <w:pStyle w:val="Heading3"/>
        <w:rPr/>
      </w:pPr>
      <w:bookmarkStart w:colFirst="0" w:colLast="0" w:name="_d53yig6auggv" w:id="2"/>
      <w:bookmarkEnd w:id="2"/>
      <w:r w:rsidDel="00000000" w:rsidR="00000000" w:rsidRPr="00000000">
        <w:rPr>
          <w:rtl w:val="0"/>
        </w:rPr>
        <w:t xml:space="preserve">Tables complexes 2</w:t>
      </w:r>
    </w:p>
    <w:p w:rsidR="00000000" w:rsidDel="00000000" w:rsidP="00000000" w:rsidRDefault="00000000" w:rsidRPr="00000000" w14:paraId="00000058">
      <w:pPr>
        <w:rPr/>
      </w:pPr>
      <w:r w:rsidDel="00000000" w:rsidR="00000000" w:rsidRPr="00000000">
        <w:rPr>
          <w:rtl w:val="0"/>
        </w:rPr>
        <w:t xml:space="preserve">Le tableau suivant est complexe, utilisant des cellules fusionnées comme en-têtes pour les sections. Il n'est pas accessible dans tous les types de documents :</w:t>
      </w:r>
    </w:p>
    <w:tbl>
      <w:tblPr>
        <w:tblStyle w:val="Table3"/>
        <w:tblW w:w="9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915"/>
        <w:gridCol w:w="1915"/>
        <w:gridCol w:w="1915"/>
        <w:gridCol w:w="1916"/>
        <w:tblGridChange w:id="0">
          <w:tblGrid>
            <w:gridCol w:w="1800"/>
            <w:gridCol w:w="1915"/>
            <w:gridCol w:w="1915"/>
            <w:gridCol w:w="1915"/>
            <w:gridCol w:w="1916"/>
          </w:tblGrid>
        </w:tblGridChange>
      </w:tblGrid>
      <w:tr>
        <w:trPr>
          <w:cantSplit w:val="0"/>
          <w:tblHeader w:val="0"/>
        </w:trPr>
        <w:tc>
          <w:tcPr/>
          <w:p w:rsidR="00000000" w:rsidDel="00000000" w:rsidP="00000000" w:rsidRDefault="00000000" w:rsidRPr="00000000" w14:paraId="00000059">
            <w:pPr>
              <w:spacing w:before="0" w:lineRule="auto"/>
              <w:rPr>
                <w:b w:val="1"/>
              </w:rPr>
            </w:pPr>
            <w:r w:rsidDel="00000000" w:rsidR="00000000" w:rsidRPr="00000000">
              <w:rPr>
                <w:rtl w:val="0"/>
              </w:rPr>
            </w:r>
          </w:p>
        </w:tc>
        <w:tc>
          <w:tcPr>
            <w:gridSpan w:val="2"/>
          </w:tcPr>
          <w:p w:rsidR="00000000" w:rsidDel="00000000" w:rsidP="00000000" w:rsidRDefault="00000000" w:rsidRPr="00000000" w14:paraId="0000005A">
            <w:pPr>
              <w:spacing w:before="0" w:lineRule="auto"/>
              <w:rPr>
                <w:b w:val="1"/>
              </w:rPr>
            </w:pPr>
            <w:r w:rsidDel="00000000" w:rsidR="00000000" w:rsidRPr="00000000">
              <w:rPr>
                <w:b w:val="1"/>
                <w:rtl w:val="0"/>
              </w:rPr>
              <w:t xml:space="preserve">Mai 2012</w:t>
            </w:r>
          </w:p>
        </w:tc>
        <w:tc>
          <w:tcPr>
            <w:gridSpan w:val="2"/>
          </w:tcPr>
          <w:p w:rsidR="00000000" w:rsidDel="00000000" w:rsidP="00000000" w:rsidRDefault="00000000" w:rsidRPr="00000000" w14:paraId="0000005C">
            <w:pPr>
              <w:spacing w:before="0" w:lineRule="auto"/>
              <w:rPr>
                <w:b w:val="1"/>
              </w:rPr>
            </w:pPr>
            <w:r w:rsidDel="00000000" w:rsidR="00000000" w:rsidRPr="00000000">
              <w:rPr>
                <w:b w:val="1"/>
                <w:rtl w:val="0"/>
              </w:rPr>
              <w:t xml:space="preserve">Septembre 2010</w:t>
            </w:r>
          </w:p>
        </w:tc>
      </w:tr>
      <w:tr>
        <w:trPr>
          <w:cantSplit w:val="0"/>
          <w:trHeight w:val="336" w:hRule="atLeast"/>
          <w:tblHeader w:val="0"/>
        </w:trPr>
        <w:tc>
          <w:tcPr>
            <w:vMerge w:val="restart"/>
          </w:tcPr>
          <w:p w:rsidR="00000000" w:rsidDel="00000000" w:rsidP="00000000" w:rsidRDefault="00000000" w:rsidRPr="00000000" w14:paraId="0000005E">
            <w:pPr>
              <w:spacing w:before="0" w:lineRule="auto"/>
              <w:rPr>
                <w:b w:val="1"/>
              </w:rPr>
            </w:pPr>
            <w:r w:rsidDel="00000000" w:rsidR="00000000" w:rsidRPr="00000000">
              <w:rPr>
                <w:b w:val="1"/>
                <w:rtl w:val="0"/>
              </w:rPr>
              <w:t xml:space="preserve">lecteur d'écran</w:t>
            </w:r>
          </w:p>
          <w:p w:rsidR="00000000" w:rsidDel="00000000" w:rsidP="00000000" w:rsidRDefault="00000000" w:rsidRPr="00000000" w14:paraId="0000005F">
            <w:pPr>
              <w:spacing w:before="0" w:lineRule="auto"/>
              <w:rPr/>
            </w:pPr>
            <w:r w:rsidDel="00000000" w:rsidR="00000000" w:rsidRPr="00000000">
              <w:rPr>
                <w:rtl w:val="0"/>
              </w:rPr>
              <w:t xml:space="preserve">MÂCHOIRES</w:t>
            </w:r>
          </w:p>
        </w:tc>
        <w:tc>
          <w:tcPr/>
          <w:p w:rsidR="00000000" w:rsidDel="00000000" w:rsidP="00000000" w:rsidRDefault="00000000" w:rsidRPr="00000000" w14:paraId="00000060">
            <w:pPr>
              <w:spacing w:before="0" w:lineRule="auto"/>
              <w:rPr>
                <w:b w:val="1"/>
              </w:rPr>
            </w:pPr>
            <w:r w:rsidDel="00000000" w:rsidR="00000000" w:rsidRPr="00000000">
              <w:rPr>
                <w:b w:val="1"/>
                <w:rtl w:val="0"/>
              </w:rPr>
              <w:t xml:space="preserve">Réponses</w:t>
            </w:r>
          </w:p>
        </w:tc>
        <w:tc>
          <w:tcPr/>
          <w:p w:rsidR="00000000" w:rsidDel="00000000" w:rsidP="00000000" w:rsidRDefault="00000000" w:rsidRPr="00000000" w14:paraId="00000061">
            <w:pPr>
              <w:spacing w:before="0" w:lineRule="auto"/>
              <w:rPr>
                <w:b w:val="1"/>
              </w:rPr>
            </w:pPr>
            <w:r w:rsidDel="00000000" w:rsidR="00000000" w:rsidRPr="00000000">
              <w:rPr>
                <w:b w:val="1"/>
                <w:rtl w:val="0"/>
              </w:rPr>
              <w:t xml:space="preserve">Partager</w:t>
            </w:r>
          </w:p>
        </w:tc>
        <w:tc>
          <w:tcPr/>
          <w:p w:rsidR="00000000" w:rsidDel="00000000" w:rsidP="00000000" w:rsidRDefault="00000000" w:rsidRPr="00000000" w14:paraId="00000062">
            <w:pPr>
              <w:spacing w:before="0" w:lineRule="auto"/>
              <w:rPr>
                <w:b w:val="1"/>
              </w:rPr>
            </w:pPr>
            <w:r w:rsidDel="00000000" w:rsidR="00000000" w:rsidRPr="00000000">
              <w:rPr>
                <w:b w:val="1"/>
                <w:rtl w:val="0"/>
              </w:rPr>
              <w:t xml:space="preserve">Réponses</w:t>
            </w:r>
          </w:p>
        </w:tc>
        <w:tc>
          <w:tcPr/>
          <w:p w:rsidR="00000000" w:rsidDel="00000000" w:rsidP="00000000" w:rsidRDefault="00000000" w:rsidRPr="00000000" w14:paraId="00000063">
            <w:pPr>
              <w:spacing w:before="0" w:lineRule="auto"/>
              <w:rPr>
                <w:b w:val="1"/>
              </w:rPr>
            </w:pPr>
            <w:r w:rsidDel="00000000" w:rsidR="00000000" w:rsidRPr="00000000">
              <w:rPr>
                <w:b w:val="1"/>
                <w:rtl w:val="0"/>
              </w:rPr>
              <w:t xml:space="preserve">Partager </w:t>
            </w:r>
          </w:p>
        </w:tc>
      </w:tr>
      <w:tr>
        <w:trPr>
          <w:cantSplit w:val="0"/>
          <w:trHeight w:val="336" w:hRule="atLeast"/>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065">
            <w:pPr>
              <w:spacing w:before="0" w:lineRule="auto"/>
              <w:rPr/>
            </w:pPr>
            <w:r w:rsidDel="00000000" w:rsidR="00000000" w:rsidRPr="00000000">
              <w:rPr>
                <w:rtl w:val="0"/>
              </w:rPr>
              <w:t xml:space="preserve">853</w:t>
            </w:r>
          </w:p>
        </w:tc>
        <w:tc>
          <w:tcPr/>
          <w:p w:rsidR="00000000" w:rsidDel="00000000" w:rsidP="00000000" w:rsidRDefault="00000000" w:rsidRPr="00000000" w14:paraId="00000066">
            <w:pPr>
              <w:spacing w:before="0" w:lineRule="auto"/>
              <w:rPr/>
            </w:pPr>
            <w:r w:rsidDel="00000000" w:rsidR="00000000" w:rsidRPr="00000000">
              <w:rPr>
                <w:rtl w:val="0"/>
              </w:rPr>
              <w:t xml:space="preserve">49%</w:t>
            </w:r>
          </w:p>
        </w:tc>
        <w:tc>
          <w:tcPr/>
          <w:p w:rsidR="00000000" w:rsidDel="00000000" w:rsidP="00000000" w:rsidRDefault="00000000" w:rsidRPr="00000000" w14:paraId="00000067">
            <w:pPr>
              <w:spacing w:before="0" w:lineRule="auto"/>
              <w:rPr/>
            </w:pPr>
            <w:r w:rsidDel="00000000" w:rsidR="00000000" w:rsidRPr="00000000">
              <w:rPr>
                <w:rtl w:val="0"/>
              </w:rPr>
              <w:t xml:space="preserve">727</w:t>
            </w:r>
          </w:p>
        </w:tc>
        <w:tc>
          <w:tcPr/>
          <w:p w:rsidR="00000000" w:rsidDel="00000000" w:rsidP="00000000" w:rsidRDefault="00000000" w:rsidRPr="00000000" w14:paraId="00000068">
            <w:pPr>
              <w:spacing w:before="0" w:lineRule="auto"/>
              <w:rPr/>
            </w:pPr>
            <w:r w:rsidDel="00000000" w:rsidR="00000000" w:rsidRPr="00000000">
              <w:rPr>
                <w:rtl w:val="0"/>
              </w:rPr>
              <w:t xml:space="preserve">59%</w:t>
            </w:r>
          </w:p>
        </w:tc>
      </w:tr>
      <w:tr>
        <w:trPr>
          <w:cantSplit w:val="0"/>
          <w:tblHeader w:val="0"/>
        </w:trPr>
        <w:tc>
          <w:tcPr/>
          <w:p w:rsidR="00000000" w:rsidDel="00000000" w:rsidP="00000000" w:rsidRDefault="00000000" w:rsidRPr="00000000" w14:paraId="00000069">
            <w:pPr>
              <w:spacing w:before="0" w:lineRule="auto"/>
              <w:rPr/>
            </w:pPr>
            <w:r w:rsidDel="00000000" w:rsidR="00000000" w:rsidRPr="00000000">
              <w:rPr>
                <w:rtl w:val="0"/>
              </w:rPr>
              <w:t xml:space="preserve">NVDA</w:t>
            </w:r>
          </w:p>
        </w:tc>
        <w:tc>
          <w:tcPr/>
          <w:p w:rsidR="00000000" w:rsidDel="00000000" w:rsidP="00000000" w:rsidRDefault="00000000" w:rsidRPr="00000000" w14:paraId="0000006A">
            <w:pPr>
              <w:spacing w:before="0" w:lineRule="auto"/>
              <w:rPr/>
            </w:pPr>
            <w:r w:rsidDel="00000000" w:rsidR="00000000" w:rsidRPr="00000000">
              <w:rPr>
                <w:rtl w:val="0"/>
              </w:rPr>
              <w:t xml:space="preserve">238</w:t>
            </w:r>
          </w:p>
        </w:tc>
        <w:tc>
          <w:tcPr/>
          <w:p w:rsidR="00000000" w:rsidDel="00000000" w:rsidP="00000000" w:rsidRDefault="00000000" w:rsidRPr="00000000" w14:paraId="0000006B">
            <w:pPr>
              <w:spacing w:before="0" w:lineRule="auto"/>
              <w:rPr/>
            </w:pPr>
            <w:r w:rsidDel="00000000" w:rsidR="00000000" w:rsidRPr="00000000">
              <w:rPr>
                <w:rtl w:val="0"/>
              </w:rPr>
              <w:t xml:space="preserve">14%</w:t>
            </w:r>
          </w:p>
        </w:tc>
        <w:tc>
          <w:tcPr/>
          <w:p w:rsidR="00000000" w:rsidDel="00000000" w:rsidP="00000000" w:rsidRDefault="00000000" w:rsidRPr="00000000" w14:paraId="0000006C">
            <w:pPr>
              <w:spacing w:before="0" w:lineRule="auto"/>
              <w:rPr/>
            </w:pPr>
            <w:r w:rsidDel="00000000" w:rsidR="00000000" w:rsidRPr="00000000">
              <w:rPr>
                <w:rtl w:val="0"/>
              </w:rPr>
              <w:t xml:space="preserve">105</w:t>
            </w:r>
          </w:p>
        </w:tc>
        <w:tc>
          <w:tcPr/>
          <w:p w:rsidR="00000000" w:rsidDel="00000000" w:rsidP="00000000" w:rsidRDefault="00000000" w:rsidRPr="00000000" w14:paraId="0000006D">
            <w:pPr>
              <w:spacing w:before="0" w:lineRule="auto"/>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6E">
            <w:pPr>
              <w:spacing w:before="0" w:lineRule="auto"/>
              <w:rPr/>
            </w:pPr>
            <w:r w:rsidDel="00000000" w:rsidR="00000000" w:rsidRPr="00000000">
              <w:rPr>
                <w:rtl w:val="0"/>
              </w:rPr>
              <w:t xml:space="preserve">Fenêtre-Yeux</w:t>
            </w:r>
          </w:p>
        </w:tc>
        <w:tc>
          <w:tcPr/>
          <w:p w:rsidR="00000000" w:rsidDel="00000000" w:rsidP="00000000" w:rsidRDefault="00000000" w:rsidRPr="00000000" w14:paraId="0000006F">
            <w:pPr>
              <w:spacing w:before="0" w:lineRule="auto"/>
              <w:rPr/>
            </w:pPr>
            <w:r w:rsidDel="00000000" w:rsidR="00000000" w:rsidRPr="00000000">
              <w:rPr>
                <w:rtl w:val="0"/>
              </w:rPr>
              <w:t xml:space="preserve">214</w:t>
            </w:r>
          </w:p>
        </w:tc>
        <w:tc>
          <w:tcPr/>
          <w:p w:rsidR="00000000" w:rsidDel="00000000" w:rsidP="00000000" w:rsidRDefault="00000000" w:rsidRPr="00000000" w14:paraId="00000070">
            <w:pPr>
              <w:spacing w:before="0" w:lineRule="auto"/>
              <w:rPr/>
            </w:pPr>
            <w:r w:rsidDel="00000000" w:rsidR="00000000" w:rsidRPr="00000000">
              <w:rPr>
                <w:rtl w:val="0"/>
              </w:rPr>
              <w:t xml:space="preserve">12%</w:t>
            </w:r>
          </w:p>
        </w:tc>
        <w:tc>
          <w:tcPr/>
          <w:p w:rsidR="00000000" w:rsidDel="00000000" w:rsidP="00000000" w:rsidRDefault="00000000" w:rsidRPr="00000000" w14:paraId="00000071">
            <w:pPr>
              <w:spacing w:before="0" w:lineRule="auto"/>
              <w:rPr/>
            </w:pPr>
            <w:r w:rsidDel="00000000" w:rsidR="00000000" w:rsidRPr="00000000">
              <w:rPr>
                <w:rtl w:val="0"/>
              </w:rPr>
              <w:t xml:space="preserve">138</w:t>
            </w:r>
          </w:p>
        </w:tc>
        <w:tc>
          <w:tcPr/>
          <w:p w:rsidR="00000000" w:rsidDel="00000000" w:rsidP="00000000" w:rsidRDefault="00000000" w:rsidRPr="00000000" w14:paraId="00000072">
            <w:pPr>
              <w:spacing w:before="0" w:lineRule="auto"/>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73">
            <w:pPr>
              <w:spacing w:before="0" w:lineRule="auto"/>
              <w:rPr/>
            </w:pPr>
            <w:r w:rsidDel="00000000" w:rsidR="00000000" w:rsidRPr="00000000">
              <w:rPr>
                <w:rtl w:val="0"/>
              </w:rPr>
              <w:t xml:space="preserve">Accès au système</w:t>
            </w:r>
          </w:p>
        </w:tc>
        <w:tc>
          <w:tcPr/>
          <w:p w:rsidR="00000000" w:rsidDel="00000000" w:rsidP="00000000" w:rsidRDefault="00000000" w:rsidRPr="00000000" w14:paraId="00000074">
            <w:pPr>
              <w:spacing w:before="0" w:lineRule="auto"/>
              <w:rPr/>
            </w:pPr>
            <w:r w:rsidDel="00000000" w:rsidR="00000000" w:rsidRPr="00000000">
              <w:rPr>
                <w:rtl w:val="0"/>
              </w:rPr>
              <w:t xml:space="preserve">181</w:t>
            </w:r>
          </w:p>
        </w:tc>
        <w:tc>
          <w:tcPr/>
          <w:p w:rsidR="00000000" w:rsidDel="00000000" w:rsidP="00000000" w:rsidRDefault="00000000" w:rsidRPr="00000000" w14:paraId="00000075">
            <w:pPr>
              <w:spacing w:before="0" w:lineRule="auto"/>
              <w:rPr/>
            </w:pPr>
            <w:r w:rsidDel="00000000" w:rsidR="00000000" w:rsidRPr="00000000">
              <w:rPr>
                <w:rtl w:val="0"/>
              </w:rPr>
              <w:t xml:space="preserve">10%</w:t>
            </w:r>
          </w:p>
        </w:tc>
        <w:tc>
          <w:tcPr/>
          <w:p w:rsidR="00000000" w:rsidDel="00000000" w:rsidP="00000000" w:rsidRDefault="00000000" w:rsidRPr="00000000" w14:paraId="00000076">
            <w:pPr>
              <w:spacing w:before="0" w:lineRule="auto"/>
              <w:rPr/>
            </w:pPr>
            <w:r w:rsidDel="00000000" w:rsidR="00000000" w:rsidRPr="00000000">
              <w:rPr>
                <w:rtl w:val="0"/>
              </w:rPr>
              <w:t xml:space="preserve">58</w:t>
            </w:r>
          </w:p>
        </w:tc>
        <w:tc>
          <w:tcPr/>
          <w:p w:rsidR="00000000" w:rsidDel="00000000" w:rsidP="00000000" w:rsidRDefault="00000000" w:rsidRPr="00000000" w14:paraId="00000077">
            <w:pPr>
              <w:spacing w:before="0" w:lineRule="auto"/>
              <w:rPr/>
            </w:pPr>
            <w:r w:rsidDel="00000000" w:rsidR="00000000" w:rsidRPr="00000000">
              <w:rPr>
                <w:rtl w:val="0"/>
              </w:rPr>
              <w:t xml:space="preserve">5%</w:t>
            </w:r>
          </w:p>
        </w:tc>
      </w:tr>
      <w:tr>
        <w:trPr>
          <w:cantSplit w:val="0"/>
          <w:trHeight w:val="336" w:hRule="atLeast"/>
          <w:tblHeader w:val="0"/>
        </w:trPr>
        <w:tc>
          <w:tcPr>
            <w:vMerge w:val="restart"/>
          </w:tcPr>
          <w:p w:rsidR="00000000" w:rsidDel="00000000" w:rsidP="00000000" w:rsidRDefault="00000000" w:rsidRPr="00000000" w14:paraId="00000078">
            <w:pPr>
              <w:spacing w:before="0" w:lineRule="auto"/>
              <w:rPr/>
            </w:pPr>
            <w:r w:rsidDel="00000000" w:rsidR="00000000" w:rsidRPr="00000000">
              <w:rPr>
                <w:rtl w:val="0"/>
              </w:rPr>
              <w:t xml:space="preserve">Voix off</w:t>
            </w:r>
          </w:p>
        </w:tc>
        <w:tc>
          <w:tcPr>
            <w:vMerge w:val="restart"/>
          </w:tcPr>
          <w:p w:rsidR="00000000" w:rsidDel="00000000" w:rsidP="00000000" w:rsidRDefault="00000000" w:rsidRPr="00000000" w14:paraId="00000079">
            <w:pPr>
              <w:spacing w:before="0" w:lineRule="auto"/>
              <w:rPr/>
            </w:pPr>
            <w:r w:rsidDel="00000000" w:rsidR="00000000" w:rsidRPr="00000000">
              <w:rPr>
                <w:rtl w:val="0"/>
              </w:rPr>
              <w:t xml:space="preserve">159</w:t>
            </w:r>
          </w:p>
        </w:tc>
        <w:tc>
          <w:tcPr>
            <w:vMerge w:val="restart"/>
          </w:tcPr>
          <w:p w:rsidR="00000000" w:rsidDel="00000000" w:rsidP="00000000" w:rsidRDefault="00000000" w:rsidRPr="00000000" w14:paraId="0000007A">
            <w:pPr>
              <w:spacing w:before="0" w:lineRule="auto"/>
              <w:rPr/>
            </w:pPr>
            <w:r w:rsidDel="00000000" w:rsidR="00000000" w:rsidRPr="00000000">
              <w:rPr>
                <w:rtl w:val="0"/>
              </w:rPr>
              <w:t xml:space="preserve">9%</w:t>
            </w:r>
          </w:p>
        </w:tc>
        <w:tc>
          <w:tcPr>
            <w:vMerge w:val="restart"/>
          </w:tcPr>
          <w:p w:rsidR="00000000" w:rsidDel="00000000" w:rsidP="00000000" w:rsidRDefault="00000000" w:rsidRPr="00000000" w14:paraId="0000007B">
            <w:pPr>
              <w:spacing w:before="0" w:lineRule="auto"/>
              <w:rPr/>
            </w:pPr>
            <w:r w:rsidDel="00000000" w:rsidR="00000000" w:rsidRPr="00000000">
              <w:rPr>
                <w:rtl w:val="0"/>
              </w:rPr>
              <w:t xml:space="preserve">120</w:t>
            </w:r>
          </w:p>
        </w:tc>
        <w:tc>
          <w:tcPr>
            <w:vMerge w:val="restart"/>
          </w:tcPr>
          <w:p w:rsidR="00000000" w:rsidDel="00000000" w:rsidP="00000000" w:rsidRDefault="00000000" w:rsidRPr="00000000" w14:paraId="0000007C">
            <w:pPr>
              <w:spacing w:before="0" w:lineRule="auto"/>
              <w:jc w:val="center"/>
              <w:rPr/>
            </w:pPr>
            <w:r w:rsidDel="00000000" w:rsidR="00000000" w:rsidRPr="00000000">
              <w:rPr>
                <w:rtl w:val="0"/>
              </w:rPr>
              <w:t xml:space="preserve">10%</w:t>
            </w:r>
          </w:p>
        </w:tc>
      </w:tr>
      <w:tr>
        <w:trPr>
          <w:cantSplit w:val="0"/>
          <w:trHeight w:val="336" w:hRule="atLeast"/>
          <w:tblHeader w:val="0"/>
        </w:trPr>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2">
      <w:pPr>
        <w:spacing w:after="0" w:before="0" w:line="120" w:lineRule="auto"/>
        <w:rPr/>
      </w:pPr>
      <w:r w:rsidDel="00000000" w:rsidR="00000000" w:rsidRPr="00000000">
        <w:rPr>
          <w:rtl w:val="0"/>
        </w:rPr>
      </w:r>
    </w:p>
    <w:p w:rsidR="00000000" w:rsidDel="00000000" w:rsidP="00000000" w:rsidRDefault="00000000" w:rsidRPr="00000000" w14:paraId="00000083">
      <w:pPr>
        <w:pStyle w:val="Heading2"/>
        <w:rPr/>
        <w:sectPr>
          <w:headerReference r:id="rId11" w:type="default"/>
          <w:pgSz w:h="15840" w:w="12240" w:orient="portrait"/>
          <w:pgMar w:bottom="720" w:top="1440" w:left="1440" w:right="1440" w:header="720" w:footer="720"/>
          <w:pgNumType w:start="1"/>
        </w:sectPr>
      </w:pPr>
      <w:r w:rsidDel="00000000" w:rsidR="00000000" w:rsidRPr="00000000">
        <w:rPr>
          <w:rtl w:val="0"/>
        </w:rPr>
        <w:t xml:space="preserve">Colonnes</w:t>
      </w:r>
    </w:p>
    <w:p w:rsidR="00000000" w:rsidDel="00000000" w:rsidP="00000000" w:rsidRDefault="00000000" w:rsidRPr="00000000" w14:paraId="00000084">
      <w:pPr>
        <w:rPr/>
      </w:pPr>
      <w:r w:rsidDel="00000000" w:rsidR="00000000" w:rsidRPr="00000000">
        <w:rPr>
          <w:rtl w:val="0"/>
        </w:rPr>
        <w:t xml:space="preserve">Voici un exemple de colonnes. Avec les colonnes, la page est divisée en deux ou plusieurs sections horizontales. Contrairement aux tableaux, où l'on lit généralement une ligne puis la suivante, avec les colonnes, on lit une colonne puis la suivante.</w:t>
      </w:r>
      <w:r w:rsidDel="00000000" w:rsidR="00000000" w:rsidRPr="00000000">
        <w:br w:type="column"/>
      </w:r>
      <w:r w:rsidDel="00000000" w:rsidR="00000000" w:rsidRPr="00000000">
        <w:rPr>
          <w:rtl w:val="0"/>
        </w:rPr>
        <w:t xml:space="preserve">Lorsque les colonnes ne sont pas créées correctement, les lecteurs d'écran peuvent lier les lignes, lisant la première ligne de la première colonne, puis la première ligne de la deuxième colonne, puis la deuxième ligne de la première colonne, et ainsi de suite. Évidemment, ce n'est pas accessible.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20" w:before="12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8.0" w:type="dxa"/>
        <w:left w:w="115.0" w:type="dxa"/>
        <w:bottom w:w="58.0" w:type="dxa"/>
        <w:right w:w="115.0" w:type="dxa"/>
      </w:tblCellMar>
    </w:tblPr>
  </w:style>
  <w:style w:type="table" w:styleId="Table2">
    <w:basedOn w:val="TableNormal"/>
    <w:pPr>
      <w:spacing w:after="0" w:line="240" w:lineRule="auto"/>
    </w:pPr>
    <w:tblPr>
      <w:tblStyleRowBandSize w:val="1"/>
      <w:tblStyleColBandSize w:val="1"/>
      <w:tblCellMar>
        <w:top w:w="58.0" w:type="dxa"/>
        <w:left w:w="115.0" w:type="dxa"/>
        <w:bottom w:w="58.0" w:type="dxa"/>
        <w:right w:w="115.0" w:type="dxa"/>
      </w:tblCellMar>
    </w:tblPr>
  </w:style>
  <w:style w:type="table" w:styleId="Table3">
    <w:basedOn w:val="TableNormal"/>
    <w:pPr>
      <w:spacing w:after="0" w:line="240" w:lineRule="auto"/>
    </w:pPr>
    <w:tblPr>
      <w:tblStyleRowBandSize w:val="1"/>
      <w:tblStyleColBandSize w:val="1"/>
      <w:tblCellMar>
        <w:top w:w="58.0" w:type="dxa"/>
        <w:left w:w="115.0" w:type="dxa"/>
        <w:bottom w:w="58.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2.gif"/><Relationship Id="rId5" Type="http://schemas.openxmlformats.org/officeDocument/2006/relationships/styles" Target="styles.xml"/><Relationship Id="rId6" Type="http://schemas.openxmlformats.org/officeDocument/2006/relationships/hyperlink" Target="mailto:domrozenberg@gmail.com" TargetMode="External"/><Relationship Id="rId7" Type="http://schemas.openxmlformats.org/officeDocument/2006/relationships/hyperlink" Target="http://www.dhs.state.il.us/page.aspx?item=67072" TargetMode="External"/><Relationship Id="rId8" Type="http://schemas.openxmlformats.org/officeDocument/2006/relationships/hyperlink" Target="http://www.dhs.state.il.us/OneNetLibrary/27897/documents/Initiatives/IITAA/Sample-Document.doc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