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Entrega</w:t>
      </w:r>
      <w:r>
        <w:t xml:space="preserve"> </w:t>
      </w:r>
      <w:r>
        <w:t xml:space="preserve">2:</w:t>
      </w:r>
      <w:r>
        <w:t xml:space="preserve"> </w:t>
      </w:r>
      <w:r>
        <w:t xml:space="preserve">Esqueleto</w:t>
      </w:r>
      <w:r>
        <w:t xml:space="preserve"> </w:t>
      </w:r>
      <w:r>
        <w:t xml:space="preserve">distribuido</w:t>
      </w:r>
    </w:p>
    <w:p>
      <w:pPr>
        <w:pStyle w:val="Subtitle"/>
      </w:pPr>
      <w:r>
        <w:t xml:space="preserve">Programación</w:t>
      </w:r>
      <w:r>
        <w:t xml:space="preserve"> </w:t>
      </w:r>
      <w:r>
        <w:t xml:space="preserve">Distribuida</w:t>
      </w:r>
      <w:r>
        <w:t xml:space="preserve"> </w:t>
      </w:r>
      <w:r>
        <w:t xml:space="preserve">y</w:t>
      </w:r>
      <w:r>
        <w:t xml:space="preserve"> </w:t>
      </w:r>
      <w:r>
        <w:t xml:space="preserve">Componentes</w:t>
      </w:r>
      <w:r>
        <w:t xml:space="preserve"> </w:t>
      </w:r>
      <w:r>
        <w:t xml:space="preserve">·</w:t>
      </w:r>
      <w:r>
        <w:t xml:space="preserve"> </w:t>
      </w:r>
      <w:r>
        <w:t xml:space="preserve">Proyecto</w:t>
      </w:r>
      <w:r>
        <w:t xml:space="preserve"> </w:t>
      </w:r>
      <w:r>
        <w:t xml:space="preserve">Final</w:t>
      </w:r>
      <w:r>
        <w:t xml:space="preserve"> </w:t>
      </w:r>
      <w:r>
        <w:t xml:space="preserve">—</w:t>
      </w:r>
      <w:r>
        <w:t xml:space="preserve"> </w:t>
      </w:r>
      <w:r>
        <w:t xml:space="preserve">NexusMed</w:t>
      </w:r>
    </w:p>
    <w:bookmarkStart w:id="20" w:name="datos-generales"/>
    <w:p>
      <w:pPr>
        <w:pStyle w:val="Heading1"/>
      </w:pPr>
      <w:r>
        <w:t xml:space="preserve">Datos generales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Grupo 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Donato Mattio y Cristian Carivali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NexusMed — Plataforma distribuida de gestión e integración de historias clínicas (HosCorp)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(completar URL)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Tag / Release de esta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v2-esqueleto-distribuido (pendiente de creación)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de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(completar)</w:t>
            </w:r>
          </w:p>
        </w:tc>
      </w:tr>
    </w:tbl>
    <w:bookmarkEnd w:id="20"/>
    <w:bookmarkStart w:id="21" w:name="checklist-de-la-entrega"/>
    <w:p>
      <w:pPr>
        <w:pStyle w:val="Heading1"/>
      </w:pPr>
      <w:r>
        <w:t xml:space="preserve">Checklist de la entrega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 de la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 breve / 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Hay al menos dos nodos separados funcionando (contenedores o procesos distintos).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☒ Sí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contenedores definidos en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: gateway Nginx, 4 servicios FastAPI (operativo, historias clínicas, pagos, hospital simulado), Redis y 3 instancias PostgreSQL. Cada servicio es un proceso propio con su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y se comunican por HTTP (p. ej. historias clínicas consulta al operativo y al hospital simulado). Verificación:</w:t>
            </w:r>
            <w:r>
              <w:t xml:space="preserve"> </w:t>
            </w:r>
            <w:r>
              <w:rPr>
                <w:rStyle w:val="VerbatimChar"/>
              </w:rPr>
              <w:t xml:space="preserve">./tests/smoke.sh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docker compose ps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separación es real: cada nodo puede iniciarse/detenerse de forma independiente.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☒ Sí ☐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stop svc-operativo</w:t>
            </w:r>
            <w:r>
              <w:t xml:space="preserve"> </w:t>
            </w:r>
            <w:r>
              <w:t xml:space="preserve">deja operativo caído mientras pagos, historias y hospital siguen respondiendo; historias detecta la caída (</w:t>
            </w:r>
            <w:r>
              <w:rPr>
                <w:rStyle w:val="VerbatimChar"/>
              </w:rPr>
              <w:t xml:space="preserve">/dependencias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) y deniega el acceso médico con HTTP 503 (falla cerrada). Al hacer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, el acceso vuelve a 200. Lo mismo con</w:t>
            </w:r>
            <w:r>
              <w:t xml:space="preserve"> </w:t>
            </w:r>
            <w:r>
              <w:rPr>
                <w:rStyle w:val="VerbatimChar"/>
              </w:rPr>
              <w:t xml:space="preserve">pg-pagos</w:t>
            </w:r>
            <w:r>
              <w:t xml:space="preserve">: solo pagos pasa a</w:t>
            </w:r>
            <w:r>
              <w:t xml:space="preserve"> </w:t>
            </w:r>
            <w:r>
              <w:rPr>
                <w:rStyle w:val="VerbatimChar"/>
              </w:rPr>
              <w:t xml:space="preserve">degraded</w:t>
            </w:r>
            <w:r>
              <w:t xml:space="preserve">. Comandos y salida esperada en el README, sección «Demostración de independencia».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identificó el modelo de ejecución elegido (cliente-servidor / P2P / microservicios).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☒ Sí ☐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Microservicios</w:t>
            </w:r>
            <w:r>
              <w:t xml:space="preserve">, con un API Gateway como único punto de entrada y una base de datos por responsabilidad (operativa, clínica, pagos). Tabla de nodos en el README.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modelo de ejecución elegido está justificado en función del caso de uso.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☒ Sí ☐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El cobro no debe acceder a datos clínicos: nodo, red y base propios lo hacen verificable. (2) Las importaciones externas son lentas y falibles: se aíslan de las consultas del paciente. (3) Cada responsabilidad se detiene, despliega y escala por separado. (4) P2P no aplica: hay autoridad central de identidad, permisos y auditoría. (5) Un monolito cliente-servidor no permitiría demostrar aislamiento ni fallas parciales. Costo asumido: mayor complejidad operativa; sin alta disponibilidad al correr en un solo equipo.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README explica cómo levantar el entorno localmente (paso a paso).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☒ Sí ☐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en la raíz: requisitos (solo Docker Compose v2), 4 pasos (clonar,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 --build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 compose ps</w:t>
            </w:r>
            <w:r>
              <w:t xml:space="preserve">, prueba de humo), cómo apagar, estructura del repo y qué queda fuera de alcance.</w:t>
            </w:r>
          </w:p>
        </w:tc>
      </w:tr>
    </w:tbl>
    <w:bookmarkEnd w:id="21"/>
    <w:bookmarkStart w:id="22" w:name="evidencia-adicional"/>
    <w:p>
      <w:pPr>
        <w:pStyle w:val="Heading1"/>
      </w:pPr>
      <w:r>
        <w:t xml:space="preserve">Evidencia adicional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del esqueleto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</w:t>
            </w:r>
            <w:r>
              <w:t xml:space="preserve"> </w:t>
            </w:r>
            <w:r>
              <w:rPr>
                <w:rStyle w:val="VerbatimChar"/>
              </w:rPr>
              <w:t xml:space="preserve">services/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infrastructure/gateway/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de humo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tests/smoke.sh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Capturas de</w:t>
            </w:r>
            <w:r>
              <w:t xml:space="preserve"> </w:t>
            </w:r>
            <w:r>
              <w:rPr>
                <w:rStyle w:val="VerbatimChar"/>
              </w:rPr>
              <w:t xml:space="preserve">docker compose ps</w:t>
            </w:r>
            <w:r>
              <w:t xml:space="preserve"> </w:t>
            </w:r>
            <w:r>
              <w:t xml:space="preserve">y del</w:t>
            </w:r>
            <w:r>
              <w:t xml:space="preserve"> </w:t>
            </w:r>
            <w:r>
              <w:rPr>
                <w:rStyle w:val="VerbatimChar"/>
              </w:rPr>
              <w:t xml:space="preserve">smoke.sh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Pendiente: tomarlas en la máquina del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</w:t>
            </w:r>
            <w:r>
              <w:t xml:space="preserve"> </w:t>
            </w:r>
            <w:r>
              <w:rPr>
                <w:rStyle w:val="VerbatimChar"/>
              </w:rPr>
              <w:t xml:space="preserve">v2-esqueleto-distribuido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de creación</w:t>
            </w:r>
          </w:p>
        </w:tc>
      </w:tr>
    </w:tbl>
    <w:bookmarkEnd w:id="22"/>
    <w:bookmarkStart w:id="23" w:name="aislamiento-de-redes-resumen"/>
    <w:p>
      <w:pPr>
        <w:pStyle w:val="Heading1"/>
      </w:pPr>
      <w:r>
        <w:t xml:space="preserve">Aislamiento de redes (resumen)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net-servicios</w:t>
      </w:r>
      <w:r>
        <w:t xml:space="preserve">: gateway, operativo, historias clínicas, hospital simulado y Redis.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net-pagos</w:t>
      </w:r>
      <w:r>
        <w:t xml:space="preserve">: gateway y pagos. Pagos no pertenece a</w:t>
      </w:r>
      <w:r>
        <w:t xml:space="preserve"> </w:t>
      </w:r>
      <w:r>
        <w:rPr>
          <w:rStyle w:val="VerbatimChar"/>
        </w:rPr>
        <w:t xml:space="preserve">net-servicios</w:t>
      </w:r>
      <w:r>
        <w:t xml:space="preserve">, por lo que no alcanza a historias clínicas, operativo ni Redis.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net-db-*</w:t>
      </w:r>
      <w:r>
        <w:t xml:space="preserve"> </w:t>
      </w:r>
      <w:r>
        <w:t xml:space="preserve">(internas): cada base solo es accesible por su servicio.</w:t>
      </w:r>
    </w:p>
    <w:p>
      <w:pPr>
        <w:numPr>
          <w:ilvl w:val="0"/>
          <w:numId w:val="1001"/>
        </w:numPr>
        <w:pStyle w:val="Compact"/>
      </w:pPr>
      <w:r>
        <w:t xml:space="preserve">Solo el Gateway publica un puerto al host (8080).</w:t>
      </w:r>
    </w:p>
    <w:bookmarkEnd w:id="23"/>
    <w:bookmarkStart w:id="24" w:name="X2260bc1ae64d6c6a9f30ab1c40d0b4a04774925"/>
    <w:p>
      <w:pPr>
        <w:pStyle w:val="Heading1"/>
      </w:pPr>
      <w:r>
        <w:t xml:space="preserve">Actualización respecto de entregas anteriores</w:t>
      </w:r>
    </w:p>
    <w:p>
      <w:pPr>
        <w:pStyle w:val="FirstParagraph"/>
      </w:pPr>
      <w:r>
        <w:t xml:space="preserve">El esqueleto implementa las decisiones de la Entrega 1: base PostgreSQL propia para pagos, Gateway Nginx, API hospitalaria simulada y conector de integración dentro del servicio clínico. Quedan para entregas siguientes: JWT y roles, modelos y migraciones, Celery, frontends React y lógica de pagos.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2: Esqueleto distribuido</dc:title>
  <dc:creator/>
  <cp:keywords/>
  <dcterms:created xsi:type="dcterms:W3CDTF">2026-10-14T17:33:36Z</dcterms:created>
  <dcterms:modified xsi:type="dcterms:W3CDTF">2026-10-14T17:33:36Z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Programación Distribuida y Componentes · Proyecto Final — NexusMed</vt:lpwstr>
  </property>
</Properties>
</file>