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Deep Technical and Strategic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and Materials: Expanded Granular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Principle: Quantum Superconducting Magnetic Energy Containment (Q-SMEC) utilizes electron orbital alignment and localized quantum field containment to enhance sensor response and energy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Vectors: Elemental composition (Ge, Ga, Sb, Te, Se, Al, Nb, N, Sn, Ti + 11 undisclosed), doping, oxidation states, nanostructure geometry, and lattice stress are key design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 x10.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SNR x10–100.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storage increase by multiple orders of magnitude.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Manufacturability with current deposition/3D-print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Quantum/Material Simulation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Engines: Density Functional Theory (DFT), Coupled Wave Function (CWF), and quantum Monte Carlo models are executed through Psi4, CP2K, and Gaussian.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Layer: An adaptive Design of Experiments (DOE) system is trained on material parameter–performance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Count: Approximately 8 controllable factors, each with 3 levels, resulting in 6,561 factorial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Criteria: Maximization of sensitivity and SNR under SWaP-C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Material Architecture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Segmented Heterostructures: Alternating dielectric–semiconductive layers are tuned for wavelength selectivity.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Doped Quantum Films: A continuous doping gradient controls carrier density and local field intensity.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EM Nodes: Simultaneous coupling of electric and magnetic fields facilitates multi-axis measurement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Graphene Membranes: Oxygenated multilayer stacks are utilized for desalination and ion-selective transport.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Manufacturing Modalities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 Film: Atomic Layer Deposition (ALD), Chemical Vapor Deposition (CVD), or sputtering processes are employed for films less than 1 µm.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3D-Print: Additive patterning is used for micro-sensor geometries.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Fusion: Controlled annealing achieves atomic-level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Embedding: Anti-tamper meshes and self-erase micro-fuses are incorporated for export-controlled designs.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Measurement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Electrical: Impedance and noise spectra.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Optical: Responsivity, bandwidth, and gain linearity.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Energy: Discharge/charge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Structural: X-ray Diffraction (XRD), Transmission Electron Microscopy (TEM), and Secondary Ion Mass Spectrometry (SIMS) are used for material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and TRL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instantiation follows a six-task non-recurring engineering path (approximately 54 weeks, $770K):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1: Quantum modeling (8 weeks, $100K).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2: AI DOE (8 weeks, $110K).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3: Prototype fabrication (12 weeks, $190K).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4: Manufacturability beta (10 weeks, $110K).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5: Pre-production (8 weeks, $130K).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6: Final device integration (8 weeks, $130K).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include patent-ready data, a manufacturability packet, and a license-ready 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and Licensing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Exclusive/non-exclusive licenses are offered by field-of-use and geography.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Revenue: Consists of an up-front fee plus recurring quarterly royalties.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Milestones: Licenses become available upon completion of Task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Co-IP Option: Investors funding early tasks receive proportional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Analogue: ARM, Dolby, and Qualcomm models are cited for their low CAPEX, high-margin licensing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Sectoral Market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Defense and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ISR: $7.3B/year, 15% CAGR, $3.3B NPV per license.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EW: $16.6B/year, 7% CAGR, $3B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Navigation: $18.7B/year, 7% CAGR, $3.4B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monitoring: $11B/year, 5%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Energy and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optimization: $95B/year, 17% CAGR, $54B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storage: $25B/year, 9% CAGR, $5.6B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Microgrids: $11B/year, 6% CAGR, $1.8B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SMRs: $10B/year, 8%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Water and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Desalination membranes: $20.6B/year, 6% CAGR, $3.3B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water sensors: $5B/year aggregate.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Healthcare and Biosecurity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Biosensors: $2.1B/year.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monitoring: $12B/year.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Surgical tools: $8B/year.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Transportation and 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LIDAR/Radar: $1.2B/year, 42% CAGR, $13.8B NPV.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auto sensors: $31B/year, 5%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Differentiators: Quantum-level physics, AI-native R&amp;D, export-compliant design, and an IP-only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Trillion-dollar tailwinds: Energy transition, autonomy, and defense modernization.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Weaknesses: Early Technology Readiness Level (TRL) and broad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Initial commercialization will focus on the Defense ISR/EW and Energy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project cost is $770K over one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Present Value (NPV) per license ranges from $100M to $54B.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on Investment (ROI) is dependent on licensing velocity; three concurrent programs can achieve break-even in under one year with two Task-4 conversions.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Register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Simulation–physical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physical test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Under-capitalized prototypes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 co-IP funding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Leakage of confidential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NDA, data enclave, partial 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Dilution via over-broad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Prioritize two flagship sectors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 and cybersecurity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ITAR/FedRAMP baseline built-in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Analytical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the quantum-chemistry simulation dataset (Quantum Chemistry + AI Tools Simulation.xlsx).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Cross-correlate material parameters with performance indices.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investor-ready quantitative visualizations for TAM/CAGR/NPV versus task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