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CDDC" w14:textId="77777777" w:rsidR="000E391E" w:rsidRPr="000E391E" w:rsidRDefault="000E391E" w:rsidP="000E391E">
      <w:pPr>
        <w:rPr>
          <w:b/>
          <w:bCs/>
        </w:rPr>
      </w:pPr>
      <w:r w:rsidRPr="000E391E">
        <w:rPr>
          <w:b/>
          <w:bCs/>
        </w:rPr>
        <w:t>Detailed Mitigation Plan for Risk TEC-01: Simulation-Physical Mismatch</w:t>
      </w:r>
    </w:p>
    <w:p w14:paraId="0D5C4166" w14:textId="77777777" w:rsidR="000E391E" w:rsidRPr="000E391E" w:rsidRDefault="000E391E" w:rsidP="000E391E">
      <w:r w:rsidRPr="000E391E">
        <w:rPr>
          <w:b/>
          <w:bCs/>
        </w:rPr>
        <w:t>Risk ID:</w:t>
      </w:r>
      <w:r w:rsidRPr="000E391E">
        <w:t> TEC-01 </w:t>
      </w:r>
      <w:r w:rsidRPr="000E391E">
        <w:rPr>
          <w:b/>
          <w:bCs/>
        </w:rPr>
        <w:t>Risk Name:</w:t>
      </w:r>
      <w:r w:rsidRPr="000E391E">
        <w:t> Simulation-Physical Performance Mismatch </w:t>
      </w:r>
      <w:r w:rsidRPr="000E391E">
        <w:rPr>
          <w:b/>
          <w:bCs/>
        </w:rPr>
        <w:t>Risk Description:</w:t>
      </w:r>
      <w:r w:rsidRPr="000E391E">
        <w:t> The risk that the physically fabricated PBA material prototypes fail to achieve the performance targets (e.g., energy density, conductivity, cycle life) predicted by the quantum simulation models and the AI-Design of Experiments (AI-DOE) framework. </w:t>
      </w:r>
      <w:r w:rsidRPr="000E391E">
        <w:rPr>
          <w:b/>
          <w:bCs/>
        </w:rPr>
        <w:t>Potential Impact (per PBA_Optimization_Cost_Analysis.md):</w:t>
      </w:r>
    </w:p>
    <w:p w14:paraId="27459CAE" w14:textId="77777777" w:rsidR="000E391E" w:rsidRPr="000E391E" w:rsidRDefault="000E391E" w:rsidP="000E391E">
      <w:pPr>
        <w:numPr>
          <w:ilvl w:val="0"/>
          <w:numId w:val="1"/>
        </w:numPr>
      </w:pPr>
      <w:r w:rsidRPr="000E391E">
        <w:rPr>
          <w:b/>
          <w:bCs/>
        </w:rPr>
        <w:t>Schedule:</w:t>
      </w:r>
      <w:r w:rsidRPr="000E391E">
        <w:t> </w:t>
      </w:r>
      <w:proofErr w:type="gramStart"/>
      <w:r w:rsidRPr="000E391E">
        <w:t>12-18 month</w:t>
      </w:r>
      <w:proofErr w:type="gramEnd"/>
      <w:r w:rsidRPr="000E391E">
        <w:t xml:space="preserve"> delay to market.</w:t>
      </w:r>
    </w:p>
    <w:p w14:paraId="349882A6" w14:textId="77777777" w:rsidR="000E391E" w:rsidRPr="000E391E" w:rsidRDefault="000E391E" w:rsidP="000E391E">
      <w:pPr>
        <w:numPr>
          <w:ilvl w:val="0"/>
          <w:numId w:val="1"/>
        </w:numPr>
      </w:pPr>
      <w:r w:rsidRPr="000E391E">
        <w:rPr>
          <w:b/>
          <w:bCs/>
        </w:rPr>
        <w:t>Cost:</w:t>
      </w:r>
      <w:r w:rsidRPr="000E391E">
        <w:t xml:space="preserve"> $15-25M in </w:t>
      </w:r>
      <w:proofErr w:type="gramStart"/>
      <w:r w:rsidRPr="000E391E">
        <w:t>additional,</w:t>
      </w:r>
      <w:proofErr w:type="gramEnd"/>
      <w:r w:rsidRPr="000E391E">
        <w:t xml:space="preserve"> unplanned R&amp;D costs to re-run simulations and fabrication cycles.</w:t>
      </w:r>
    </w:p>
    <w:p w14:paraId="59D8E010" w14:textId="77777777" w:rsidR="000E391E" w:rsidRPr="000E391E" w:rsidRDefault="000E391E" w:rsidP="000E391E">
      <w:pPr>
        <w:numPr>
          <w:ilvl w:val="0"/>
          <w:numId w:val="1"/>
        </w:numPr>
      </w:pPr>
      <w:r w:rsidRPr="000E391E">
        <w:rPr>
          <w:b/>
          <w:bCs/>
        </w:rPr>
        <w:t>Performance:</w:t>
      </w:r>
      <w:r w:rsidRPr="000E391E">
        <w:t> Failure to meet the Go/No-Go criteria, potentially requiring a project pivot or termination.</w:t>
      </w:r>
    </w:p>
    <w:p w14:paraId="7018A3C5" w14:textId="77777777" w:rsidR="000E391E" w:rsidRPr="000E391E" w:rsidRDefault="000E391E" w:rsidP="000E391E">
      <w:r w:rsidRPr="000E391E">
        <w:pict w14:anchorId="56ACCAD9">
          <v:rect id="_x0000_i1031" style="width:0;height:1.5pt" o:hralign="center" o:hrstd="t" o:hrnoshade="t" o:hr="t" fillcolor="#ccc" stroked="f"/>
        </w:pict>
      </w:r>
    </w:p>
    <w:p w14:paraId="7C4FB439" w14:textId="77777777" w:rsidR="000E391E" w:rsidRPr="000E391E" w:rsidRDefault="000E391E" w:rsidP="000E391E">
      <w:pPr>
        <w:rPr>
          <w:b/>
          <w:bCs/>
        </w:rPr>
      </w:pPr>
      <w:r w:rsidRPr="000E391E">
        <w:rPr>
          <w:b/>
          <w:bCs/>
        </w:rPr>
        <w:t>Mitigation Strategy &amp; Action Plan</w:t>
      </w:r>
    </w:p>
    <w:p w14:paraId="18C1F20F" w14:textId="77777777" w:rsidR="000E391E" w:rsidRPr="000E391E" w:rsidRDefault="000E391E" w:rsidP="000E391E">
      <w:r w:rsidRPr="000E391E">
        <w:t>The mitigation strategy is divided into three phases: Proactive (preventing the mismatch), Reactive (correcting the mismatch when detected), and Contingent (actions to take if the mismatch cannot be resolved).</w:t>
      </w:r>
    </w:p>
    <w:p w14:paraId="636FECF5" w14:textId="77777777" w:rsidR="000E391E" w:rsidRPr="000E391E" w:rsidRDefault="000E391E" w:rsidP="000E391E">
      <w:pPr>
        <w:rPr>
          <w:b/>
          <w:bCs/>
        </w:rPr>
      </w:pPr>
      <w:r w:rsidRPr="000E391E">
        <w:rPr>
          <w:b/>
          <w:bCs/>
        </w:rPr>
        <w:t>Phase 1: Proactive Mitigation (Tasks 1 &amp; 2)</w:t>
      </w:r>
    </w:p>
    <w:p w14:paraId="57E26618" w14:textId="77777777" w:rsidR="000E391E" w:rsidRPr="000E391E" w:rsidRDefault="000E391E" w:rsidP="000E391E">
      <w:r w:rsidRPr="000E391E">
        <w:t>These actions are designed to minimize the probability of a mismatch before any significant fabrication resources are committed.</w:t>
      </w:r>
    </w:p>
    <w:tbl>
      <w:tblPr>
        <w:tblW w:w="9953" w:type="dxa"/>
        <w:tblCellSpacing w:w="15" w:type="dxa"/>
        <w:tblCellMar>
          <w:top w:w="15" w:type="dxa"/>
          <w:left w:w="15" w:type="dxa"/>
          <w:bottom w:w="15" w:type="dxa"/>
          <w:right w:w="15" w:type="dxa"/>
        </w:tblCellMar>
        <w:tblLook w:val="04A0" w:firstRow="1" w:lastRow="0" w:firstColumn="1" w:lastColumn="0" w:noHBand="0" w:noVBand="1"/>
      </w:tblPr>
      <w:tblGrid>
        <w:gridCol w:w="1447"/>
        <w:gridCol w:w="3380"/>
        <w:gridCol w:w="860"/>
        <w:gridCol w:w="1478"/>
        <w:gridCol w:w="2788"/>
      </w:tblGrid>
      <w:tr w:rsidR="000E391E" w:rsidRPr="000E391E" w14:paraId="31E4FD78" w14:textId="77777777">
        <w:trPr>
          <w:tblCellSpacing w:w="15" w:type="dxa"/>
        </w:trPr>
        <w:tc>
          <w:tcPr>
            <w:tcW w:w="0" w:type="auto"/>
            <w:tcBorders>
              <w:bottom w:val="single" w:sz="6" w:space="0" w:color="454545"/>
            </w:tcBorders>
            <w:vAlign w:val="center"/>
            <w:hideMark/>
          </w:tcPr>
          <w:p w14:paraId="2373808F" w14:textId="77777777" w:rsidR="000E391E" w:rsidRPr="000E391E" w:rsidRDefault="000E391E" w:rsidP="000E391E">
            <w:pPr>
              <w:rPr>
                <w:b/>
                <w:bCs/>
              </w:rPr>
            </w:pPr>
            <w:r w:rsidRPr="000E391E">
              <w:rPr>
                <w:b/>
                <w:bCs/>
              </w:rPr>
              <w:t>Action Item</w:t>
            </w:r>
          </w:p>
        </w:tc>
        <w:tc>
          <w:tcPr>
            <w:tcW w:w="0" w:type="auto"/>
            <w:tcBorders>
              <w:bottom w:val="single" w:sz="6" w:space="0" w:color="454545"/>
            </w:tcBorders>
            <w:vAlign w:val="center"/>
            <w:hideMark/>
          </w:tcPr>
          <w:p w14:paraId="2117BFA0" w14:textId="77777777" w:rsidR="000E391E" w:rsidRPr="000E391E" w:rsidRDefault="000E391E" w:rsidP="000E391E">
            <w:pPr>
              <w:rPr>
                <w:b/>
                <w:bCs/>
              </w:rPr>
            </w:pPr>
            <w:r w:rsidRPr="000E391E">
              <w:rPr>
                <w:b/>
                <w:bCs/>
              </w:rPr>
              <w:t>Description</w:t>
            </w:r>
          </w:p>
        </w:tc>
        <w:tc>
          <w:tcPr>
            <w:tcW w:w="0" w:type="auto"/>
            <w:tcBorders>
              <w:bottom w:val="single" w:sz="6" w:space="0" w:color="454545"/>
            </w:tcBorders>
            <w:vAlign w:val="center"/>
            <w:hideMark/>
          </w:tcPr>
          <w:p w14:paraId="271F1027" w14:textId="77777777" w:rsidR="000E391E" w:rsidRPr="000E391E" w:rsidRDefault="000E391E" w:rsidP="000E391E">
            <w:pPr>
              <w:rPr>
                <w:b/>
                <w:bCs/>
              </w:rPr>
            </w:pPr>
            <w:r w:rsidRPr="000E391E">
              <w:rPr>
                <w:b/>
                <w:bCs/>
              </w:rPr>
              <w:t>Trigger / Timing</w:t>
            </w:r>
          </w:p>
        </w:tc>
        <w:tc>
          <w:tcPr>
            <w:tcW w:w="0" w:type="auto"/>
            <w:tcBorders>
              <w:bottom w:val="single" w:sz="6" w:space="0" w:color="454545"/>
            </w:tcBorders>
            <w:vAlign w:val="center"/>
            <w:hideMark/>
          </w:tcPr>
          <w:p w14:paraId="6DBB7664" w14:textId="77777777" w:rsidR="000E391E" w:rsidRPr="000E391E" w:rsidRDefault="000E391E" w:rsidP="000E391E">
            <w:pPr>
              <w:rPr>
                <w:b/>
                <w:bCs/>
              </w:rPr>
            </w:pPr>
            <w:r w:rsidRPr="000E391E">
              <w:rPr>
                <w:b/>
                <w:bCs/>
              </w:rPr>
              <w:t>Responsible Team</w:t>
            </w:r>
          </w:p>
        </w:tc>
        <w:tc>
          <w:tcPr>
            <w:tcW w:w="0" w:type="auto"/>
            <w:tcBorders>
              <w:bottom w:val="single" w:sz="6" w:space="0" w:color="454545"/>
            </w:tcBorders>
            <w:vAlign w:val="center"/>
            <w:hideMark/>
          </w:tcPr>
          <w:p w14:paraId="4BB9CC72" w14:textId="77777777" w:rsidR="000E391E" w:rsidRPr="000E391E" w:rsidRDefault="000E391E" w:rsidP="000E391E">
            <w:pPr>
              <w:rPr>
                <w:b/>
                <w:bCs/>
              </w:rPr>
            </w:pPr>
            <w:r w:rsidRPr="000E391E">
              <w:rPr>
                <w:b/>
                <w:bCs/>
              </w:rPr>
              <w:t>Success Metric</w:t>
            </w:r>
          </w:p>
        </w:tc>
      </w:tr>
      <w:tr w:rsidR="000E391E" w:rsidRPr="000E391E" w14:paraId="5230D52C" w14:textId="77777777">
        <w:trPr>
          <w:tblCellSpacing w:w="15" w:type="dxa"/>
        </w:trPr>
        <w:tc>
          <w:tcPr>
            <w:tcW w:w="0" w:type="auto"/>
            <w:tcBorders>
              <w:bottom w:val="single" w:sz="6" w:space="0" w:color="454545"/>
            </w:tcBorders>
            <w:vAlign w:val="center"/>
            <w:hideMark/>
          </w:tcPr>
          <w:p w14:paraId="38DCA615" w14:textId="77777777" w:rsidR="000E391E" w:rsidRPr="000E391E" w:rsidRDefault="000E391E" w:rsidP="000E391E">
            <w:r w:rsidRPr="000E391E">
              <w:rPr>
                <w:b/>
                <w:bCs/>
              </w:rPr>
              <w:t>1.1: Model Anchoring &amp; Baseline Validation</w:t>
            </w:r>
          </w:p>
        </w:tc>
        <w:tc>
          <w:tcPr>
            <w:tcW w:w="0" w:type="auto"/>
            <w:tcBorders>
              <w:bottom w:val="single" w:sz="6" w:space="0" w:color="454545"/>
            </w:tcBorders>
            <w:vAlign w:val="center"/>
            <w:hideMark/>
          </w:tcPr>
          <w:p w14:paraId="03DC4408" w14:textId="77777777" w:rsidR="000E391E" w:rsidRPr="000E391E" w:rsidRDefault="000E391E" w:rsidP="000E391E">
            <w:r w:rsidRPr="000E391E">
              <w:t>Before simulating novel PBA compositions, the quantum physics models (DFT, CWF via Psi4, CP2K) will be run on well-characterized baseline materials (e.g., standard Fe4[</w:t>
            </w:r>
            <w:proofErr w:type="gramStart"/>
            <w:r w:rsidRPr="000E391E">
              <w:t>Fe(</w:t>
            </w:r>
            <w:proofErr w:type="gramEnd"/>
            <w:r w:rsidRPr="000E391E">
              <w:t xml:space="preserve">CN)6]3). The simulation output will be compared against established </w:t>
            </w:r>
            <w:r w:rsidRPr="000E391E">
              <w:lastRenderedPageBreak/>
              <w:t>experimental data for these materials.</w:t>
            </w:r>
          </w:p>
        </w:tc>
        <w:tc>
          <w:tcPr>
            <w:tcW w:w="0" w:type="auto"/>
            <w:tcBorders>
              <w:bottom w:val="single" w:sz="6" w:space="0" w:color="454545"/>
            </w:tcBorders>
            <w:vAlign w:val="center"/>
            <w:hideMark/>
          </w:tcPr>
          <w:p w14:paraId="342A9690" w14:textId="77777777" w:rsidR="000E391E" w:rsidRPr="000E391E" w:rsidRDefault="000E391E" w:rsidP="000E391E">
            <w:r w:rsidRPr="000E391E">
              <w:lastRenderedPageBreak/>
              <w:t>Task 1 (Weeks 1-4)</w:t>
            </w:r>
          </w:p>
        </w:tc>
        <w:tc>
          <w:tcPr>
            <w:tcW w:w="0" w:type="auto"/>
            <w:tcBorders>
              <w:bottom w:val="single" w:sz="6" w:space="0" w:color="454545"/>
            </w:tcBorders>
            <w:vAlign w:val="center"/>
            <w:hideMark/>
          </w:tcPr>
          <w:p w14:paraId="60DED9DE" w14:textId="77777777" w:rsidR="000E391E" w:rsidRPr="000E391E" w:rsidRDefault="000E391E" w:rsidP="000E391E">
            <w:r w:rsidRPr="000E391E">
              <w:t>Quantum Modeling Team</w:t>
            </w:r>
          </w:p>
        </w:tc>
        <w:tc>
          <w:tcPr>
            <w:tcW w:w="0" w:type="auto"/>
            <w:tcBorders>
              <w:bottom w:val="single" w:sz="6" w:space="0" w:color="454545"/>
            </w:tcBorders>
            <w:vAlign w:val="center"/>
            <w:hideMark/>
          </w:tcPr>
          <w:p w14:paraId="60590565" w14:textId="77777777" w:rsidR="000E391E" w:rsidRPr="000E391E" w:rsidRDefault="000E391E" w:rsidP="000E391E">
            <w:r w:rsidRPr="000E391E">
              <w:rPr>
                <w:b/>
                <w:bCs/>
              </w:rPr>
              <w:t>T1 Exit Criteria:</w:t>
            </w:r>
            <w:r w:rsidRPr="000E391E">
              <w:t> Model achieves R² ≥ 0.85 correlation between predicted and known physical properties for baseline materials.</w:t>
            </w:r>
          </w:p>
        </w:tc>
      </w:tr>
      <w:tr w:rsidR="000E391E" w:rsidRPr="000E391E" w14:paraId="0B822A49" w14:textId="77777777">
        <w:trPr>
          <w:tblCellSpacing w:w="15" w:type="dxa"/>
        </w:trPr>
        <w:tc>
          <w:tcPr>
            <w:tcW w:w="0" w:type="auto"/>
            <w:tcBorders>
              <w:bottom w:val="single" w:sz="6" w:space="0" w:color="454545"/>
            </w:tcBorders>
            <w:vAlign w:val="center"/>
            <w:hideMark/>
          </w:tcPr>
          <w:p w14:paraId="366EDEE3" w14:textId="77777777" w:rsidR="000E391E" w:rsidRPr="000E391E" w:rsidRDefault="000E391E" w:rsidP="000E391E">
            <w:r w:rsidRPr="000E391E">
              <w:rPr>
                <w:b/>
                <w:bCs/>
              </w:rPr>
              <w:t>1.2: Implement Physics-Informed Constraints</w:t>
            </w:r>
          </w:p>
        </w:tc>
        <w:tc>
          <w:tcPr>
            <w:tcW w:w="0" w:type="auto"/>
            <w:tcBorders>
              <w:bottom w:val="single" w:sz="6" w:space="0" w:color="454545"/>
            </w:tcBorders>
            <w:vAlign w:val="center"/>
            <w:hideMark/>
          </w:tcPr>
          <w:p w14:paraId="56698580" w14:textId="77777777" w:rsidR="000E391E" w:rsidRPr="000E391E" w:rsidRDefault="000E391E" w:rsidP="000E391E">
            <w:r w:rsidRPr="000E391E">
              <w:t>The AI-DOE framework will be constrained with known physical and chemical rules. This includes setting limits on dopant concentrations to avoid phase instability and enforcing manufacturability constraints (e.g., deposition temperatures) to prevent the AI from exploring physically impossible designs.</w:t>
            </w:r>
          </w:p>
        </w:tc>
        <w:tc>
          <w:tcPr>
            <w:tcW w:w="0" w:type="auto"/>
            <w:tcBorders>
              <w:bottom w:val="single" w:sz="6" w:space="0" w:color="454545"/>
            </w:tcBorders>
            <w:vAlign w:val="center"/>
            <w:hideMark/>
          </w:tcPr>
          <w:p w14:paraId="293373F1" w14:textId="77777777" w:rsidR="000E391E" w:rsidRPr="000E391E" w:rsidRDefault="000E391E" w:rsidP="000E391E">
            <w:r w:rsidRPr="000E391E">
              <w:t>Task 2 (Weeks 9-10)</w:t>
            </w:r>
          </w:p>
        </w:tc>
        <w:tc>
          <w:tcPr>
            <w:tcW w:w="0" w:type="auto"/>
            <w:tcBorders>
              <w:bottom w:val="single" w:sz="6" w:space="0" w:color="454545"/>
            </w:tcBorders>
            <w:vAlign w:val="center"/>
            <w:hideMark/>
          </w:tcPr>
          <w:p w14:paraId="35F3A25E" w14:textId="77777777" w:rsidR="000E391E" w:rsidRPr="000E391E" w:rsidRDefault="000E391E" w:rsidP="000E391E">
            <w:r w:rsidRPr="000E391E">
              <w:t>AI/ML Team</w:t>
            </w:r>
          </w:p>
        </w:tc>
        <w:tc>
          <w:tcPr>
            <w:tcW w:w="0" w:type="auto"/>
            <w:tcBorders>
              <w:bottom w:val="single" w:sz="6" w:space="0" w:color="454545"/>
            </w:tcBorders>
            <w:vAlign w:val="center"/>
            <w:hideMark/>
          </w:tcPr>
          <w:p w14:paraId="5EA8C45E" w14:textId="77777777" w:rsidR="000E391E" w:rsidRPr="000E391E" w:rsidRDefault="000E391E" w:rsidP="000E391E">
            <w:r w:rsidRPr="000E391E">
              <w:t>The AI model's surrogate g(x)≥0 phase-stability classifier correctly identifies &gt;95% of known unstable compositions.</w:t>
            </w:r>
          </w:p>
        </w:tc>
      </w:tr>
      <w:tr w:rsidR="000E391E" w:rsidRPr="000E391E" w14:paraId="3A0628ED" w14:textId="77777777">
        <w:trPr>
          <w:tblCellSpacing w:w="15" w:type="dxa"/>
        </w:trPr>
        <w:tc>
          <w:tcPr>
            <w:tcW w:w="0" w:type="auto"/>
            <w:tcBorders>
              <w:bottom w:val="single" w:sz="6" w:space="0" w:color="454545"/>
            </w:tcBorders>
            <w:vAlign w:val="center"/>
            <w:hideMark/>
          </w:tcPr>
          <w:p w14:paraId="1B9CE7B9" w14:textId="77777777" w:rsidR="000E391E" w:rsidRPr="000E391E" w:rsidRDefault="000E391E" w:rsidP="000E391E">
            <w:r w:rsidRPr="000E391E">
              <w:rPr>
                <w:b/>
                <w:bCs/>
              </w:rPr>
              <w:t>1.3: Maintain a Diverse Candidate Portfolio</w:t>
            </w:r>
          </w:p>
        </w:tc>
        <w:tc>
          <w:tcPr>
            <w:tcW w:w="0" w:type="auto"/>
            <w:tcBorders>
              <w:bottom w:val="single" w:sz="6" w:space="0" w:color="454545"/>
            </w:tcBorders>
            <w:vAlign w:val="center"/>
            <w:hideMark/>
          </w:tcPr>
          <w:p w14:paraId="6D725655" w14:textId="77777777" w:rsidR="000E391E" w:rsidRPr="000E391E" w:rsidRDefault="000E391E" w:rsidP="000E391E">
            <w:r w:rsidRPr="000E391E">
              <w:t>Instead of selecting a single "best" design from the AI-DOE, the top 10 candidate compositions will be selected based on a Pareto frontier analysis. This portfolio will balance predicted performance against manufacturability risk and material cost.</w:t>
            </w:r>
          </w:p>
        </w:tc>
        <w:tc>
          <w:tcPr>
            <w:tcW w:w="0" w:type="auto"/>
            <w:tcBorders>
              <w:bottom w:val="single" w:sz="6" w:space="0" w:color="454545"/>
            </w:tcBorders>
            <w:vAlign w:val="center"/>
            <w:hideMark/>
          </w:tcPr>
          <w:p w14:paraId="5666E893" w14:textId="77777777" w:rsidR="000E391E" w:rsidRPr="000E391E" w:rsidRDefault="000E391E" w:rsidP="000E391E">
            <w:r w:rsidRPr="000E391E">
              <w:t>Task 2 (Weeks 15-16)</w:t>
            </w:r>
          </w:p>
        </w:tc>
        <w:tc>
          <w:tcPr>
            <w:tcW w:w="0" w:type="auto"/>
            <w:tcBorders>
              <w:bottom w:val="single" w:sz="6" w:space="0" w:color="454545"/>
            </w:tcBorders>
            <w:vAlign w:val="center"/>
            <w:hideMark/>
          </w:tcPr>
          <w:p w14:paraId="44F5263F" w14:textId="77777777" w:rsidR="000E391E" w:rsidRPr="000E391E" w:rsidRDefault="000E391E" w:rsidP="000E391E">
            <w:r w:rsidRPr="000E391E">
              <w:t>Project Lead, Modeling &amp; Fab Teams</w:t>
            </w:r>
          </w:p>
        </w:tc>
        <w:tc>
          <w:tcPr>
            <w:tcW w:w="0" w:type="auto"/>
            <w:tcBorders>
              <w:bottom w:val="single" w:sz="6" w:space="0" w:color="454545"/>
            </w:tcBorders>
            <w:vAlign w:val="center"/>
            <w:hideMark/>
          </w:tcPr>
          <w:p w14:paraId="0BC9065F" w14:textId="77777777" w:rsidR="000E391E" w:rsidRPr="000E391E" w:rsidRDefault="000E391E" w:rsidP="000E391E">
            <w:r w:rsidRPr="000E391E">
              <w:rPr>
                <w:b/>
                <w:bCs/>
              </w:rPr>
              <w:t>T2 Exit Criteria:</w:t>
            </w:r>
            <w:r w:rsidRPr="000E391E">
              <w:t> A short-list of 10+ designs is generated, each meeting the μ/σ ≥ 3 uncertainty threshold and a manufacturability score ≥0.7.</w:t>
            </w:r>
          </w:p>
        </w:tc>
      </w:tr>
    </w:tbl>
    <w:p w14:paraId="195CF1B4" w14:textId="77777777" w:rsidR="000E391E" w:rsidRPr="000E391E" w:rsidRDefault="000E391E" w:rsidP="000E391E">
      <w:pPr>
        <w:rPr>
          <w:b/>
          <w:bCs/>
        </w:rPr>
      </w:pPr>
      <w:r w:rsidRPr="000E391E">
        <w:rPr>
          <w:b/>
          <w:bCs/>
        </w:rPr>
        <w:t>Phase 2: Reactive Mitigation (Task 3)</w:t>
      </w:r>
    </w:p>
    <w:p w14:paraId="1DB1458F" w14:textId="77777777" w:rsidR="000E391E" w:rsidRPr="000E391E" w:rsidRDefault="000E391E" w:rsidP="000E391E">
      <w:r w:rsidRPr="000E391E">
        <w:t>These actions are triggered during the initial prototyping phase to rapidly correct any observed deviations.</w:t>
      </w:r>
    </w:p>
    <w:tbl>
      <w:tblPr>
        <w:tblW w:w="9953" w:type="dxa"/>
        <w:tblCellSpacing w:w="15" w:type="dxa"/>
        <w:tblCellMar>
          <w:top w:w="15" w:type="dxa"/>
          <w:left w:w="15" w:type="dxa"/>
          <w:bottom w:w="15" w:type="dxa"/>
          <w:right w:w="15" w:type="dxa"/>
        </w:tblCellMar>
        <w:tblLook w:val="04A0" w:firstRow="1" w:lastRow="0" w:firstColumn="1" w:lastColumn="0" w:noHBand="0" w:noVBand="1"/>
      </w:tblPr>
      <w:tblGrid>
        <w:gridCol w:w="1629"/>
        <w:gridCol w:w="3280"/>
        <w:gridCol w:w="1397"/>
        <w:gridCol w:w="1594"/>
        <w:gridCol w:w="2053"/>
      </w:tblGrid>
      <w:tr w:rsidR="000E391E" w:rsidRPr="000E391E" w14:paraId="0A2406E5" w14:textId="77777777">
        <w:trPr>
          <w:tblCellSpacing w:w="15" w:type="dxa"/>
        </w:trPr>
        <w:tc>
          <w:tcPr>
            <w:tcW w:w="0" w:type="auto"/>
            <w:tcBorders>
              <w:bottom w:val="single" w:sz="6" w:space="0" w:color="454545"/>
            </w:tcBorders>
            <w:vAlign w:val="center"/>
            <w:hideMark/>
          </w:tcPr>
          <w:p w14:paraId="34C63725" w14:textId="77777777" w:rsidR="000E391E" w:rsidRPr="000E391E" w:rsidRDefault="000E391E" w:rsidP="000E391E">
            <w:pPr>
              <w:rPr>
                <w:b/>
                <w:bCs/>
              </w:rPr>
            </w:pPr>
            <w:r w:rsidRPr="000E391E">
              <w:rPr>
                <w:b/>
                <w:bCs/>
              </w:rPr>
              <w:t>Action Item</w:t>
            </w:r>
          </w:p>
        </w:tc>
        <w:tc>
          <w:tcPr>
            <w:tcW w:w="0" w:type="auto"/>
            <w:tcBorders>
              <w:bottom w:val="single" w:sz="6" w:space="0" w:color="454545"/>
            </w:tcBorders>
            <w:vAlign w:val="center"/>
            <w:hideMark/>
          </w:tcPr>
          <w:p w14:paraId="333E6920" w14:textId="77777777" w:rsidR="000E391E" w:rsidRPr="000E391E" w:rsidRDefault="000E391E" w:rsidP="000E391E">
            <w:pPr>
              <w:rPr>
                <w:b/>
                <w:bCs/>
              </w:rPr>
            </w:pPr>
            <w:r w:rsidRPr="000E391E">
              <w:rPr>
                <w:b/>
                <w:bCs/>
              </w:rPr>
              <w:t>Description</w:t>
            </w:r>
          </w:p>
        </w:tc>
        <w:tc>
          <w:tcPr>
            <w:tcW w:w="0" w:type="auto"/>
            <w:tcBorders>
              <w:bottom w:val="single" w:sz="6" w:space="0" w:color="454545"/>
            </w:tcBorders>
            <w:vAlign w:val="center"/>
            <w:hideMark/>
          </w:tcPr>
          <w:p w14:paraId="7C53AC90" w14:textId="77777777" w:rsidR="000E391E" w:rsidRPr="000E391E" w:rsidRDefault="000E391E" w:rsidP="000E391E">
            <w:pPr>
              <w:rPr>
                <w:b/>
                <w:bCs/>
              </w:rPr>
            </w:pPr>
            <w:r w:rsidRPr="000E391E">
              <w:rPr>
                <w:b/>
                <w:bCs/>
              </w:rPr>
              <w:t>Trigger / Timing</w:t>
            </w:r>
          </w:p>
        </w:tc>
        <w:tc>
          <w:tcPr>
            <w:tcW w:w="0" w:type="auto"/>
            <w:tcBorders>
              <w:bottom w:val="single" w:sz="6" w:space="0" w:color="454545"/>
            </w:tcBorders>
            <w:vAlign w:val="center"/>
            <w:hideMark/>
          </w:tcPr>
          <w:p w14:paraId="31101C81" w14:textId="77777777" w:rsidR="000E391E" w:rsidRPr="000E391E" w:rsidRDefault="000E391E" w:rsidP="000E391E">
            <w:pPr>
              <w:rPr>
                <w:b/>
                <w:bCs/>
              </w:rPr>
            </w:pPr>
            <w:r w:rsidRPr="000E391E">
              <w:rPr>
                <w:b/>
                <w:bCs/>
              </w:rPr>
              <w:t>Responsible Team</w:t>
            </w:r>
          </w:p>
        </w:tc>
        <w:tc>
          <w:tcPr>
            <w:tcW w:w="0" w:type="auto"/>
            <w:tcBorders>
              <w:bottom w:val="single" w:sz="6" w:space="0" w:color="454545"/>
            </w:tcBorders>
            <w:vAlign w:val="center"/>
            <w:hideMark/>
          </w:tcPr>
          <w:p w14:paraId="52225502" w14:textId="77777777" w:rsidR="000E391E" w:rsidRPr="000E391E" w:rsidRDefault="000E391E" w:rsidP="000E391E">
            <w:pPr>
              <w:rPr>
                <w:b/>
                <w:bCs/>
              </w:rPr>
            </w:pPr>
            <w:r w:rsidRPr="000E391E">
              <w:rPr>
                <w:b/>
                <w:bCs/>
              </w:rPr>
              <w:t>Success Metric</w:t>
            </w:r>
          </w:p>
        </w:tc>
      </w:tr>
      <w:tr w:rsidR="000E391E" w:rsidRPr="000E391E" w14:paraId="045E3E0F" w14:textId="77777777">
        <w:trPr>
          <w:tblCellSpacing w:w="15" w:type="dxa"/>
        </w:trPr>
        <w:tc>
          <w:tcPr>
            <w:tcW w:w="0" w:type="auto"/>
            <w:tcBorders>
              <w:bottom w:val="single" w:sz="6" w:space="0" w:color="454545"/>
            </w:tcBorders>
            <w:vAlign w:val="center"/>
            <w:hideMark/>
          </w:tcPr>
          <w:p w14:paraId="23293883" w14:textId="77777777" w:rsidR="000E391E" w:rsidRPr="000E391E" w:rsidRDefault="000E391E" w:rsidP="000E391E">
            <w:r w:rsidRPr="000E391E">
              <w:rPr>
                <w:b/>
                <w:bCs/>
              </w:rPr>
              <w:t>2.1: Staggered Prototyping &amp; Rapid Feedback</w:t>
            </w:r>
          </w:p>
        </w:tc>
        <w:tc>
          <w:tcPr>
            <w:tcW w:w="0" w:type="auto"/>
            <w:tcBorders>
              <w:bottom w:val="single" w:sz="6" w:space="0" w:color="454545"/>
            </w:tcBorders>
            <w:vAlign w:val="center"/>
            <w:hideMark/>
          </w:tcPr>
          <w:p w14:paraId="7F69D1B4" w14:textId="77777777" w:rsidR="000E391E" w:rsidRPr="000E391E" w:rsidRDefault="000E391E" w:rsidP="000E391E">
            <w:r w:rsidRPr="000E391E">
              <w:t xml:space="preserve">Instead of fabricating all 10 candidate designs at once, fabrication will be staggered. The top 3 candidates will be fabricated first. Structural (XRD) and electrical (EIS) data from these initial prototypes </w:t>
            </w:r>
            <w:r w:rsidRPr="000E391E">
              <w:lastRenderedPageBreak/>
              <w:t>will be immediately fed back to the modeling team.</w:t>
            </w:r>
          </w:p>
        </w:tc>
        <w:tc>
          <w:tcPr>
            <w:tcW w:w="0" w:type="auto"/>
            <w:tcBorders>
              <w:bottom w:val="single" w:sz="6" w:space="0" w:color="454545"/>
            </w:tcBorders>
            <w:vAlign w:val="center"/>
            <w:hideMark/>
          </w:tcPr>
          <w:p w14:paraId="199ED79C" w14:textId="77777777" w:rsidR="000E391E" w:rsidRPr="000E391E" w:rsidRDefault="000E391E" w:rsidP="000E391E">
            <w:r w:rsidRPr="000E391E">
              <w:lastRenderedPageBreak/>
              <w:t>Task 3 (Weeks 17-24)</w:t>
            </w:r>
          </w:p>
        </w:tc>
        <w:tc>
          <w:tcPr>
            <w:tcW w:w="0" w:type="auto"/>
            <w:tcBorders>
              <w:bottom w:val="single" w:sz="6" w:space="0" w:color="454545"/>
            </w:tcBorders>
            <w:vAlign w:val="center"/>
            <w:hideMark/>
          </w:tcPr>
          <w:p w14:paraId="7DC240D4" w14:textId="77777777" w:rsidR="000E391E" w:rsidRPr="000E391E" w:rsidRDefault="000E391E" w:rsidP="000E391E">
            <w:r w:rsidRPr="000E391E">
              <w:t>Fabrication Team, Test &amp; Validation Team</w:t>
            </w:r>
          </w:p>
        </w:tc>
        <w:tc>
          <w:tcPr>
            <w:tcW w:w="0" w:type="auto"/>
            <w:tcBorders>
              <w:bottom w:val="single" w:sz="6" w:space="0" w:color="454545"/>
            </w:tcBorders>
            <w:vAlign w:val="center"/>
            <w:hideMark/>
          </w:tcPr>
          <w:p w14:paraId="203DF7F5" w14:textId="77777777" w:rsidR="000E391E" w:rsidRPr="000E391E" w:rsidRDefault="000E391E" w:rsidP="000E391E">
            <w:r w:rsidRPr="000E391E">
              <w:t>Initial physical data is available for model re-evaluation within 6 weeks of starting Task 3.</w:t>
            </w:r>
          </w:p>
        </w:tc>
      </w:tr>
      <w:tr w:rsidR="000E391E" w:rsidRPr="000E391E" w14:paraId="46F5D3EB" w14:textId="77777777">
        <w:trPr>
          <w:tblCellSpacing w:w="15" w:type="dxa"/>
        </w:trPr>
        <w:tc>
          <w:tcPr>
            <w:tcW w:w="0" w:type="auto"/>
            <w:tcBorders>
              <w:bottom w:val="single" w:sz="6" w:space="0" w:color="454545"/>
            </w:tcBorders>
            <w:vAlign w:val="center"/>
            <w:hideMark/>
          </w:tcPr>
          <w:p w14:paraId="2E7F86F0" w14:textId="77777777" w:rsidR="000E391E" w:rsidRPr="000E391E" w:rsidRDefault="000E391E" w:rsidP="000E391E">
            <w:r w:rsidRPr="000E391E">
              <w:rPr>
                <w:b/>
                <w:bCs/>
              </w:rPr>
              <w:t>2.2: Bayesian DOE Reweighting</w:t>
            </w:r>
          </w:p>
        </w:tc>
        <w:tc>
          <w:tcPr>
            <w:tcW w:w="0" w:type="auto"/>
            <w:tcBorders>
              <w:bottom w:val="single" w:sz="6" w:space="0" w:color="454545"/>
            </w:tcBorders>
            <w:vAlign w:val="center"/>
            <w:hideMark/>
          </w:tcPr>
          <w:p w14:paraId="6D687595" w14:textId="77777777" w:rsidR="000E391E" w:rsidRPr="000E391E" w:rsidRDefault="000E391E" w:rsidP="000E391E">
            <w:r w:rsidRPr="000E391E">
              <w:t>If a mismatch is detected (e.g., prototype performance is &gt;20% off from prediction), the AI-DOE model will be updated using the new physical data points. The Bayesian optimization algorithm will re-weight the parameter space, deprioritizing regions that led to poor results and prioritizing new regions informed by the physical data.</w:t>
            </w:r>
          </w:p>
        </w:tc>
        <w:tc>
          <w:tcPr>
            <w:tcW w:w="0" w:type="auto"/>
            <w:tcBorders>
              <w:bottom w:val="single" w:sz="6" w:space="0" w:color="454545"/>
            </w:tcBorders>
            <w:vAlign w:val="center"/>
            <w:hideMark/>
          </w:tcPr>
          <w:p w14:paraId="5B73D182" w14:textId="77777777" w:rsidR="000E391E" w:rsidRPr="000E391E" w:rsidRDefault="000E391E" w:rsidP="000E391E">
            <w:r w:rsidRPr="000E391E">
              <w:t>Triggered by results from Action 2.1</w:t>
            </w:r>
          </w:p>
        </w:tc>
        <w:tc>
          <w:tcPr>
            <w:tcW w:w="0" w:type="auto"/>
            <w:tcBorders>
              <w:bottom w:val="single" w:sz="6" w:space="0" w:color="454545"/>
            </w:tcBorders>
            <w:vAlign w:val="center"/>
            <w:hideMark/>
          </w:tcPr>
          <w:p w14:paraId="05395626" w14:textId="77777777" w:rsidR="000E391E" w:rsidRPr="000E391E" w:rsidRDefault="000E391E" w:rsidP="000E391E">
            <w:r w:rsidRPr="000E391E">
              <w:t>AI/ML Team, Quantum Modeling Team</w:t>
            </w:r>
          </w:p>
        </w:tc>
        <w:tc>
          <w:tcPr>
            <w:tcW w:w="0" w:type="auto"/>
            <w:tcBorders>
              <w:bottom w:val="single" w:sz="6" w:space="0" w:color="454545"/>
            </w:tcBorders>
            <w:vAlign w:val="center"/>
            <w:hideMark/>
          </w:tcPr>
          <w:p w14:paraId="03AAB531" w14:textId="77777777" w:rsidR="000E391E" w:rsidRPr="000E391E" w:rsidRDefault="000E391E" w:rsidP="000E391E">
            <w:r w:rsidRPr="000E391E">
              <w:t>The updated model's prediction error for the initial prototypes is reduced by &gt;50%.</w:t>
            </w:r>
          </w:p>
        </w:tc>
      </w:tr>
      <w:tr w:rsidR="000E391E" w:rsidRPr="000E391E" w14:paraId="0EF53AF0" w14:textId="77777777">
        <w:trPr>
          <w:tblCellSpacing w:w="15" w:type="dxa"/>
        </w:trPr>
        <w:tc>
          <w:tcPr>
            <w:tcW w:w="0" w:type="auto"/>
            <w:tcBorders>
              <w:bottom w:val="single" w:sz="6" w:space="0" w:color="454545"/>
            </w:tcBorders>
            <w:vAlign w:val="center"/>
            <w:hideMark/>
          </w:tcPr>
          <w:p w14:paraId="5FCFC446" w14:textId="77777777" w:rsidR="000E391E" w:rsidRPr="000E391E" w:rsidRDefault="000E391E" w:rsidP="000E391E">
            <w:r w:rsidRPr="000E391E">
              <w:rPr>
                <w:b/>
                <w:bCs/>
              </w:rPr>
              <w:t>2.3: Prioritize Next Fabrication Batch</w:t>
            </w:r>
          </w:p>
        </w:tc>
        <w:tc>
          <w:tcPr>
            <w:tcW w:w="0" w:type="auto"/>
            <w:tcBorders>
              <w:bottom w:val="single" w:sz="6" w:space="0" w:color="454545"/>
            </w:tcBorders>
            <w:vAlign w:val="center"/>
            <w:hideMark/>
          </w:tcPr>
          <w:p w14:paraId="40A98C78" w14:textId="77777777" w:rsidR="000E391E" w:rsidRPr="000E391E" w:rsidRDefault="000E391E" w:rsidP="000E391E">
            <w:r w:rsidRPr="000E391E">
              <w:t>Based on the re-weighted DOE, a new set of 3-5 candidates will be selected from the remaining portfolio or newly generated simulations for the next fabrication run.</w:t>
            </w:r>
          </w:p>
        </w:tc>
        <w:tc>
          <w:tcPr>
            <w:tcW w:w="0" w:type="auto"/>
            <w:tcBorders>
              <w:bottom w:val="single" w:sz="6" w:space="0" w:color="454545"/>
            </w:tcBorders>
            <w:vAlign w:val="center"/>
            <w:hideMark/>
          </w:tcPr>
          <w:p w14:paraId="437EA5AB" w14:textId="77777777" w:rsidR="000E391E" w:rsidRPr="000E391E" w:rsidRDefault="000E391E" w:rsidP="000E391E">
            <w:r w:rsidRPr="000E391E">
              <w:t>Following completion of Action 2.2</w:t>
            </w:r>
          </w:p>
        </w:tc>
        <w:tc>
          <w:tcPr>
            <w:tcW w:w="0" w:type="auto"/>
            <w:tcBorders>
              <w:bottom w:val="single" w:sz="6" w:space="0" w:color="454545"/>
            </w:tcBorders>
            <w:vAlign w:val="center"/>
            <w:hideMark/>
          </w:tcPr>
          <w:p w14:paraId="6CA6754C" w14:textId="77777777" w:rsidR="000E391E" w:rsidRPr="000E391E" w:rsidRDefault="000E391E" w:rsidP="000E391E">
            <w:r w:rsidRPr="000E391E">
              <w:t>Project Lead, Fabrication Team</w:t>
            </w:r>
          </w:p>
        </w:tc>
        <w:tc>
          <w:tcPr>
            <w:tcW w:w="0" w:type="auto"/>
            <w:tcBorders>
              <w:bottom w:val="single" w:sz="6" w:space="0" w:color="454545"/>
            </w:tcBorders>
            <w:vAlign w:val="center"/>
            <w:hideMark/>
          </w:tcPr>
          <w:p w14:paraId="48EEDF31" w14:textId="77777777" w:rsidR="000E391E" w:rsidRPr="000E391E" w:rsidRDefault="000E391E" w:rsidP="000E391E">
            <w:r w:rsidRPr="000E391E">
              <w:t>The second batch of prototypes demonstrates performance within 20% of the updated predictions.</w:t>
            </w:r>
          </w:p>
        </w:tc>
      </w:tr>
    </w:tbl>
    <w:p w14:paraId="70E2BE62" w14:textId="77777777" w:rsidR="000E391E" w:rsidRPr="000E391E" w:rsidRDefault="000E391E" w:rsidP="000E391E">
      <w:pPr>
        <w:rPr>
          <w:b/>
          <w:bCs/>
        </w:rPr>
      </w:pPr>
      <w:r w:rsidRPr="000E391E">
        <w:rPr>
          <w:b/>
          <w:bCs/>
        </w:rPr>
        <w:t>Phase 3: Contingency Plan</w:t>
      </w:r>
    </w:p>
    <w:p w14:paraId="45AEB475" w14:textId="77777777" w:rsidR="000E391E" w:rsidRPr="000E391E" w:rsidRDefault="000E391E" w:rsidP="000E391E">
      <w:r w:rsidRPr="000E391E">
        <w:t>This plan is enacted if the mismatch proves persistent and cannot be resolved through iterative re-weighting.</w:t>
      </w:r>
    </w:p>
    <w:tbl>
      <w:tblPr>
        <w:tblW w:w="9953" w:type="dxa"/>
        <w:tblCellSpacing w:w="15" w:type="dxa"/>
        <w:tblCellMar>
          <w:top w:w="15" w:type="dxa"/>
          <w:left w:w="15" w:type="dxa"/>
          <w:bottom w:w="15" w:type="dxa"/>
          <w:right w:w="15" w:type="dxa"/>
        </w:tblCellMar>
        <w:tblLook w:val="04A0" w:firstRow="1" w:lastRow="0" w:firstColumn="1" w:lastColumn="0" w:noHBand="0" w:noVBand="1"/>
      </w:tblPr>
      <w:tblGrid>
        <w:gridCol w:w="1646"/>
        <w:gridCol w:w="2865"/>
        <w:gridCol w:w="1807"/>
        <w:gridCol w:w="1499"/>
        <w:gridCol w:w="2136"/>
      </w:tblGrid>
      <w:tr w:rsidR="000E391E" w:rsidRPr="000E391E" w14:paraId="18D75362" w14:textId="77777777">
        <w:trPr>
          <w:tblCellSpacing w:w="15" w:type="dxa"/>
        </w:trPr>
        <w:tc>
          <w:tcPr>
            <w:tcW w:w="0" w:type="auto"/>
            <w:tcBorders>
              <w:bottom w:val="single" w:sz="6" w:space="0" w:color="454545"/>
            </w:tcBorders>
            <w:vAlign w:val="center"/>
            <w:hideMark/>
          </w:tcPr>
          <w:p w14:paraId="5A4DB3E9" w14:textId="77777777" w:rsidR="000E391E" w:rsidRPr="000E391E" w:rsidRDefault="000E391E" w:rsidP="000E391E">
            <w:pPr>
              <w:rPr>
                <w:b/>
                <w:bCs/>
              </w:rPr>
            </w:pPr>
            <w:r w:rsidRPr="000E391E">
              <w:rPr>
                <w:b/>
                <w:bCs/>
              </w:rPr>
              <w:t>Action Item</w:t>
            </w:r>
          </w:p>
        </w:tc>
        <w:tc>
          <w:tcPr>
            <w:tcW w:w="0" w:type="auto"/>
            <w:tcBorders>
              <w:bottom w:val="single" w:sz="6" w:space="0" w:color="454545"/>
            </w:tcBorders>
            <w:vAlign w:val="center"/>
            <w:hideMark/>
          </w:tcPr>
          <w:p w14:paraId="71FBCF74" w14:textId="77777777" w:rsidR="000E391E" w:rsidRPr="000E391E" w:rsidRDefault="000E391E" w:rsidP="000E391E">
            <w:pPr>
              <w:rPr>
                <w:b/>
                <w:bCs/>
              </w:rPr>
            </w:pPr>
            <w:r w:rsidRPr="000E391E">
              <w:rPr>
                <w:b/>
                <w:bCs/>
              </w:rPr>
              <w:t>Description</w:t>
            </w:r>
          </w:p>
        </w:tc>
        <w:tc>
          <w:tcPr>
            <w:tcW w:w="0" w:type="auto"/>
            <w:tcBorders>
              <w:bottom w:val="single" w:sz="6" w:space="0" w:color="454545"/>
            </w:tcBorders>
            <w:vAlign w:val="center"/>
            <w:hideMark/>
          </w:tcPr>
          <w:p w14:paraId="64527EDD" w14:textId="77777777" w:rsidR="000E391E" w:rsidRPr="000E391E" w:rsidRDefault="000E391E" w:rsidP="000E391E">
            <w:pPr>
              <w:rPr>
                <w:b/>
                <w:bCs/>
              </w:rPr>
            </w:pPr>
            <w:r w:rsidRPr="000E391E">
              <w:rPr>
                <w:b/>
                <w:bCs/>
              </w:rPr>
              <w:t>Trigger / Timing</w:t>
            </w:r>
          </w:p>
        </w:tc>
        <w:tc>
          <w:tcPr>
            <w:tcW w:w="0" w:type="auto"/>
            <w:tcBorders>
              <w:bottom w:val="single" w:sz="6" w:space="0" w:color="454545"/>
            </w:tcBorders>
            <w:vAlign w:val="center"/>
            <w:hideMark/>
          </w:tcPr>
          <w:p w14:paraId="4BD9C983" w14:textId="77777777" w:rsidR="000E391E" w:rsidRPr="000E391E" w:rsidRDefault="000E391E" w:rsidP="000E391E">
            <w:pPr>
              <w:rPr>
                <w:b/>
                <w:bCs/>
              </w:rPr>
            </w:pPr>
            <w:r w:rsidRPr="000E391E">
              <w:rPr>
                <w:b/>
                <w:bCs/>
              </w:rPr>
              <w:t>Responsible Team</w:t>
            </w:r>
          </w:p>
        </w:tc>
        <w:tc>
          <w:tcPr>
            <w:tcW w:w="0" w:type="auto"/>
            <w:tcBorders>
              <w:bottom w:val="single" w:sz="6" w:space="0" w:color="454545"/>
            </w:tcBorders>
            <w:vAlign w:val="center"/>
            <w:hideMark/>
          </w:tcPr>
          <w:p w14:paraId="7D148FA3" w14:textId="77777777" w:rsidR="000E391E" w:rsidRPr="000E391E" w:rsidRDefault="000E391E" w:rsidP="000E391E">
            <w:pPr>
              <w:rPr>
                <w:b/>
                <w:bCs/>
              </w:rPr>
            </w:pPr>
            <w:r w:rsidRPr="000E391E">
              <w:rPr>
                <w:b/>
                <w:bCs/>
              </w:rPr>
              <w:t>Success Metric</w:t>
            </w:r>
          </w:p>
        </w:tc>
      </w:tr>
      <w:tr w:rsidR="000E391E" w:rsidRPr="000E391E" w14:paraId="015B749F" w14:textId="77777777">
        <w:trPr>
          <w:tblCellSpacing w:w="15" w:type="dxa"/>
        </w:trPr>
        <w:tc>
          <w:tcPr>
            <w:tcW w:w="0" w:type="auto"/>
            <w:tcBorders>
              <w:bottom w:val="single" w:sz="6" w:space="0" w:color="454545"/>
            </w:tcBorders>
            <w:vAlign w:val="center"/>
            <w:hideMark/>
          </w:tcPr>
          <w:p w14:paraId="17A69120" w14:textId="77777777" w:rsidR="000E391E" w:rsidRPr="000E391E" w:rsidRDefault="000E391E" w:rsidP="000E391E">
            <w:r w:rsidRPr="000E391E">
              <w:rPr>
                <w:b/>
                <w:bCs/>
              </w:rPr>
              <w:t>3.1: Root Cause Analysis (RCA) Task Force</w:t>
            </w:r>
          </w:p>
        </w:tc>
        <w:tc>
          <w:tcPr>
            <w:tcW w:w="0" w:type="auto"/>
            <w:tcBorders>
              <w:bottom w:val="single" w:sz="6" w:space="0" w:color="454545"/>
            </w:tcBorders>
            <w:vAlign w:val="center"/>
            <w:hideMark/>
          </w:tcPr>
          <w:p w14:paraId="6C1A26C7" w14:textId="77777777" w:rsidR="000E391E" w:rsidRPr="000E391E" w:rsidRDefault="000E391E" w:rsidP="000E391E">
            <w:r w:rsidRPr="000E391E">
              <w:t xml:space="preserve">A dedicated task force of modeling, fabrication, and testing experts will be formed to conduct a deep-dive RCA. This includes forensic analysis of failed prototypes (TEM, SIMS) and a full audit of the </w:t>
            </w:r>
            <w:r w:rsidRPr="000E391E">
              <w:lastRenderedPageBreak/>
              <w:t>simulation environment and fabrication process logs.</w:t>
            </w:r>
          </w:p>
        </w:tc>
        <w:tc>
          <w:tcPr>
            <w:tcW w:w="0" w:type="auto"/>
            <w:tcBorders>
              <w:bottom w:val="single" w:sz="6" w:space="0" w:color="454545"/>
            </w:tcBorders>
            <w:vAlign w:val="center"/>
            <w:hideMark/>
          </w:tcPr>
          <w:p w14:paraId="424E9C4D" w14:textId="77777777" w:rsidR="000E391E" w:rsidRPr="000E391E" w:rsidRDefault="000E391E" w:rsidP="000E391E">
            <w:r w:rsidRPr="000E391E">
              <w:lastRenderedPageBreak/>
              <w:t>If two consecutive fabrication batches fail to meet the </w:t>
            </w:r>
            <w:r w:rsidRPr="000E391E">
              <w:rPr>
                <w:b/>
                <w:bCs/>
              </w:rPr>
              <w:t>T3 Exit Criteria</w:t>
            </w:r>
            <w:r w:rsidRPr="000E391E">
              <w:t>.</w:t>
            </w:r>
          </w:p>
        </w:tc>
        <w:tc>
          <w:tcPr>
            <w:tcW w:w="0" w:type="auto"/>
            <w:tcBorders>
              <w:bottom w:val="single" w:sz="6" w:space="0" w:color="454545"/>
            </w:tcBorders>
            <w:vAlign w:val="center"/>
            <w:hideMark/>
          </w:tcPr>
          <w:p w14:paraId="5CCF0120" w14:textId="77777777" w:rsidR="000E391E" w:rsidRPr="000E391E" w:rsidRDefault="000E391E" w:rsidP="000E391E">
            <w:r w:rsidRPr="000E391E">
              <w:t>CTO, Project Lead, Team Leads</w:t>
            </w:r>
          </w:p>
        </w:tc>
        <w:tc>
          <w:tcPr>
            <w:tcW w:w="0" w:type="auto"/>
            <w:tcBorders>
              <w:bottom w:val="single" w:sz="6" w:space="0" w:color="454545"/>
            </w:tcBorders>
            <w:vAlign w:val="center"/>
            <w:hideMark/>
          </w:tcPr>
          <w:p w14:paraId="0C6B0996" w14:textId="77777777" w:rsidR="000E391E" w:rsidRPr="000E391E" w:rsidRDefault="000E391E" w:rsidP="000E391E">
            <w:r w:rsidRPr="000E391E">
              <w:t xml:space="preserve">A formal RCA report identifying the primary source of the mismatch (e.g., an unmodeled physical effect, a process contamination </w:t>
            </w:r>
            <w:r w:rsidRPr="000E391E">
              <w:lastRenderedPageBreak/>
              <w:t>issue) is delivered within 4 weeks.</w:t>
            </w:r>
          </w:p>
        </w:tc>
      </w:tr>
      <w:tr w:rsidR="000E391E" w:rsidRPr="000E391E" w14:paraId="4411ACCB" w14:textId="77777777">
        <w:trPr>
          <w:tblCellSpacing w:w="15" w:type="dxa"/>
        </w:trPr>
        <w:tc>
          <w:tcPr>
            <w:tcW w:w="0" w:type="auto"/>
            <w:tcBorders>
              <w:bottom w:val="single" w:sz="6" w:space="0" w:color="454545"/>
            </w:tcBorders>
            <w:vAlign w:val="center"/>
            <w:hideMark/>
          </w:tcPr>
          <w:p w14:paraId="2C95A2EC" w14:textId="77777777" w:rsidR="000E391E" w:rsidRPr="000E391E" w:rsidRDefault="000E391E" w:rsidP="000E391E">
            <w:r w:rsidRPr="000E391E">
              <w:rPr>
                <w:b/>
                <w:bCs/>
              </w:rPr>
              <w:lastRenderedPageBreak/>
              <w:t>3.2: Pivot to Backup Formulations</w:t>
            </w:r>
          </w:p>
        </w:tc>
        <w:tc>
          <w:tcPr>
            <w:tcW w:w="0" w:type="auto"/>
            <w:tcBorders>
              <w:bottom w:val="single" w:sz="6" w:space="0" w:color="454545"/>
            </w:tcBorders>
            <w:vAlign w:val="center"/>
            <w:hideMark/>
          </w:tcPr>
          <w:p w14:paraId="03980331" w14:textId="77777777" w:rsidR="000E391E" w:rsidRPr="000E391E" w:rsidRDefault="000E391E" w:rsidP="000E391E">
            <w:r w:rsidRPr="000E391E">
              <w:t>The project will pivot to fabricating "backup" formulations. These are lower-risk, less aggressive designs identified during the initial AI-DOE that may have lower predicted performance but a much higher probability of manufacturability and stability.</w:t>
            </w:r>
          </w:p>
        </w:tc>
        <w:tc>
          <w:tcPr>
            <w:tcW w:w="0" w:type="auto"/>
            <w:tcBorders>
              <w:bottom w:val="single" w:sz="6" w:space="0" w:color="454545"/>
            </w:tcBorders>
            <w:vAlign w:val="center"/>
            <w:hideMark/>
          </w:tcPr>
          <w:p w14:paraId="79BF2A67" w14:textId="77777777" w:rsidR="000E391E" w:rsidRPr="000E391E" w:rsidRDefault="000E391E" w:rsidP="000E391E">
            <w:r w:rsidRPr="000E391E">
              <w:t xml:space="preserve">Following the RCA </w:t>
            </w:r>
            <w:proofErr w:type="gramStart"/>
            <w:r w:rsidRPr="000E391E">
              <w:t>report</w:t>
            </w:r>
            <w:proofErr w:type="gramEnd"/>
            <w:r w:rsidRPr="000E391E">
              <w:t xml:space="preserve"> if the primary path is deemed unrecoverable.</w:t>
            </w:r>
          </w:p>
        </w:tc>
        <w:tc>
          <w:tcPr>
            <w:tcW w:w="0" w:type="auto"/>
            <w:tcBorders>
              <w:bottom w:val="single" w:sz="6" w:space="0" w:color="454545"/>
            </w:tcBorders>
            <w:vAlign w:val="center"/>
            <w:hideMark/>
          </w:tcPr>
          <w:p w14:paraId="35CAB16F" w14:textId="77777777" w:rsidR="000E391E" w:rsidRPr="000E391E" w:rsidRDefault="000E391E" w:rsidP="000E391E">
            <w:r w:rsidRPr="000E391E">
              <w:t>Project Lead, Fabrication Team</w:t>
            </w:r>
          </w:p>
        </w:tc>
        <w:tc>
          <w:tcPr>
            <w:tcW w:w="0" w:type="auto"/>
            <w:tcBorders>
              <w:bottom w:val="single" w:sz="6" w:space="0" w:color="454545"/>
            </w:tcBorders>
            <w:vAlign w:val="center"/>
            <w:hideMark/>
          </w:tcPr>
          <w:p w14:paraId="3C05C2DF" w14:textId="77777777" w:rsidR="000E391E" w:rsidRPr="000E391E" w:rsidRDefault="000E391E" w:rsidP="000E391E">
            <w:r w:rsidRPr="000E391E">
              <w:t>A backup formulation successfully passes the T3 Exit Criteria, providing a viable, albeit potentially lower-performance, path to a licensable product.</w:t>
            </w:r>
          </w:p>
        </w:tc>
      </w:tr>
      <w:tr w:rsidR="000E391E" w:rsidRPr="000E391E" w14:paraId="3D5EA60D" w14:textId="77777777">
        <w:trPr>
          <w:tblCellSpacing w:w="15" w:type="dxa"/>
        </w:trPr>
        <w:tc>
          <w:tcPr>
            <w:tcW w:w="0" w:type="auto"/>
            <w:tcBorders>
              <w:bottom w:val="single" w:sz="6" w:space="0" w:color="454545"/>
            </w:tcBorders>
            <w:vAlign w:val="center"/>
            <w:hideMark/>
          </w:tcPr>
          <w:p w14:paraId="751EC208" w14:textId="77777777" w:rsidR="000E391E" w:rsidRPr="000E391E" w:rsidRDefault="000E391E" w:rsidP="000E391E">
            <w:r w:rsidRPr="000E391E">
              <w:rPr>
                <w:b/>
                <w:bCs/>
              </w:rPr>
              <w:t>3.3: Re-scope Project &amp; Re-baseline</w:t>
            </w:r>
          </w:p>
        </w:tc>
        <w:tc>
          <w:tcPr>
            <w:tcW w:w="0" w:type="auto"/>
            <w:tcBorders>
              <w:bottom w:val="single" w:sz="6" w:space="0" w:color="454545"/>
            </w:tcBorders>
            <w:vAlign w:val="center"/>
            <w:hideMark/>
          </w:tcPr>
          <w:p w14:paraId="3806A864" w14:textId="77777777" w:rsidR="000E391E" w:rsidRPr="000E391E" w:rsidRDefault="000E391E" w:rsidP="000E391E">
            <w:r w:rsidRPr="000E391E">
              <w:t>If the core PBA approach is deemed fundamentally flawed, the project's scope, budget, and timeline will be formally re-baselined. This may involve shifting focus to an entirely different material class (e.g., layered oxides) while leveraging the validated aspects of the AI-DOE framework.</w:t>
            </w:r>
          </w:p>
        </w:tc>
        <w:tc>
          <w:tcPr>
            <w:tcW w:w="0" w:type="auto"/>
            <w:tcBorders>
              <w:bottom w:val="single" w:sz="6" w:space="0" w:color="454545"/>
            </w:tcBorders>
            <w:vAlign w:val="center"/>
            <w:hideMark/>
          </w:tcPr>
          <w:p w14:paraId="7276C4FD" w14:textId="77777777" w:rsidR="000E391E" w:rsidRPr="000E391E" w:rsidRDefault="000E391E" w:rsidP="000E391E">
            <w:r w:rsidRPr="000E391E">
              <w:t>If both primary and backup formulations fail.</w:t>
            </w:r>
          </w:p>
        </w:tc>
        <w:tc>
          <w:tcPr>
            <w:tcW w:w="0" w:type="auto"/>
            <w:tcBorders>
              <w:bottom w:val="single" w:sz="6" w:space="0" w:color="454545"/>
            </w:tcBorders>
            <w:vAlign w:val="center"/>
            <w:hideMark/>
          </w:tcPr>
          <w:p w14:paraId="517014BF" w14:textId="77777777" w:rsidR="000E391E" w:rsidRPr="000E391E" w:rsidRDefault="000E391E" w:rsidP="000E391E">
            <w:r w:rsidRPr="000E391E">
              <w:t>Executive Leadership, Project Lead</w:t>
            </w:r>
          </w:p>
        </w:tc>
        <w:tc>
          <w:tcPr>
            <w:tcW w:w="0" w:type="auto"/>
            <w:tcBorders>
              <w:bottom w:val="single" w:sz="6" w:space="0" w:color="454545"/>
            </w:tcBorders>
            <w:vAlign w:val="center"/>
            <w:hideMark/>
          </w:tcPr>
          <w:p w14:paraId="53D8C086" w14:textId="77777777" w:rsidR="000E391E" w:rsidRPr="000E391E" w:rsidRDefault="000E391E" w:rsidP="000E391E">
            <w:r w:rsidRPr="000E391E">
              <w:t>A revised project charter with new technical targets, a new budget, and a new schedule is approved by stakeholders.</w:t>
            </w:r>
          </w:p>
        </w:tc>
      </w:tr>
    </w:tbl>
    <w:p w14:paraId="166D985C" w14:textId="77777777" w:rsidR="00A0709A" w:rsidRDefault="00A0709A"/>
    <w:sectPr w:rsidR="00A07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551"/>
    <w:multiLevelType w:val="multilevel"/>
    <w:tmpl w:val="870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63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91E"/>
    <w:rsid w:val="000E391E"/>
    <w:rsid w:val="00134148"/>
    <w:rsid w:val="006B2AAB"/>
    <w:rsid w:val="00A07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196F3"/>
  <w15:chartTrackingRefBased/>
  <w15:docId w15:val="{5FD09F40-22D3-4BB2-B460-DEEB9455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91E"/>
    <w:rPr>
      <w:rFonts w:eastAsiaTheme="majorEastAsia" w:cstheme="majorBidi"/>
      <w:color w:val="272727" w:themeColor="text1" w:themeTint="D8"/>
    </w:rPr>
  </w:style>
  <w:style w:type="paragraph" w:styleId="Title">
    <w:name w:val="Title"/>
    <w:basedOn w:val="Normal"/>
    <w:next w:val="Normal"/>
    <w:link w:val="TitleChar"/>
    <w:uiPriority w:val="10"/>
    <w:qFormat/>
    <w:rsid w:val="000E3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91E"/>
    <w:pPr>
      <w:spacing w:before="160"/>
      <w:jc w:val="center"/>
    </w:pPr>
    <w:rPr>
      <w:i/>
      <w:iCs/>
      <w:color w:val="404040" w:themeColor="text1" w:themeTint="BF"/>
    </w:rPr>
  </w:style>
  <w:style w:type="character" w:customStyle="1" w:styleId="QuoteChar">
    <w:name w:val="Quote Char"/>
    <w:basedOn w:val="DefaultParagraphFont"/>
    <w:link w:val="Quote"/>
    <w:uiPriority w:val="29"/>
    <w:rsid w:val="000E391E"/>
    <w:rPr>
      <w:i/>
      <w:iCs/>
      <w:color w:val="404040" w:themeColor="text1" w:themeTint="BF"/>
    </w:rPr>
  </w:style>
  <w:style w:type="paragraph" w:styleId="ListParagraph">
    <w:name w:val="List Paragraph"/>
    <w:basedOn w:val="Normal"/>
    <w:uiPriority w:val="34"/>
    <w:qFormat/>
    <w:rsid w:val="000E391E"/>
    <w:pPr>
      <w:ind w:left="720"/>
      <w:contextualSpacing/>
    </w:pPr>
  </w:style>
  <w:style w:type="character" w:styleId="IntenseEmphasis">
    <w:name w:val="Intense Emphasis"/>
    <w:basedOn w:val="DefaultParagraphFont"/>
    <w:uiPriority w:val="21"/>
    <w:qFormat/>
    <w:rsid w:val="000E391E"/>
    <w:rPr>
      <w:i/>
      <w:iCs/>
      <w:color w:val="0F4761" w:themeColor="accent1" w:themeShade="BF"/>
    </w:rPr>
  </w:style>
  <w:style w:type="paragraph" w:styleId="IntenseQuote">
    <w:name w:val="Intense Quote"/>
    <w:basedOn w:val="Normal"/>
    <w:next w:val="Normal"/>
    <w:link w:val="IntenseQuoteChar"/>
    <w:uiPriority w:val="30"/>
    <w:qFormat/>
    <w:rsid w:val="000E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91E"/>
    <w:rPr>
      <w:i/>
      <w:iCs/>
      <w:color w:val="0F4761" w:themeColor="accent1" w:themeShade="BF"/>
    </w:rPr>
  </w:style>
  <w:style w:type="character" w:styleId="IntenseReference">
    <w:name w:val="Intense Reference"/>
    <w:basedOn w:val="DefaultParagraphFont"/>
    <w:uiPriority w:val="32"/>
    <w:qFormat/>
    <w:rsid w:val="000E39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 Dely</dc:creator>
  <cp:keywords/>
  <dc:description/>
  <cp:lastModifiedBy>Sal Dely</cp:lastModifiedBy>
  <cp:revision>1</cp:revision>
  <dcterms:created xsi:type="dcterms:W3CDTF">2025-10-21T19:47:00Z</dcterms:created>
  <dcterms:modified xsi:type="dcterms:W3CDTF">2025-10-21T19:47:00Z</dcterms:modified>
</cp:coreProperties>
</file>