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DB60E" w14:textId="77777777" w:rsidR="008320AE" w:rsidRPr="008320AE" w:rsidRDefault="008320AE" w:rsidP="008320AE">
      <w:pPr>
        <w:rPr>
          <w:b/>
          <w:bCs/>
        </w:rPr>
      </w:pPr>
      <w:r w:rsidRPr="008320AE">
        <w:rPr>
          <w:b/>
          <w:bCs/>
        </w:rPr>
        <w:t>Manufacturing Processes and QC for RCS Stealth Material</w:t>
      </w:r>
    </w:p>
    <w:p w14:paraId="7F9DFA71" w14:textId="77777777" w:rsidR="008320AE" w:rsidRPr="008320AE" w:rsidRDefault="008320AE" w:rsidP="008320AE">
      <w:r w:rsidRPr="008320AE">
        <w:t>Based on the </w:t>
      </w:r>
      <w:hyperlink r:id="rId5" w:tooltip="h:\My Drive\New folder\DataAnalysisWebsite\Scientific\MASTER_VALIDATION_DATABASE.txt" w:history="1">
        <w:r w:rsidRPr="008320AE">
          <w:rPr>
            <w:rStyle w:val="Hyperlink"/>
          </w:rPr>
          <w:t>MASTER_VALIDATION_DATABASE.txt</w:t>
        </w:r>
      </w:hyperlink>
      <w:r w:rsidRPr="008320AE">
        <w:t> and </w:t>
      </w:r>
      <w:hyperlink r:id="rId6" w:tooltip="h:\My Drive\New folder\DataAnalysisWebsite\Scientific\Q-SMEC Deep Scientific Analysis_text.txt" w:history="1">
        <w:r w:rsidRPr="008320AE">
          <w:rPr>
            <w:rStyle w:val="Hyperlink"/>
          </w:rPr>
          <w:t>Q-SMEC Deep Scientific Analysis_text.txt</w:t>
        </w:r>
      </w:hyperlink>
      <w:r w:rsidRPr="008320AE">
        <w:t> files, the RCS (Radar Cross-Section) Multispectral Stealth Material is a thin-film metamaterial. Its production leverages the standard Q-SMEC manufacturing stack, which includes:</w:t>
      </w:r>
    </w:p>
    <w:p w14:paraId="6A9DCC91" w14:textId="77777777" w:rsidR="008320AE" w:rsidRPr="008320AE" w:rsidRDefault="008320AE" w:rsidP="008320AE">
      <w:r w:rsidRPr="008320AE">
        <w:rPr>
          <w:b/>
          <w:bCs/>
        </w:rPr>
        <w:t>Manufacturing Processes:</w:t>
      </w:r>
    </w:p>
    <w:p w14:paraId="42BDB8E8" w14:textId="77777777" w:rsidR="008320AE" w:rsidRPr="008320AE" w:rsidRDefault="008320AE" w:rsidP="008320AE">
      <w:pPr>
        <w:numPr>
          <w:ilvl w:val="0"/>
          <w:numId w:val="1"/>
        </w:numPr>
      </w:pPr>
      <w:r w:rsidRPr="008320AE">
        <w:rPr>
          <w:b/>
          <w:bCs/>
        </w:rPr>
        <w:t>Thin-Film Deposition:</w:t>
      </w:r>
      <w:r w:rsidRPr="008320AE">
        <w:t> The core of the manufacturing process involves building up the metamaterial layer by layer.</w:t>
      </w:r>
    </w:p>
    <w:p w14:paraId="036B7B25" w14:textId="77777777" w:rsidR="008320AE" w:rsidRPr="008320AE" w:rsidRDefault="008320AE" w:rsidP="008320AE">
      <w:pPr>
        <w:numPr>
          <w:ilvl w:val="1"/>
          <w:numId w:val="1"/>
        </w:numPr>
      </w:pPr>
      <w:r w:rsidRPr="008320AE">
        <w:rPr>
          <w:b/>
          <w:bCs/>
        </w:rPr>
        <w:t>Chemical Vapor Deposition (CVD):</w:t>
      </w:r>
      <w:r w:rsidRPr="008320AE">
        <w:t> Used to deposit the primary material layers. Operates at </w:t>
      </w:r>
      <w:r w:rsidRPr="008320AE">
        <w:rPr>
          <w:b/>
          <w:bCs/>
        </w:rPr>
        <w:t>300-800°C</w:t>
      </w:r>
      <w:r w:rsidRPr="008320AE">
        <w:t>.</w:t>
      </w:r>
    </w:p>
    <w:p w14:paraId="4D5FEC45" w14:textId="77777777" w:rsidR="008320AE" w:rsidRPr="008320AE" w:rsidRDefault="008320AE" w:rsidP="008320AE">
      <w:pPr>
        <w:numPr>
          <w:ilvl w:val="1"/>
          <w:numId w:val="1"/>
        </w:numPr>
      </w:pPr>
      <w:r w:rsidRPr="008320AE">
        <w:rPr>
          <w:b/>
          <w:bCs/>
        </w:rPr>
        <w:t>Physical Vapor Deposition (PVD) / Sputtering:</w:t>
      </w:r>
      <w:r w:rsidRPr="008320AE">
        <w:t> Used to insert specific metallic or functional layers. Operates at </w:t>
      </w:r>
      <w:r w:rsidRPr="008320AE">
        <w:rPr>
          <w:b/>
          <w:bCs/>
        </w:rPr>
        <w:t>200-600W</w:t>
      </w:r>
      <w:r w:rsidRPr="008320AE">
        <w:t> with a deposition rate of </w:t>
      </w:r>
      <w:r w:rsidRPr="008320AE">
        <w:rPr>
          <w:b/>
          <w:bCs/>
        </w:rPr>
        <w:t>0.5-5 nm/s</w:t>
      </w:r>
      <w:r w:rsidRPr="008320AE">
        <w:t>.</w:t>
      </w:r>
    </w:p>
    <w:p w14:paraId="73F7E4E3" w14:textId="77777777" w:rsidR="008320AE" w:rsidRPr="008320AE" w:rsidRDefault="008320AE" w:rsidP="008320AE">
      <w:pPr>
        <w:numPr>
          <w:ilvl w:val="1"/>
          <w:numId w:val="1"/>
        </w:numPr>
      </w:pPr>
      <w:r w:rsidRPr="008320AE">
        <w:rPr>
          <w:b/>
          <w:bCs/>
        </w:rPr>
        <w:t>Atomic Layer Deposition (ALD):</w:t>
      </w:r>
      <w:r w:rsidRPr="008320AE">
        <w:t> Used for creating ultra-thin, highly uniform layers, likely for surface passivation or creating precise interfaces. Operates at </w:t>
      </w:r>
      <w:r w:rsidRPr="008320AE">
        <w:rPr>
          <w:b/>
          <w:bCs/>
        </w:rPr>
        <w:t>120-350°C</w:t>
      </w:r>
      <w:r w:rsidRPr="008320AE">
        <w:t>.</w:t>
      </w:r>
    </w:p>
    <w:p w14:paraId="0814BFCB" w14:textId="77777777" w:rsidR="008320AE" w:rsidRPr="008320AE" w:rsidRDefault="008320AE" w:rsidP="008320AE">
      <w:pPr>
        <w:numPr>
          <w:ilvl w:val="0"/>
          <w:numId w:val="1"/>
        </w:numPr>
      </w:pPr>
      <w:r w:rsidRPr="008320AE">
        <w:rPr>
          <w:b/>
          <w:bCs/>
        </w:rPr>
        <w:t>Annealing:</w:t>
      </w:r>
      <w:r w:rsidRPr="008320AE">
        <w:t> A post-deposition heat treatment step performed at </w:t>
      </w:r>
      <w:r w:rsidRPr="008320AE">
        <w:rPr>
          <w:b/>
          <w:bCs/>
        </w:rPr>
        <w:t>250-800°C</w:t>
      </w:r>
      <w:r w:rsidRPr="008320AE">
        <w:t> for </w:t>
      </w:r>
      <w:r w:rsidRPr="008320AE">
        <w:rPr>
          <w:b/>
          <w:bCs/>
        </w:rPr>
        <w:t>30-120 minutes</w:t>
      </w:r>
      <w:r w:rsidRPr="008320AE">
        <w:t>. This is crucial for controlling the material's final crystal structure and ensuring optimal radar-absorbing properties.</w:t>
      </w:r>
    </w:p>
    <w:p w14:paraId="1F0E94CE" w14:textId="77777777" w:rsidR="008320AE" w:rsidRPr="008320AE" w:rsidRDefault="008320AE" w:rsidP="008320AE">
      <w:r w:rsidRPr="008320AE">
        <w:rPr>
          <w:b/>
          <w:bCs/>
        </w:rPr>
        <w:t>Quality Control (QC) Metrics:</w:t>
      </w:r>
    </w:p>
    <w:p w14:paraId="0D6F764F" w14:textId="77777777" w:rsidR="008320AE" w:rsidRPr="008320AE" w:rsidRDefault="008320AE" w:rsidP="008320AE">
      <w:r w:rsidRPr="008320AE">
        <w:t>The quality control for the RCS material focuses on ensuring the final product meets the specific performance targets required for stealth applications.</w:t>
      </w:r>
    </w:p>
    <w:p w14:paraId="081A7584" w14:textId="77777777" w:rsidR="008320AE" w:rsidRPr="008320AE" w:rsidRDefault="008320AE" w:rsidP="008320AE">
      <w:pPr>
        <w:numPr>
          <w:ilvl w:val="0"/>
          <w:numId w:val="2"/>
        </w:numPr>
      </w:pPr>
      <w:r w:rsidRPr="008320AE">
        <w:rPr>
          <w:b/>
          <w:bCs/>
        </w:rPr>
        <w:t>Layer Thickness:</w:t>
      </w:r>
      <w:r w:rsidRPr="008320AE">
        <w:t> The final coating must be </w:t>
      </w:r>
      <w:r w:rsidRPr="008320AE">
        <w:rPr>
          <w:b/>
          <w:bCs/>
        </w:rPr>
        <w:t>50 microns</w:t>
      </w:r>
      <w:r w:rsidRPr="008320AE">
        <w:t>. This is a critical parameter for ensuring the material interacts correctly with specific radar frequencies.</w:t>
      </w:r>
    </w:p>
    <w:p w14:paraId="7A1B00FF" w14:textId="77777777" w:rsidR="008320AE" w:rsidRPr="008320AE" w:rsidRDefault="008320AE" w:rsidP="008320AE">
      <w:pPr>
        <w:numPr>
          <w:ilvl w:val="0"/>
          <w:numId w:val="2"/>
        </w:numPr>
      </w:pPr>
      <w:r w:rsidRPr="008320AE">
        <w:rPr>
          <w:b/>
          <w:bCs/>
        </w:rPr>
        <w:t>Weight:</w:t>
      </w:r>
      <w:r w:rsidRPr="008320AE">
        <w:t> The material must have a weight of </w:t>
      </w:r>
      <w:r w:rsidRPr="008320AE">
        <w:rPr>
          <w:b/>
          <w:bCs/>
        </w:rPr>
        <w:t>0.01 g/cm²</w:t>
      </w:r>
      <w:r w:rsidRPr="008320AE">
        <w:t>. This ensures the stealth coating is lightweight and suitable for aerospace platforms where weight is a primary concern.</w:t>
      </w:r>
    </w:p>
    <w:p w14:paraId="790231BE" w14:textId="77777777" w:rsidR="008320AE" w:rsidRPr="008320AE" w:rsidRDefault="008320AE" w:rsidP="008320AE">
      <w:pPr>
        <w:numPr>
          <w:ilvl w:val="0"/>
          <w:numId w:val="2"/>
        </w:numPr>
      </w:pPr>
      <w:r w:rsidRPr="008320AE">
        <w:rPr>
          <w:b/>
          <w:bCs/>
        </w:rPr>
        <w:t>Complex Permittivity &amp; Permeability:</w:t>
      </w:r>
      <w:r w:rsidRPr="008320AE">
        <w:t> The imaginary components of both permittivity and permeability must be </w:t>
      </w:r>
      <w:r w:rsidRPr="008320AE">
        <w:rPr>
          <w:b/>
          <w:bCs/>
        </w:rPr>
        <w:t>0.1</w:t>
      </w:r>
      <w:r w:rsidRPr="008320AE">
        <w:t>. These are the most critical QC metrics, as they directly measure the material's ability to absorb electromagnetic energy (dielectric and magnetic loss). This is what makes the material absorb radar instead of reflecting it.</w:t>
      </w:r>
    </w:p>
    <w:p w14:paraId="643B30A5" w14:textId="77777777" w:rsidR="008320AE" w:rsidRPr="008320AE" w:rsidRDefault="008320AE" w:rsidP="008320AE">
      <w:pPr>
        <w:numPr>
          <w:ilvl w:val="0"/>
          <w:numId w:val="2"/>
        </w:numPr>
      </w:pPr>
      <w:r w:rsidRPr="008320AE">
        <w:rPr>
          <w:b/>
          <w:bCs/>
        </w:rPr>
        <w:lastRenderedPageBreak/>
        <w:t>Stoichiometry Error:</w:t>
      </w:r>
      <w:r w:rsidRPr="008320AE">
        <w:t> During the CVD process, the ratio of elements must be maintained with an error of </w:t>
      </w:r>
      <w:r w:rsidRPr="008320AE">
        <w:rPr>
          <w:b/>
          <w:bCs/>
        </w:rPr>
        <w:t>&lt; ±2%</w:t>
      </w:r>
      <w:r w:rsidRPr="008320AE">
        <w:t>. This ensures the material has the correct chemical composition for its intended electromagnetic properties.</w:t>
      </w:r>
    </w:p>
    <w:p w14:paraId="4DC61610" w14:textId="77777777" w:rsidR="008320AE" w:rsidRPr="008320AE" w:rsidRDefault="008320AE" w:rsidP="008320AE">
      <w:pPr>
        <w:numPr>
          <w:ilvl w:val="0"/>
          <w:numId w:val="2"/>
        </w:numPr>
      </w:pPr>
      <w:r w:rsidRPr="008320AE">
        <w:rPr>
          <w:b/>
          <w:bCs/>
        </w:rPr>
        <w:t>Crystallinity (XRD FWHM):</w:t>
      </w:r>
      <w:r w:rsidRPr="008320AE">
        <w:t> After annealing, the X-Ray Diffraction Full Width at Half Maximum must be </w:t>
      </w:r>
      <w:r w:rsidRPr="008320AE">
        <w:rPr>
          <w:b/>
          <w:bCs/>
        </w:rPr>
        <w:t>≤ baseline × 0.6</w:t>
      </w:r>
      <w:r w:rsidRPr="008320AE">
        <w:t>. This confirms that the material has achieved the desired crystal structure for stable and predictable radar absorption.</w:t>
      </w:r>
    </w:p>
    <w:p w14:paraId="2149650B" w14:textId="77777777" w:rsidR="00A0709A" w:rsidRDefault="00A0709A"/>
    <w:sectPr w:rsidR="00A070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121C"/>
    <w:multiLevelType w:val="multilevel"/>
    <w:tmpl w:val="DA20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9E4FCE"/>
    <w:multiLevelType w:val="multilevel"/>
    <w:tmpl w:val="B22251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6591653">
    <w:abstractNumId w:val="1"/>
  </w:num>
  <w:num w:numId="2" w16cid:durableId="333579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0AE"/>
    <w:rsid w:val="006B2AAB"/>
    <w:rsid w:val="008320AE"/>
    <w:rsid w:val="00883F9F"/>
    <w:rsid w:val="00A07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B4EA8"/>
  <w15:chartTrackingRefBased/>
  <w15:docId w15:val="{E88E8DFF-6667-4E82-B47A-0D211B48B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0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20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20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20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20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20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0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0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0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0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20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20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20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20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20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0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0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0AE"/>
    <w:rPr>
      <w:rFonts w:eastAsiaTheme="majorEastAsia" w:cstheme="majorBidi"/>
      <w:color w:val="272727" w:themeColor="text1" w:themeTint="D8"/>
    </w:rPr>
  </w:style>
  <w:style w:type="paragraph" w:styleId="Title">
    <w:name w:val="Title"/>
    <w:basedOn w:val="Normal"/>
    <w:next w:val="Normal"/>
    <w:link w:val="TitleChar"/>
    <w:uiPriority w:val="10"/>
    <w:qFormat/>
    <w:rsid w:val="008320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0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0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0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0AE"/>
    <w:pPr>
      <w:spacing w:before="160"/>
      <w:jc w:val="center"/>
    </w:pPr>
    <w:rPr>
      <w:i/>
      <w:iCs/>
      <w:color w:val="404040" w:themeColor="text1" w:themeTint="BF"/>
    </w:rPr>
  </w:style>
  <w:style w:type="character" w:customStyle="1" w:styleId="QuoteChar">
    <w:name w:val="Quote Char"/>
    <w:basedOn w:val="DefaultParagraphFont"/>
    <w:link w:val="Quote"/>
    <w:uiPriority w:val="29"/>
    <w:rsid w:val="008320AE"/>
    <w:rPr>
      <w:i/>
      <w:iCs/>
      <w:color w:val="404040" w:themeColor="text1" w:themeTint="BF"/>
    </w:rPr>
  </w:style>
  <w:style w:type="paragraph" w:styleId="ListParagraph">
    <w:name w:val="List Paragraph"/>
    <w:basedOn w:val="Normal"/>
    <w:uiPriority w:val="34"/>
    <w:qFormat/>
    <w:rsid w:val="008320AE"/>
    <w:pPr>
      <w:ind w:left="720"/>
      <w:contextualSpacing/>
    </w:pPr>
  </w:style>
  <w:style w:type="character" w:styleId="IntenseEmphasis">
    <w:name w:val="Intense Emphasis"/>
    <w:basedOn w:val="DefaultParagraphFont"/>
    <w:uiPriority w:val="21"/>
    <w:qFormat/>
    <w:rsid w:val="008320AE"/>
    <w:rPr>
      <w:i/>
      <w:iCs/>
      <w:color w:val="0F4761" w:themeColor="accent1" w:themeShade="BF"/>
    </w:rPr>
  </w:style>
  <w:style w:type="paragraph" w:styleId="IntenseQuote">
    <w:name w:val="Intense Quote"/>
    <w:basedOn w:val="Normal"/>
    <w:next w:val="Normal"/>
    <w:link w:val="IntenseQuoteChar"/>
    <w:uiPriority w:val="30"/>
    <w:qFormat/>
    <w:rsid w:val="008320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20AE"/>
    <w:rPr>
      <w:i/>
      <w:iCs/>
      <w:color w:val="0F4761" w:themeColor="accent1" w:themeShade="BF"/>
    </w:rPr>
  </w:style>
  <w:style w:type="character" w:styleId="IntenseReference">
    <w:name w:val="Intense Reference"/>
    <w:basedOn w:val="DefaultParagraphFont"/>
    <w:uiPriority w:val="32"/>
    <w:qFormat/>
    <w:rsid w:val="008320AE"/>
    <w:rPr>
      <w:b/>
      <w:bCs/>
      <w:smallCaps/>
      <w:color w:val="0F4761" w:themeColor="accent1" w:themeShade="BF"/>
      <w:spacing w:val="5"/>
    </w:rPr>
  </w:style>
  <w:style w:type="character" w:styleId="Hyperlink">
    <w:name w:val="Hyperlink"/>
    <w:basedOn w:val="DefaultParagraphFont"/>
    <w:uiPriority w:val="99"/>
    <w:unhideWhenUsed/>
    <w:rsid w:val="008320AE"/>
    <w:rPr>
      <w:color w:val="467886" w:themeColor="hyperlink"/>
      <w:u w:val="single"/>
    </w:rPr>
  </w:style>
  <w:style w:type="character" w:styleId="UnresolvedMention">
    <w:name w:val="Unresolved Mention"/>
    <w:basedOn w:val="DefaultParagraphFont"/>
    <w:uiPriority w:val="99"/>
    <w:semiHidden/>
    <w:unhideWhenUsed/>
    <w:rsid w:val="008320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code-assist-path:h:\My%20Drive\New%20folder\DataAnalysisWebsite\Scientific\Q-SMEC%20Deep%20Scientific%20Analysis_text.txt" TargetMode="External"/><Relationship Id="rId5" Type="http://schemas.openxmlformats.org/officeDocument/2006/relationships/hyperlink" Target="code-assist-path:h:\My%20Drive\New%20folder\DataAnalysisWebsite\Scientific\MASTER_VALIDATION_DATABASE.tx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431</Words>
  <Characters>2458</Characters>
  <Application>Microsoft Office Word</Application>
  <DocSecurity>0</DocSecurity>
  <Lines>20</Lines>
  <Paragraphs>5</Paragraphs>
  <ScaleCrop>false</ScaleCrop>
  <Company/>
  <LinksUpToDate>false</LinksUpToDate>
  <CharactersWithSpaces>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 Dely</dc:creator>
  <cp:keywords/>
  <dc:description/>
  <cp:lastModifiedBy>Sal Dely</cp:lastModifiedBy>
  <cp:revision>1</cp:revision>
  <dcterms:created xsi:type="dcterms:W3CDTF">2025-10-21T20:02:00Z</dcterms:created>
  <dcterms:modified xsi:type="dcterms:W3CDTF">2025-10-21T20:02:00Z</dcterms:modified>
</cp:coreProperties>
</file>